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210185</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75565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680" w:right="40" w:hanging="641"/>
        <w:spacing w:after="0" w:line="235"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right="20" w:hanging="641"/>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8"/>
                <w:szCs w:val="18"/>
                <w:b w:val="1"/>
                <w:bCs w:val="1"/>
                <w:color w:val="auto"/>
                <w:w w:val="78"/>
              </w:rPr>
              <w:t>.</w:t>
            </w:r>
          </w:p>
        </w:tc>
      </w:tr>
      <w:tr>
        <w:trPr>
          <w:trHeight w:val="237"/>
        </w:trPr>
        <w:tc>
          <w:tcPr>
            <w:tcW w:w="4900" w:type="dxa"/>
            <w:vAlign w:val="bottom"/>
            <w:gridSpan w:val="4"/>
          </w:tcPr>
          <w:p>
            <w:pPr>
              <w:ind w:left="1300"/>
              <w:spacing w:after="0"/>
              <w:rPr>
                <w:sz w:val="20"/>
                <w:szCs w:val="20"/>
                <w:color w:val="auto"/>
              </w:rPr>
            </w:pPr>
            <w:r>
              <w:rPr>
                <w:rFonts w:ascii="Arial" w:cs="Arial" w:eastAsia="Arial" w:hAnsi="Arial"/>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64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2740" w:type="dxa"/>
            <w:vAlign w:val="bottom"/>
            <w:gridSpan w:val="2"/>
          </w:tcPr>
          <w:p>
            <w:pPr>
              <w:jc w:val="center"/>
              <w:ind w:left="497"/>
              <w:spacing w:after="0"/>
              <w:rPr>
                <w:sz w:val="20"/>
                <w:szCs w:val="20"/>
                <w:color w:val="auto"/>
              </w:rPr>
            </w:pPr>
            <w:r>
              <w:rPr>
                <w:rFonts w:ascii="Arial" w:cs="Arial" w:eastAsia="Arial" w:hAnsi="Arial"/>
                <w:sz w:val="18"/>
                <w:szCs w:val="18"/>
                <w:b w:val="1"/>
                <w:bCs w:val="1"/>
                <w:color w:val="auto"/>
                <w:w w:val="96"/>
              </w:rPr>
              <w:t>Maryland</w:t>
            </w: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340" w:type="dxa"/>
            <w:vAlign w:val="bottom"/>
          </w:tcPr>
          <w:p>
            <w:pPr>
              <w:jc w:val="center"/>
              <w:ind w:right="637"/>
              <w:spacing w:after="0"/>
              <w:rPr>
                <w:sz w:val="20"/>
                <w:szCs w:val="20"/>
                <w:color w:val="auto"/>
              </w:rPr>
            </w:pPr>
            <w:r>
              <w:rPr>
                <w:rFonts w:ascii="Arial" w:cs="Arial" w:eastAsia="Arial" w:hAnsi="Arial"/>
                <w:sz w:val="18"/>
                <w:szCs w:val="18"/>
                <w:b w:val="1"/>
                <w:bCs w:val="1"/>
                <w:color w:val="auto"/>
                <w:w w:val="89"/>
              </w:rPr>
              <w:t>20-1076777</w:t>
            </w:r>
          </w:p>
        </w:tc>
      </w:tr>
      <w:tr>
        <w:trPr>
          <w:trHeight w:val="144"/>
        </w:trPr>
        <w:tc>
          <w:tcPr>
            <w:tcW w:w="480" w:type="dxa"/>
            <w:vAlign w:val="bottom"/>
          </w:tcPr>
          <w:p>
            <w:pPr>
              <w:spacing w:after="0"/>
              <w:rPr>
                <w:sz w:val="12"/>
                <w:szCs w:val="12"/>
                <w:color w:val="auto"/>
              </w:rPr>
            </w:pPr>
          </w:p>
        </w:tc>
        <w:tc>
          <w:tcPr>
            <w:tcW w:w="2740" w:type="dxa"/>
            <w:vAlign w:val="bottom"/>
            <w:gridSpan w:val="2"/>
          </w:tcPr>
          <w:p>
            <w:pPr>
              <w:jc w:val="center"/>
              <w:ind w:left="497"/>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40" w:type="dxa"/>
            <w:vAlign w:val="bottom"/>
          </w:tcPr>
          <w:p>
            <w:pPr>
              <w:jc w:val="center"/>
              <w:ind w:right="657"/>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0" w:type="dxa"/>
            <w:vAlign w:val="bottom"/>
          </w:tcPr>
          <w:p>
            <w:pPr>
              <w:spacing w:after="0"/>
              <w:rPr>
                <w:sz w:val="16"/>
                <w:szCs w:val="16"/>
                <w:color w:val="auto"/>
              </w:rPr>
            </w:pPr>
          </w:p>
        </w:tc>
        <w:tc>
          <w:tcPr>
            <w:tcW w:w="2740" w:type="dxa"/>
            <w:vAlign w:val="bottom"/>
            <w:gridSpan w:val="2"/>
          </w:tcPr>
          <w:p>
            <w:pPr>
              <w:jc w:val="center"/>
              <w:ind w:left="497"/>
              <w:spacing w:after="0"/>
              <w:rPr>
                <w:sz w:val="20"/>
                <w:szCs w:val="20"/>
                <w:color w:val="auto"/>
              </w:rPr>
            </w:pPr>
            <w:r>
              <w:rPr>
                <w:rFonts w:ascii="Arial" w:cs="Arial" w:eastAsia="Arial" w:hAnsi="Arial"/>
                <w:sz w:val="14"/>
                <w:szCs w:val="14"/>
                <w:b w:val="1"/>
                <w:bCs w:val="1"/>
                <w:color w:val="auto"/>
                <w:w w:val="94"/>
              </w:rPr>
              <w:t>incorporation or organization)</w:t>
            </w: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40" w:type="dxa"/>
            <w:vAlign w:val="bottom"/>
          </w:tcPr>
          <w:p>
            <w:pPr>
              <w:jc w:val="center"/>
              <w:ind w:right="637"/>
              <w:spacing w:after="0"/>
              <w:rPr>
                <w:sz w:val="20"/>
                <w:szCs w:val="20"/>
                <w:color w:val="auto"/>
              </w:rPr>
            </w:pPr>
            <w:r>
              <w:rPr>
                <w:rFonts w:ascii="Arial" w:cs="Arial" w:eastAsia="Arial" w:hAnsi="Arial"/>
                <w:sz w:val="14"/>
                <w:szCs w:val="14"/>
                <w:b w:val="1"/>
                <w:bCs w:val="1"/>
                <w:color w:val="auto"/>
                <w:w w:val="96"/>
              </w:rPr>
              <w:t>Identification No.)</w:t>
            </w:r>
          </w:p>
        </w:tc>
      </w:tr>
      <w:tr>
        <w:trPr>
          <w:trHeight w:val="551"/>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80" w:type="dxa"/>
            <w:vAlign w:val="bottom"/>
            <w:gridSpan w:val="3"/>
          </w:tcPr>
          <w:p>
            <w:pPr>
              <w:jc w:val="center"/>
              <w:ind w:left="59"/>
              <w:spacing w:after="0"/>
              <w:rPr>
                <w:sz w:val="20"/>
                <w:szCs w:val="20"/>
                <w:color w:val="auto"/>
              </w:rPr>
            </w:pPr>
            <w:r>
              <w:rPr>
                <w:rFonts w:ascii="Arial" w:cs="Arial" w:eastAsia="Arial" w:hAnsi="Arial"/>
                <w:sz w:val="18"/>
                <w:szCs w:val="18"/>
                <w:b w:val="1"/>
                <w:bCs w:val="1"/>
                <w:color w:val="auto"/>
                <w:w w:val="89"/>
              </w:rPr>
              <w:t>2795 East Cottonwood Parkway, Suite 300</w:t>
            </w:r>
          </w:p>
        </w:tc>
        <w:tc>
          <w:tcPr>
            <w:tcW w:w="3340" w:type="dxa"/>
            <w:vAlign w:val="bottom"/>
          </w:tcPr>
          <w:p>
            <w:pPr>
              <w:spacing w:after="0"/>
              <w:rPr>
                <w:sz w:val="24"/>
                <w:szCs w:val="24"/>
                <w:color w:val="auto"/>
              </w:rPr>
            </w:pPr>
          </w:p>
        </w:tc>
      </w:tr>
      <w:tr>
        <w:trPr>
          <w:trHeight w:val="212"/>
        </w:trPr>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Salt Lake City, Utah 84121</w:t>
            </w:r>
          </w:p>
        </w:tc>
        <w:tc>
          <w:tcPr>
            <w:tcW w:w="3340" w:type="dxa"/>
            <w:vAlign w:val="bottom"/>
          </w:tcPr>
          <w:p>
            <w:pPr>
              <w:spacing w:after="0"/>
              <w:rPr>
                <w:sz w:val="18"/>
                <w:szCs w:val="18"/>
                <w:color w:val="auto"/>
              </w:rPr>
            </w:pPr>
          </w:p>
        </w:tc>
      </w:tr>
      <w:tr>
        <w:trPr>
          <w:trHeight w:val="186"/>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38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spacing w:after="0"/>
              <w:rPr>
                <w:sz w:val="16"/>
                <w:szCs w:val="16"/>
                <w:color w:val="auto"/>
              </w:rPr>
            </w:pPr>
          </w:p>
        </w:tc>
      </w:tr>
      <w:tr>
        <w:trPr>
          <w:trHeight w:val="458"/>
        </w:trPr>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100" w:type="dxa"/>
            <w:vAlign w:val="bottom"/>
            <w:gridSpan w:val="5"/>
          </w:tcPr>
          <w:p>
            <w:pPr>
              <w:jc w:val="center"/>
              <w:ind w:right="1737"/>
              <w:spacing w:after="0"/>
              <w:rPr>
                <w:sz w:val="20"/>
                <w:szCs w:val="20"/>
                <w:color w:val="auto"/>
              </w:rPr>
            </w:pPr>
            <w:r>
              <w:rPr>
                <w:rFonts w:ascii="Arial" w:cs="Arial" w:eastAsia="Arial" w:hAnsi="Arial"/>
                <w:sz w:val="18"/>
                <w:szCs w:val="18"/>
                <w:b w:val="1"/>
                <w:bCs w:val="1"/>
                <w:color w:val="auto"/>
                <w:w w:val="89"/>
              </w:rPr>
              <w:t>Registrant’s telephone number, including area code: (801) 365-4600</w:t>
            </w:r>
          </w:p>
        </w:tc>
      </w:tr>
      <w:tr>
        <w:trPr>
          <w:trHeight w:val="459"/>
        </w:trPr>
        <w:tc>
          <w:tcPr>
            <w:tcW w:w="480" w:type="dxa"/>
            <w:vAlign w:val="bottom"/>
          </w:tcPr>
          <w:p>
            <w:pPr>
              <w:spacing w:after="0"/>
              <w:rPr>
                <w:sz w:val="24"/>
                <w:szCs w:val="24"/>
                <w:color w:val="auto"/>
              </w:rPr>
            </w:pPr>
          </w:p>
        </w:tc>
        <w:tc>
          <w:tcPr>
            <w:tcW w:w="9460" w:type="dxa"/>
            <w:vAlign w:val="bottom"/>
            <w:gridSpan w:val="6"/>
          </w:tcPr>
          <w:p>
            <w:pPr>
              <w:jc w:val="center"/>
              <w:ind w:right="377"/>
              <w:spacing w:after="0"/>
              <w:rPr>
                <w:sz w:val="20"/>
                <w:szCs w:val="20"/>
                <w:color w:val="auto"/>
              </w:rPr>
            </w:pPr>
            <w:r>
              <w:rPr>
                <w:rFonts w:ascii="Arial" w:cs="Arial" w:eastAsia="Arial" w:hAnsi="Arial"/>
                <w:sz w:val="18"/>
                <w:szCs w:val="18"/>
                <w:b w:val="1"/>
                <w:bCs w:val="1"/>
                <w:color w:val="auto"/>
                <w:w w:val="88"/>
              </w:rPr>
              <w:t>Securities registered pursuant to Section 12(b) of the Securities Exchange Act of 1934</w:t>
            </w:r>
          </w:p>
        </w:tc>
      </w:tr>
      <w:tr>
        <w:trPr>
          <w:trHeight w:val="216"/>
        </w:trPr>
        <w:tc>
          <w:tcPr>
            <w:tcW w:w="4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154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20"/>
        </w:trPr>
        <w:tc>
          <w:tcPr>
            <w:tcW w:w="3220" w:type="dxa"/>
            <w:vAlign w:val="bottom"/>
            <w:gridSpan w:val="3"/>
          </w:tcPr>
          <w:p>
            <w:pPr>
              <w:jc w:val="center"/>
              <w:ind w:right="810"/>
              <w:spacing w:after="0"/>
              <w:rPr>
                <w:sz w:val="20"/>
                <w:szCs w:val="20"/>
                <w:color w:val="auto"/>
              </w:rPr>
            </w:pPr>
            <w:r>
              <w:rPr>
                <w:rFonts w:ascii="Arial" w:cs="Arial" w:eastAsia="Arial" w:hAnsi="Arial"/>
                <w:sz w:val="18"/>
                <w:szCs w:val="18"/>
                <w:color w:val="auto"/>
                <w:w w:val="90"/>
              </w:rPr>
              <w:t>Common Stock, $0.01 par value</w:t>
            </w:r>
          </w:p>
        </w:tc>
        <w:tc>
          <w:tcPr>
            <w:tcW w:w="620" w:type="dxa"/>
            <w:vAlign w:val="bottom"/>
          </w:tcPr>
          <w:p>
            <w:pPr>
              <w:spacing w:after="0"/>
              <w:rPr>
                <w:sz w:val="24"/>
                <w:szCs w:val="24"/>
                <w:color w:val="auto"/>
              </w:rPr>
            </w:pPr>
          </w:p>
        </w:tc>
        <w:tc>
          <w:tcPr>
            <w:tcW w:w="2760" w:type="dxa"/>
            <w:vAlign w:val="bottom"/>
            <w:gridSpan w:val="2"/>
          </w:tcPr>
          <w:p>
            <w:pPr>
              <w:jc w:val="center"/>
              <w:ind w:right="1520"/>
              <w:spacing w:after="0"/>
              <w:rPr>
                <w:sz w:val="20"/>
                <w:szCs w:val="20"/>
                <w:color w:val="auto"/>
              </w:rPr>
            </w:pPr>
            <w:r>
              <w:rPr>
                <w:rFonts w:ascii="Arial" w:cs="Arial" w:eastAsia="Arial" w:hAnsi="Arial"/>
                <w:sz w:val="18"/>
                <w:szCs w:val="18"/>
                <w:color w:val="auto"/>
                <w:w w:val="97"/>
              </w:rPr>
              <w:t>EXR</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353"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9"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ind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380"/>
              <w:spacing w:after="0"/>
              <w:rPr>
                <w:sz w:val="20"/>
                <w:szCs w:val="20"/>
                <w:color w:val="auto"/>
              </w:rPr>
            </w:pPr>
            <w:r>
              <w:rPr>
                <w:rFonts w:ascii="Arial" w:cs="Arial" w:eastAsia="Arial" w:hAnsi="Arial"/>
                <w:sz w:val="18"/>
                <w:szCs w:val="18"/>
                <w:color w:val="auto"/>
              </w:rPr>
              <w:t>x</w:t>
            </w:r>
          </w:p>
        </w:tc>
        <w:tc>
          <w:tcPr>
            <w:tcW w:w="51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20"/>
          </w:cols>
          <w:pgMar w:left="320" w:top="544" w:right="359" w:bottom="1440" w:gutter="0" w:footer="0" w:header="0"/>
        </w:sect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type w:val="continuous"/>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outstanding of the registrant’s common stock, par value $0.01 per share, as of October 30, 2020, was 129,235,329.</w:t>
      </w:r>
    </w:p>
    <w:p>
      <w:pPr>
        <w:spacing w:after="0" w:line="1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5"/>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tc>
        <w:tc>
          <w:tcPr>
            <w:tcW w:w="112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EXTRA SPACE STORAGE INC.</w:t>
            </w:r>
          </w:p>
        </w:tc>
        <w:tc>
          <w:tcPr>
            <w:tcW w:w="11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r>
      <w:tr>
        <w:trPr>
          <w:trHeight w:val="513"/>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STATEMENT ON FORWARD-LOOKING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79"/>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ITEM 1. FINANCIAL STATEMENTS (unaudited)</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4"/>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980" w:type="dxa"/>
            <w:vAlign w:val="bottom"/>
            <w:gridSpan w:val="3"/>
          </w:tcPr>
          <w:p>
            <w:pPr>
              <w:spacing w:after="0"/>
              <w:rPr>
                <w:rFonts w:ascii="Arial" w:cs="Arial" w:eastAsia="Arial" w:hAnsi="Arial"/>
                <w:sz w:val="18"/>
                <w:szCs w:val="18"/>
                <w:b w:val="1"/>
                <w:bCs w:val="1"/>
                <w:u w:val="single" w:color="auto"/>
                <w:color w:val="0000FF"/>
              </w:rPr>
            </w:pPr>
            <w:hyperlink w:anchor="page13">
              <w:r>
                <w:rPr>
                  <w:rFonts w:ascii="Arial" w:cs="Arial" w:eastAsia="Arial" w:hAnsi="Arial"/>
                  <w:sz w:val="18"/>
                  <w:szCs w:val="18"/>
                  <w:b w:val="1"/>
                  <w:bCs w:val="1"/>
                  <w:u w:val="single" w:color="auto"/>
                  <w:color w:val="0000FF"/>
                </w:rPr>
                <w:t>NOTES TO CONDENSED CONSOLIDATED FINANCIAL STATEMENTS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14</w:t>
              </w:r>
            </w:hyperlink>
          </w:p>
        </w:tc>
      </w:tr>
      <w:tr>
        <w:trPr>
          <w:trHeight w:val="203"/>
        </w:trPr>
        <w:tc>
          <w:tcPr>
            <w:tcW w:w="340" w:type="dxa"/>
            <w:vAlign w:val="bottom"/>
          </w:tcPr>
          <w:p>
            <w:pPr>
              <w:spacing w:after="0"/>
              <w:rPr>
                <w:sz w:val="17"/>
                <w:szCs w:val="17"/>
                <w:color w:val="auto"/>
              </w:rPr>
            </w:pPr>
          </w:p>
        </w:tc>
        <w:tc>
          <w:tcPr>
            <w:tcW w:w="8800" w:type="dxa"/>
            <w:vAlign w:val="bottom"/>
            <w:tcBorders>
              <w:bottom w:val="single" w:sz="8" w:color="0000FF"/>
            </w:tcBorders>
            <w:gridSpan w:val="3"/>
          </w:tcPr>
          <w:p>
            <w:pPr>
              <w:ind w:left="20"/>
              <w:spacing w:after="0" w:line="202" w:lineRule="exact"/>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2. MANAGEMENT’S DISCUSSION AND ANALYSIS OF FINANCIAL CONDITION AND RESULTS OF</w:t>
              </w:r>
            </w:hyperlink>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tcPr>
          <w:p>
            <w:pPr>
              <w:spacing w:after="0" w:line="182" w:lineRule="exact"/>
              <w:rPr>
                <w:rFonts w:ascii="Arial" w:cs="Arial" w:eastAsia="Arial" w:hAnsi="Arial"/>
                <w:sz w:val="18"/>
                <w:szCs w:val="18"/>
                <w:b w:val="1"/>
                <w:bCs w:val="1"/>
                <w:color w:val="0000FF"/>
                <w:w w:val="97"/>
              </w:rPr>
            </w:pPr>
            <w:hyperlink w:anchor="page28">
              <w:r>
                <w:rPr>
                  <w:rFonts w:ascii="Arial" w:cs="Arial" w:eastAsia="Arial" w:hAnsi="Arial"/>
                  <w:sz w:val="18"/>
                  <w:szCs w:val="18"/>
                  <w:b w:val="1"/>
                  <w:bCs w:val="1"/>
                  <w:color w:val="0000FF"/>
                  <w:w w:val="97"/>
                </w:rPr>
                <w:t>OPERATIONS</w:t>
              </w:r>
            </w:hyperlink>
          </w:p>
        </w:tc>
        <w:tc>
          <w:tcPr>
            <w:tcW w:w="7800" w:type="dxa"/>
            <w:vAlign w:val="bottom"/>
            <w:gridSpan w:val="2"/>
          </w:tcPr>
          <w:p>
            <w:pPr>
              <w:spacing w:after="0"/>
              <w:rPr>
                <w:sz w:val="17"/>
                <w:szCs w:val="17"/>
                <w:color w:val="auto"/>
              </w:rPr>
            </w:pPr>
          </w:p>
        </w:tc>
        <w:tc>
          <w:tcPr>
            <w:tcW w:w="1120" w:type="dxa"/>
            <w:vAlign w:val="bottom"/>
          </w:tcPr>
          <w:p>
            <w:pPr>
              <w:jc w:val="right"/>
              <w:spacing w:after="0" w:line="196" w:lineRule="exact"/>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72"/>
        </w:trPr>
        <w:tc>
          <w:tcPr>
            <w:tcW w:w="340" w:type="dxa"/>
            <w:vAlign w:val="bottom"/>
          </w:tcPr>
          <w:p>
            <w:pPr>
              <w:spacing w:after="0"/>
              <w:rPr>
                <w:sz w:val="23"/>
                <w:szCs w:val="23"/>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3. QUANTITATIVE AND QUALITATIVE DISCLOSURES ABOUT MARKET RISK</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34"/>
        </w:trPr>
        <w:tc>
          <w:tcPr>
            <w:tcW w:w="340" w:type="dxa"/>
            <w:vAlign w:val="bottom"/>
          </w:tcPr>
          <w:p>
            <w:pPr>
              <w:spacing w:after="0"/>
              <w:rPr>
                <w:sz w:val="20"/>
                <w:szCs w:val="20"/>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ITEM 4. CONTROLS AND PROCEDURES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79"/>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1. LEGAL PROCEEDINGS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1A. RISK FACTORS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2. UNREGISTERED SALES OF EQUITY SECURITIES AND USE OF PROCEEDS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3. DEFAULTS UPON SENIOR SECURITIES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4. MINE SAFETY DISCLOSURES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ITEM 5. 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ITEM 6. EXHIBITS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r>
        <w:trPr>
          <w:trHeight w:val="234"/>
        </w:trPr>
        <w:tc>
          <w:tcPr>
            <w:tcW w:w="340" w:type="dxa"/>
            <w:vAlign w:val="bottom"/>
          </w:tcPr>
          <w:p>
            <w:pPr>
              <w:spacing w:after="0"/>
              <w:rPr>
                <w:sz w:val="20"/>
                <w:szCs w:val="20"/>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SIGNATURES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3" w:lineRule="exact"/>
        <w:rPr>
          <w:rFonts w:ascii="Arial" w:cs="Arial" w:eastAsia="Arial" w:hAnsi="Arial"/>
          <w:sz w:val="18"/>
          <w:szCs w:val="18"/>
          <w:color w:val="auto"/>
        </w:rPr>
      </w:pPr>
    </w:p>
    <w:p>
      <w:pPr>
        <w:ind w:left="580" w:right="28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80" w:right="2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color w:val="auto"/>
        </w:rPr>
      </w:pPr>
    </w:p>
    <w:p>
      <w:pPr>
        <w:ind w:left="580" w:right="80" w:hanging="329"/>
        <w:spacing w:after="0" w:line="263"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21"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708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 w:type="dxa"/>
            <w:vAlign w:val="bottom"/>
          </w:tcPr>
          <w:p>
            <w:pPr>
              <w:spacing w:after="0"/>
              <w:rPr>
                <w:sz w:val="24"/>
                <w:szCs w:val="24"/>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Extra Space Storage Inc.</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08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7080" w:type="dxa"/>
            <w:vAlign w:val="bottom"/>
          </w:tcPr>
          <w:p>
            <w:pPr>
              <w:jc w:val="center"/>
              <w:ind w:left="2550"/>
              <w:spacing w:after="0"/>
              <w:rPr>
                <w:sz w:val="20"/>
                <w:szCs w:val="20"/>
                <w:color w:val="auto"/>
              </w:rPr>
            </w:pPr>
            <w:r>
              <w:rPr>
                <w:rFonts w:ascii="Arial" w:cs="Arial" w:eastAsia="Arial" w:hAnsi="Arial"/>
                <w:sz w:val="18"/>
                <w:szCs w:val="18"/>
                <w:color w:val="auto"/>
                <w:w w:val="87"/>
              </w:rPr>
              <w:t>(amounts in thousands, except share data)</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24"/>
                <w:szCs w:val="24"/>
                <w:color w:val="auto"/>
              </w:rPr>
            </w:pPr>
          </w:p>
        </w:tc>
        <w:tc>
          <w:tcPr>
            <w:tcW w:w="148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91"/>
              <w:spacing w:after="0"/>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7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Real estate assets,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7,755,947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7,696,864</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assets - operating lease right-of-use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264,643</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Investments in unconsolidated real estate entities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347,786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338,054</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65,746</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8,761,104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Noncontrolling Interests and Equity: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Notes payable,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4,611,222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4,318,973</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Exchangeable senior notes,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569,513</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Revolving lines of credit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274,783</w:t>
            </w:r>
          </w:p>
        </w:tc>
        <w:tc>
          <w:tcPr>
            <w:tcW w:w="0" w:type="dxa"/>
            <w:vAlign w:val="bottom"/>
          </w:tcPr>
          <w:p>
            <w:pPr>
              <w:spacing w:after="0"/>
              <w:rPr>
                <w:sz w:val="1"/>
                <w:szCs w:val="1"/>
                <w:color w:val="auto"/>
              </w:rPr>
            </w:pPr>
          </w:p>
        </w:tc>
      </w:tr>
      <w:tr>
        <w:trPr>
          <w:trHeight w:val="229"/>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Cash distributions in unconsolidated real estate ventures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46,527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45,264</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111,382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132,768</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5,993,282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5,610,683</w:t>
            </w:r>
          </w:p>
        </w:tc>
        <w:tc>
          <w:tcPr>
            <w:tcW w:w="0" w:type="dxa"/>
            <w:vAlign w:val="bottom"/>
          </w:tcPr>
          <w:p>
            <w:pPr>
              <w:spacing w:after="0"/>
              <w:rPr>
                <w:sz w:val="1"/>
                <w:szCs w:val="1"/>
                <w:color w:val="auto"/>
              </w:rPr>
            </w:pPr>
          </w:p>
        </w:tc>
      </w:tr>
      <w:tr>
        <w:trPr>
          <w:trHeight w:val="210"/>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Extra Space Storage Inc. 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4"/>
              </w:rPr>
              <w:t>Preferred stock, $0.01 par value, 50,000,000 shares authorized, no shares issued or outstanding</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5"/>
              </w:rPr>
              <w:t>Common stock, $0.01 par value, 500,000,000 shares authorized, 129,094,900 and 129,534,407</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7840" w:type="dxa"/>
            <w:vAlign w:val="bottom"/>
            <w:gridSpan w:val="2"/>
          </w:tcPr>
          <w:p>
            <w:pPr>
              <w:ind w:left="520"/>
              <w:spacing w:after="0"/>
              <w:rPr>
                <w:sz w:val="20"/>
                <w:szCs w:val="20"/>
                <w:color w:val="auto"/>
              </w:rPr>
            </w:pPr>
            <w:r>
              <w:rPr>
                <w:rFonts w:ascii="Arial" w:cs="Arial" w:eastAsia="Arial" w:hAnsi="Arial"/>
                <w:sz w:val="18"/>
                <w:szCs w:val="18"/>
                <w:color w:val="auto"/>
                <w:w w:val="99"/>
              </w:rPr>
              <w:t>shares issued and outstanding at September 30, 2020 and December 31, 2019, respectively</w:t>
            </w: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2,889,592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2,868,681</w:t>
            </w:r>
          </w:p>
        </w:tc>
        <w:tc>
          <w:tcPr>
            <w:tcW w:w="0" w:type="dxa"/>
            <w:vAlign w:val="bottom"/>
          </w:tcPr>
          <w:p>
            <w:pPr>
              <w:spacing w:after="0"/>
              <w:rPr>
                <w:sz w:val="1"/>
                <w:szCs w:val="1"/>
                <w:color w:val="auto"/>
              </w:rPr>
            </w:pPr>
          </w:p>
        </w:tc>
      </w:tr>
      <w:tr>
        <w:trPr>
          <w:trHeight w:val="230"/>
        </w:trPr>
        <w:tc>
          <w:tcPr>
            <w:tcW w:w="78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(301,049)</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Total Extra Space Storage Inc. stockholders' equity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2,389,284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2,539,961</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175,948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205,785</w:t>
            </w:r>
          </w:p>
        </w:tc>
        <w:tc>
          <w:tcPr>
            <w:tcW w:w="0" w:type="dxa"/>
            <w:vAlign w:val="bottom"/>
          </w:tcPr>
          <w:p>
            <w:pPr>
              <w:spacing w:after="0"/>
              <w:rPr>
                <w:sz w:val="1"/>
                <w:szCs w:val="1"/>
                <w:color w:val="auto"/>
              </w:rPr>
            </w:pPr>
          </w:p>
        </w:tc>
      </w:tr>
      <w:tr>
        <w:trPr>
          <w:trHeight w:val="223"/>
        </w:trPr>
        <w:tc>
          <w:tcPr>
            <w:tcW w:w="760" w:type="dxa"/>
            <w:vAlign w:val="bottom"/>
            <w:shd w:val="clear" w:color="auto" w:fill="CCEEFF"/>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noncontrolling interests and equity</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2,767,822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2,921,694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Total liabilities, noncontrolling interests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8,761,104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6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For the Three Months Ended</w:t>
            </w: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For the Nine Months Ended September</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2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Property rental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290,423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290,917</w:t>
            </w:r>
          </w:p>
        </w:tc>
        <w:tc>
          <w:tcPr>
            <w:tcW w:w="14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856,438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841,504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reinsurance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95,086</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Management fees and other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36,063</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337,505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1,002,722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972,653</w:t>
            </w: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operations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248,288</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Tenant reinsurance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21,593</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68,548</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56,051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165,116</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503,545</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Gain on real estate transactions</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163,207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162,638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470,313</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(127,610)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(141,716)</w:t>
            </w:r>
          </w:p>
        </w:tc>
        <w:tc>
          <w:tcPr>
            <w:tcW w:w="0" w:type="dxa"/>
            <w:vAlign w:val="bottom"/>
          </w:tcPr>
          <w:p>
            <w:pPr>
              <w:spacing w:after="0"/>
              <w:rPr>
                <w:sz w:val="1"/>
                <w:szCs w:val="1"/>
                <w:color w:val="auto"/>
              </w:rPr>
            </w:pPr>
          </w:p>
        </w:tc>
      </w:tr>
      <w:tr>
        <w:trPr>
          <w:trHeight w:val="169"/>
        </w:trPr>
        <w:tc>
          <w:tcPr>
            <w:tcW w:w="6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Non-cash interest expense related to amortization of discount on equity component of</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(3,533)</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exchangeable senior notes</w:t>
            </w: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w:t>
            </w:r>
          </w:p>
        </w:tc>
        <w:tc>
          <w:tcPr>
            <w:tcW w:w="0" w:type="dxa"/>
            <w:vAlign w:val="bottom"/>
          </w:tcPr>
          <w:p>
            <w:pPr>
              <w:spacing w:after="0"/>
              <w:rPr>
                <w:sz w:val="1"/>
                <w:szCs w:val="1"/>
                <w:color w:val="auto"/>
              </w:rPr>
            </w:pPr>
          </w:p>
        </w:tc>
      </w:tr>
      <w:tr>
        <w:trPr>
          <w:trHeight w:val="149"/>
        </w:trPr>
        <w:tc>
          <w:tcPr>
            <w:tcW w:w="60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6"/>
              </w:rPr>
              <w:t>Income before equity in earnings of unconsolidated real estate ventures and income tax</w:t>
            </w: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122,906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117,343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345,594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330,969</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8,455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123,854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115,995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351,273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330,844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(9,379)</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(13,780)</w:t>
            </w:r>
          </w:p>
        </w:tc>
        <w:tc>
          <w:tcPr>
            <w:tcW w:w="0" w:type="dxa"/>
            <w:vAlign w:val="bottom"/>
          </w:tcPr>
          <w:p>
            <w:pPr>
              <w:spacing w:after="0"/>
              <w:rPr>
                <w:sz w:val="1"/>
                <w:szCs w:val="1"/>
                <w:color w:val="auto"/>
              </w:rPr>
            </w:pPr>
          </w:p>
        </w:tc>
      </w:tr>
      <w:tr>
        <w:trPr>
          <w:trHeight w:val="23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108,087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307,685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40" w:type="dxa"/>
            <w:vAlign w:val="bottom"/>
          </w:tcPr>
          <w:p>
            <w:pPr>
              <w:spacing w:after="0"/>
              <w:rPr>
                <w:sz w:val="16"/>
                <w:szCs w:val="16"/>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128,862,341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8"/>
              </w:rPr>
              <w:t>128,776,549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129,044,954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127,830,272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129,871,096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137,318,475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130,066,121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136,164,299</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Arial" w:cs="Arial" w:eastAsia="Arial" w:hAnsi="Arial"/>
                <w:sz w:val="16"/>
                <w:szCs w:val="16"/>
                <w:color w:val="auto"/>
              </w:rPr>
              <w:t>Cash dividends paid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4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For the Three Months Ended</w:t>
            </w:r>
          </w:p>
        </w:tc>
        <w:tc>
          <w:tcPr>
            <w:tcW w:w="140" w:type="dxa"/>
            <w:vAlign w:val="bottom"/>
          </w:tcPr>
          <w:p>
            <w:pPr>
              <w:spacing w:after="0"/>
              <w:rPr>
                <w:sz w:val="14"/>
                <w:szCs w:val="14"/>
                <w:color w:val="auto"/>
              </w:rPr>
            </w:pPr>
          </w:p>
        </w:tc>
        <w:tc>
          <w:tcPr>
            <w:tcW w:w="1880" w:type="dxa"/>
            <w:vAlign w:val="bottom"/>
            <w:gridSpan w:val="4"/>
          </w:tcPr>
          <w:p>
            <w:pPr>
              <w:jc w:val="right"/>
              <w:ind w:right="61"/>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8"/>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88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70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r>
      <w:tr>
        <w:trPr>
          <w:trHeight w:val="211"/>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115,995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330,844</w:t>
            </w:r>
          </w:p>
        </w:tc>
      </w:tr>
      <w:tr>
        <w:trPr>
          <w:trHeight w:val="213"/>
        </w:trPr>
        <w:tc>
          <w:tcPr>
            <w:tcW w:w="70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7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fair value of interest rate swaps</w:t>
            </w: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(83,791)</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(82,057)</w:t>
            </w:r>
          </w:p>
        </w:tc>
      </w:tr>
      <w:tr>
        <w:trPr>
          <w:trHeight w:val="207"/>
        </w:trPr>
        <w:tc>
          <w:tcPr>
            <w:tcW w:w="70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135,035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99,233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267,482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248,787</w:t>
            </w:r>
          </w:p>
        </w:tc>
      </w:tr>
      <w:tr>
        <w:trPr>
          <w:trHeight w:val="216"/>
        </w:trPr>
        <w:tc>
          <w:tcPr>
            <w:tcW w:w="7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7,109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19,191</w:t>
            </w:r>
          </w:p>
        </w:tc>
      </w:tr>
      <w:tr>
        <w:trPr>
          <w:trHeight w:val="212"/>
        </w:trPr>
        <w:tc>
          <w:tcPr>
            <w:tcW w:w="704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125,181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92,124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245,981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229,596</w:t>
            </w:r>
          </w:p>
        </w:tc>
      </w:tr>
      <w:tr>
        <w:trPr>
          <w:trHeight w:val="21"/>
        </w:trPr>
        <w:tc>
          <w:tcPr>
            <w:tcW w:w="7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Noncontrolling Interests</w:t>
            </w:r>
          </w:p>
        </w:tc>
        <w:tc>
          <w:tcPr>
            <w:tcW w:w="3740" w:type="dxa"/>
            <w:vAlign w:val="bottom"/>
            <w:gridSpan w:val="10"/>
          </w:tcPr>
          <w:p>
            <w:pPr>
              <w:jc w:val="right"/>
              <w:ind w:right="2"/>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153,096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218,362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$ 240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127,103,750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$1,271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$2,640,705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(262,902)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2,785,422</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0"/>
              </w:rPr>
              <w:t>Issuance of common stock upon the exercise of</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169,021</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grants issued</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35,022</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grants cancelled</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(1,244)</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Compensation expense related to stock-based</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3"/>
              </w:rPr>
              <w:t>Redemption of Operating Partnership units for</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85,501</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Issuance of Preferred D Units in the Operating</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in conjunction with acquisitions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4,235</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94,770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102,160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(23,993)</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Distributions to Operating Partnership units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held by noncontrolling interests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(5,116)</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(8,412)</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Dividends paid on common stock at $0.86 per</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(109,523)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(109,523)</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2019</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176,264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213,168</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$ 231</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127,392,050</w:t>
            </w: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1,274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2,648,723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(277,655)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2,773,812</w:t>
            </w:r>
          </w:p>
        </w:tc>
        <w:tc>
          <w:tcPr>
            <w:tcW w:w="0" w:type="dxa"/>
            <w:vAlign w:val="bottom"/>
          </w:tcPr>
          <w:p>
            <w:pPr>
              <w:spacing w:after="0"/>
              <w:rPr>
                <w:sz w:val="1"/>
                <w:szCs w:val="1"/>
                <w:color w:val="auto"/>
              </w:rPr>
            </w:pPr>
          </w:p>
        </w:tc>
      </w:tr>
      <w:tr>
        <w:trPr>
          <w:trHeight w:val="912"/>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Noncontrolling Interests</w:t>
            </w:r>
          </w:p>
        </w:tc>
        <w:tc>
          <w:tcPr>
            <w:tcW w:w="3740" w:type="dxa"/>
            <w:vAlign w:val="bottom"/>
            <w:gridSpan w:val="10"/>
          </w:tcPr>
          <w:p>
            <w:pPr>
              <w:ind w:left="800"/>
              <w:spacing w:after="0"/>
              <w:rPr>
                <w:sz w:val="20"/>
                <w:szCs w:val="20"/>
                <w:color w:val="auto"/>
              </w:rPr>
            </w:pPr>
            <w:r>
              <w:rPr>
                <w:rFonts w:ascii="Arial" w:cs="Arial" w:eastAsia="Arial" w:hAnsi="Arial"/>
                <w:sz w:val="14"/>
                <w:szCs w:val="14"/>
                <w:b w:val="1"/>
                <w:bCs w:val="1"/>
                <w:color w:val="auto"/>
                <w:w w:val="95"/>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2019</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176,264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213,168</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$ 231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127,392,050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$1,274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$2,648,723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(277,655)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2,773,812</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17,042</w:t>
            </w:r>
          </w:p>
        </w:tc>
        <w:tc>
          <w:tcPr>
            <w:tcW w:w="8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grants issued</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(4,786)</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930,000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98,796</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Compensation expense related to stock-based</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3,998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3,998</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awards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Redemption of Operating Partnership units for stock</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Issuance of Preferred D Units in the Operating</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4,575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Partnership in conjunction with acquisitions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Noncontrolling interest in consolidated joint venture</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w w:val="99"/>
              </w:rPr>
              <w:t>Conversion of Preferred C Units in the Operating</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0"/>
              <w:spacing w:after="0" w:line="162" w:lineRule="exact"/>
              <w:rPr>
                <w:sz w:val="20"/>
                <w:szCs w:val="20"/>
                <w:color w:val="auto"/>
              </w:rPr>
            </w:pPr>
            <w:r>
              <w:rPr>
                <w:rFonts w:ascii="Arial" w:cs="Arial" w:eastAsia="Arial" w:hAnsi="Arial"/>
                <w:sz w:val="16"/>
                <w:szCs w:val="16"/>
                <w:color w:val="auto"/>
              </w:rPr>
              <w:t>Partnership for Common Operating Partnership</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(4,374)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4,374</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112,689</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(1,765)</w:t>
            </w: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(41,302)</w:t>
            </w: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Distributions to Operating Partnership units held by</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(5,473)</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(8,705)</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w w:val="93"/>
              </w:rPr>
              <w:t>Dividends paid on common stock at $0.90 per share</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(115,572)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(115,572)</w:t>
            </w:r>
          </w:p>
        </w:tc>
        <w:tc>
          <w:tcPr>
            <w:tcW w:w="0" w:type="dxa"/>
            <w:vAlign w:val="bottom"/>
          </w:tcPr>
          <w:p>
            <w:pPr>
              <w:spacing w:after="0"/>
              <w:rPr>
                <w:sz w:val="1"/>
                <w:szCs w:val="1"/>
                <w:color w:val="auto"/>
              </w:rPr>
            </w:pPr>
          </w:p>
        </w:tc>
      </w:tr>
      <w:tr>
        <w:trPr>
          <w:trHeight w:val="212"/>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June 30, 2019</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176,108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210,235</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$ 259</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128,513,095</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1,285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2,756,799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(288,399)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2,828,811</w:t>
            </w:r>
          </w:p>
        </w:tc>
        <w:tc>
          <w:tcPr>
            <w:tcW w:w="0" w:type="dxa"/>
            <w:vAlign w:val="bottom"/>
          </w:tcPr>
          <w:p>
            <w:pPr>
              <w:spacing w:after="0"/>
              <w:rPr>
                <w:sz w:val="1"/>
                <w:szCs w:val="1"/>
                <w:color w:val="auto"/>
              </w:rPr>
            </w:pPr>
          </w:p>
        </w:tc>
      </w:tr>
      <w:tr>
        <w:trPr>
          <w:trHeight w:val="146"/>
        </w:trPr>
        <w:tc>
          <w:tcPr>
            <w:tcW w:w="3480" w:type="dxa"/>
            <w:vAlign w:val="bottom"/>
          </w:tcPr>
          <w:p>
            <w:pPr>
              <w:ind w:left="20"/>
              <w:spacing w:after="0" w:line="146" w:lineRule="exact"/>
              <w:rPr>
                <w:sz w:val="20"/>
                <w:szCs w:val="20"/>
                <w:color w:val="auto"/>
              </w:rPr>
            </w:pPr>
            <w:r>
              <w:rPr>
                <w:rFonts w:ascii="Arial" w:cs="Arial" w:eastAsia="Arial" w:hAnsi="Arial"/>
                <w:sz w:val="16"/>
                <w:szCs w:val="16"/>
                <w:color w:val="auto"/>
              </w:rPr>
              <w:t>Issuance of common stock upon the exercise of</w:t>
            </w: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14,850</w:t>
            </w: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options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grants issued</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offering 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100,056</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rPr>
              <w:t>Compensation expense related to stock-based</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awards</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Repayment of receivable for preferred operating</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8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 pledged as collateral on loan</w:t>
            </w: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w w:val="93"/>
              </w:rPr>
              <w:t>Redemption of Operating Partnership units for stock</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29,118</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Noncontrolling interest in consolidated joint venture</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4,828</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115,995</w:t>
            </w: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(16,762)</w:t>
            </w:r>
          </w:p>
        </w:tc>
        <w:tc>
          <w:tcPr>
            <w:tcW w:w="0" w:type="dxa"/>
            <w:vAlign w:val="bottom"/>
          </w:tcPr>
          <w:p>
            <w:pPr>
              <w:spacing w:after="0"/>
              <w:rPr>
                <w:sz w:val="1"/>
                <w:szCs w:val="1"/>
                <w:color w:val="auto"/>
              </w:rPr>
            </w:pPr>
          </w:p>
        </w:tc>
      </w:tr>
      <w:tr>
        <w:trPr>
          <w:trHeight w:val="166"/>
        </w:trPr>
        <w:tc>
          <w:tcPr>
            <w:tcW w:w="3480" w:type="dxa"/>
            <w:vAlign w:val="bottom"/>
          </w:tcPr>
          <w:p>
            <w:pPr>
              <w:ind w:left="20"/>
              <w:spacing w:after="0" w:line="166" w:lineRule="exact"/>
              <w:rPr>
                <w:sz w:val="20"/>
                <w:szCs w:val="20"/>
                <w:color w:val="auto"/>
              </w:rPr>
            </w:pPr>
            <w:r>
              <w:rPr>
                <w:rFonts w:ascii="Arial" w:cs="Arial" w:eastAsia="Arial" w:hAnsi="Arial"/>
                <w:sz w:val="16"/>
                <w:szCs w:val="16"/>
                <w:color w:val="auto"/>
                <w:w w:val="95"/>
              </w:rPr>
              <w:t>Distributions to Operating Partnership units held by</w:t>
            </w: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(3,178)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(5,440)</w:t>
            </w:r>
          </w:p>
        </w:tc>
        <w:tc>
          <w:tcPr>
            <w:tcW w:w="8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(8,618)</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Dividends paid on common stock at $0.90 per share</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(116,440)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(116,440)</w:t>
            </w:r>
          </w:p>
        </w:tc>
        <w:tc>
          <w:tcPr>
            <w:tcW w:w="0" w:type="dxa"/>
            <w:vAlign w:val="bottom"/>
          </w:tcPr>
          <w:p>
            <w:pPr>
              <w:spacing w:after="0"/>
              <w:rPr>
                <w:sz w:val="1"/>
                <w:szCs w:val="1"/>
                <w:color w:val="auto"/>
              </w:rPr>
            </w:pPr>
          </w:p>
        </w:tc>
      </w:tr>
      <w:tr>
        <w:trPr>
          <w:trHeight w:val="207"/>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Balances at September 30, 2019</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175,918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209,011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$ 346</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129,410,093</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1,294</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 xml:space="preserve"> 2,861,611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(43,439)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(296,752)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2,907,989</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Noncontrolling Interest</w:t>
            </w:r>
          </w:p>
        </w:tc>
        <w:tc>
          <w:tcPr>
            <w:tcW w:w="3740" w:type="dxa"/>
            <w:vAlign w:val="bottom"/>
            <w:gridSpan w:val="10"/>
          </w:tcPr>
          <w:p>
            <w:pPr>
              <w:ind w:left="800"/>
              <w:spacing w:after="0"/>
              <w:rPr>
                <w:sz w:val="20"/>
                <w:szCs w:val="20"/>
                <w:color w:val="auto"/>
              </w:rPr>
            </w:pPr>
            <w:r>
              <w:rPr>
                <w:rFonts w:ascii="Arial" w:cs="Arial" w:eastAsia="Arial" w:hAnsi="Arial"/>
                <w:sz w:val="14"/>
                <w:szCs w:val="14"/>
                <w:b w:val="1"/>
                <w:bCs w:val="1"/>
                <w:color w:val="auto"/>
                <w:w w:val="95"/>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175,948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205,419</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$ 366</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129,534,407</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$1,295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$2,868,681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(301,049)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2,921,694</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5"/>
              </w:rPr>
              <w:t>Issuance of common stock upon the exercise</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of options</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77,400</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in connection with</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73,602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grants cancelled</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(1,767)</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Buyback of common stock, net of offering</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(653,597)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(52,204)</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3"/>
              </w:rPr>
              <w:t>Redemption of Operating Partnership units for</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8,862</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(3,807)</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(84,874)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(89,244)</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Operating Partnership units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noncontrolling interests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4"/>
              </w:rPr>
              <w:t>Dividends paid on common stock at $0.90 per</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(117,197)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(117,197)</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175,319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200,832</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$ 360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129,038,907</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2,872,933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(113,840)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(362,264)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2,774,630</w:t>
            </w:r>
          </w:p>
        </w:tc>
        <w:tc>
          <w:tcPr>
            <w:tcW w:w="0" w:type="dxa"/>
            <w:vAlign w:val="bottom"/>
          </w:tcPr>
          <w:p>
            <w:pPr>
              <w:spacing w:after="0"/>
              <w:rPr>
                <w:sz w:val="1"/>
                <w:szCs w:val="1"/>
                <w:color w:val="auto"/>
              </w:rPr>
            </w:pPr>
          </w:p>
        </w:tc>
      </w:tr>
      <w:tr>
        <w:trPr>
          <w:trHeight w:val="156"/>
        </w:trPr>
        <w:tc>
          <w:tcPr>
            <w:tcW w:w="3480" w:type="dxa"/>
            <w:vAlign w:val="bottom"/>
          </w:tcPr>
          <w:p>
            <w:pPr>
              <w:ind w:left="20"/>
              <w:spacing w:after="0" w:line="156" w:lineRule="exact"/>
              <w:rPr>
                <w:sz w:val="20"/>
                <w:szCs w:val="20"/>
                <w:color w:val="auto"/>
              </w:rPr>
            </w:pPr>
            <w:r>
              <w:rPr>
                <w:rFonts w:ascii="Arial" w:cs="Arial" w:eastAsia="Arial" w:hAnsi="Arial"/>
                <w:sz w:val="18"/>
                <w:szCs w:val="18"/>
                <w:color w:val="auto"/>
                <w:w w:val="95"/>
              </w:rPr>
              <w:t>Issuance of common stock upon the exercise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of options</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13,610</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in connection with</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grants cancelled</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(889)</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Buyback of common stock, net of offering</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(172,600)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(15,615)</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3"/>
              </w:rPr>
              <w:t>Redemption of Operating Partnership units for</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(3,675)</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Redemption of Preferred D Units in the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Partnership for Stock</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30,495</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Noncontrolling interest in consolidated joint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venture</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(5,727)</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Operating Partnership units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noncontrolling interests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4"/>
              </w:rPr>
              <w:t>Dividends paid on common stock at $0.90 per</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(116,318)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(116,318)</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172,542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196,867</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$ 419</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129,069,555</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2,884,940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(119,256)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(391,285)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2,745,518</w:t>
            </w:r>
          </w:p>
        </w:tc>
        <w:tc>
          <w:tcPr>
            <w:tcW w:w="0" w:type="dxa"/>
            <w:vAlign w:val="bottom"/>
          </w:tcPr>
          <w:p>
            <w:pPr>
              <w:spacing w:after="0"/>
              <w:rPr>
                <w:sz w:val="1"/>
                <w:szCs w:val="1"/>
                <w:color w:val="auto"/>
              </w:rPr>
            </w:pPr>
          </w:p>
        </w:tc>
      </w:tr>
      <w:tr>
        <w:trPr>
          <w:trHeight w:val="804"/>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7"/>
          </w:tcPr>
          <w:p>
            <w:pPr>
              <w:ind w:left="200"/>
              <w:spacing w:after="0"/>
              <w:rPr>
                <w:sz w:val="20"/>
                <w:szCs w:val="20"/>
                <w:color w:val="auto"/>
              </w:rPr>
            </w:pPr>
            <w:r>
              <w:rPr>
                <w:rFonts w:ascii="Arial" w:cs="Arial" w:eastAsia="Arial" w:hAnsi="Arial"/>
                <w:sz w:val="14"/>
                <w:szCs w:val="14"/>
                <w:b w:val="1"/>
                <w:bCs w:val="1"/>
                <w:color w:val="auto"/>
              </w:rPr>
              <w:t>Noncontrolling Interest</w:t>
            </w:r>
          </w:p>
        </w:tc>
        <w:tc>
          <w:tcPr>
            <w:tcW w:w="3700" w:type="dxa"/>
            <w:vAlign w:val="bottom"/>
            <w:gridSpan w:val="10"/>
          </w:tcPr>
          <w:p>
            <w:pPr>
              <w:ind w:left="800"/>
              <w:spacing w:after="0"/>
              <w:rPr>
                <w:sz w:val="20"/>
                <w:szCs w:val="20"/>
                <w:color w:val="auto"/>
              </w:rPr>
            </w:pPr>
            <w:r>
              <w:rPr>
                <w:rFonts w:ascii="Arial" w:cs="Arial" w:eastAsia="Arial" w:hAnsi="Arial"/>
                <w:sz w:val="14"/>
                <w:szCs w:val="14"/>
                <w:b w:val="1"/>
                <w:bCs w:val="1"/>
                <w:color w:val="auto"/>
                <w:w w:val="93"/>
              </w:rPr>
              <w:t>Extra Space Storage Inc. Stockholders' Equity</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Par</w:t>
            </w:r>
          </w:p>
        </w:tc>
        <w:tc>
          <w:tcPr>
            <w:tcW w:w="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Operating</w:t>
            </w:r>
          </w:p>
        </w:tc>
        <w:tc>
          <w:tcPr>
            <w:tcW w:w="86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1"/>
                <w:szCs w:val="11"/>
                <w:color w:val="auto"/>
              </w:rPr>
            </w:pP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tcPr>
          <w:p>
            <w:pPr>
              <w:jc w:val="center"/>
              <w:ind w:right="97"/>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2"/>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172,542</w:t>
            </w:r>
          </w:p>
        </w:tc>
        <w:tc>
          <w:tcPr>
            <w:tcW w:w="8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196,867</w:t>
            </w:r>
          </w:p>
        </w:tc>
        <w:tc>
          <w:tcPr>
            <w:tcW w:w="8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$ 419</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129,069,555</w:t>
            </w: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$1,291</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$2,884,940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(119,256)</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(391,285)</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2,745,518</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Issuance of common stock upon the exercise</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options</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18,605</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5"/>
              </w:rPr>
              <w:t>Issuance of common stock in connection with</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share based compensation</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8,289</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grants cancelled</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Buyback of common stock, net of offering</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Repayment of receivable with Preferred</w:t>
            </w:r>
          </w:p>
        </w:tc>
        <w:tc>
          <w:tcPr>
            <w:tcW w:w="1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operating units pledged as collateral on loan</w:t>
            </w: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Redemption of Preferred B Units in the</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Operating Partnership for cash</w:t>
            </w: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123,854</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Operating Partnership units</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8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by noncontrolling interests</w:t>
            </w: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4"/>
              </w:rPr>
              <w:t>Dividends paid on common stock at $0.90 per</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0"/>
              </w:rPr>
              <w:t>(116,185)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8"/>
              </w:rPr>
              <w:t>(116,185)</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2020</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171,738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206,394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$ 406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129,094,900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3"/>
              </w:rPr>
              <w:t>$</w:t>
            </w:r>
            <w:r>
              <w:rPr>
                <w:rFonts w:ascii="Arial" w:cs="Arial" w:eastAsia="Arial" w:hAnsi="Arial"/>
                <w:sz w:val="16"/>
                <w:szCs w:val="16"/>
                <w:b w:val="1"/>
                <w:bCs w:val="1"/>
                <w:color w:val="auto"/>
                <w:w w:val="93"/>
              </w:rPr>
              <w:t>1,291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2,889,592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(392,891)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2,767,822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351,273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330,844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167,705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165,116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8,912</w:t>
            </w:r>
          </w:p>
        </w:tc>
        <w:tc>
          <w:tcPr>
            <w:tcW w:w="0" w:type="dxa"/>
            <w:vAlign w:val="bottom"/>
          </w:tcPr>
          <w:p>
            <w:pPr>
              <w:spacing w:after="0"/>
              <w:rPr>
                <w:sz w:val="1"/>
                <w:szCs w:val="1"/>
                <w:color w:val="auto"/>
              </w:rPr>
            </w:pPr>
          </w:p>
        </w:tc>
      </w:tr>
      <w:tr>
        <w:trPr>
          <w:trHeight w:val="166"/>
        </w:trPr>
        <w:tc>
          <w:tcPr>
            <w:tcW w:w="7840" w:type="dxa"/>
            <w:vAlign w:val="bottom"/>
          </w:tcPr>
          <w:p>
            <w:pPr>
              <w:ind w:left="660"/>
              <w:spacing w:after="0" w:line="166" w:lineRule="exact"/>
              <w:rPr>
                <w:sz w:val="20"/>
                <w:szCs w:val="20"/>
                <w:color w:val="auto"/>
              </w:rPr>
            </w:pPr>
            <w:r>
              <w:rPr>
                <w:rFonts w:ascii="Arial" w:cs="Arial" w:eastAsia="Arial" w:hAnsi="Arial"/>
                <w:sz w:val="16"/>
                <w:szCs w:val="16"/>
                <w:color w:val="auto"/>
                <w:w w:val="94"/>
              </w:rPr>
              <w:t>Non-cash interest expense related to amortization of discount on equity component of exchangeable senior</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3,533</w:t>
            </w:r>
          </w:p>
        </w:tc>
        <w:tc>
          <w:tcPr>
            <w:tcW w:w="0" w:type="dxa"/>
            <w:vAlign w:val="bottom"/>
          </w:tcPr>
          <w:p>
            <w:pPr>
              <w:spacing w:after="0"/>
              <w:rPr>
                <w:sz w:val="1"/>
                <w:szCs w:val="1"/>
                <w:color w:val="auto"/>
              </w:rPr>
            </w:pPr>
          </w:p>
        </w:tc>
      </w:tr>
      <w:tr>
        <w:trPr>
          <w:trHeight w:val="209"/>
        </w:trPr>
        <w:tc>
          <w:tcPr>
            <w:tcW w:w="7840" w:type="dxa"/>
            <w:vAlign w:val="bottom"/>
          </w:tcPr>
          <w:p>
            <w:pPr>
              <w:ind w:left="660"/>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660"/>
              <w:spacing w:after="0"/>
              <w:rPr>
                <w:sz w:val="20"/>
                <w:szCs w:val="20"/>
                <w:color w:val="auto"/>
              </w:rPr>
            </w:pPr>
            <w:r>
              <w:rPr>
                <w:rFonts w:ascii="Arial" w:cs="Arial" w:eastAsia="Arial" w:hAnsi="Arial"/>
                <w:sz w:val="16"/>
                <w:szCs w:val="16"/>
                <w:color w:val="auto"/>
              </w:rPr>
              <w:t>Compensation expense related to stock-based awards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11,316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real estate transactions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3"/>
        </w:trPr>
        <w:tc>
          <w:tcPr>
            <w:tcW w:w="7840" w:type="dxa"/>
            <w:vAlign w:val="bottom"/>
          </w:tcPr>
          <w:p>
            <w:pPr>
              <w:ind w:left="66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4,752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10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(17,977)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(11,153)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29,310</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4,370</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583,267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544,466</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(151,244)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(287,114)</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Development and redevelopment of real estate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(46,112)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(34,413)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real estate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11,254</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Investment in unconsolidated real estate entities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(33,661)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Return of investment in unconsolidated real estate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Issuance and purchase of notes receivable</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(149,750)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(162,677)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received from notes receivable</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Purchase of equipment and fixtures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(4,959)</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(363,845)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(356,377)</w:t>
            </w:r>
          </w:p>
        </w:tc>
        <w:tc>
          <w:tcPr>
            <w:tcW w:w="0" w:type="dxa"/>
            <w:vAlign w:val="bottom"/>
          </w:tcPr>
          <w:p>
            <w:pPr>
              <w:spacing w:after="0"/>
              <w:rPr>
                <w:sz w:val="1"/>
                <w:szCs w:val="1"/>
                <w:color w:val="auto"/>
              </w:rPr>
            </w:pP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sale of common stock, net of offering costs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198,852</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Proceeds from notes payable and revolving lines of credit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1,419,000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1,508,000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(1,503,686)</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Principal payments on notes payable to trusts</w:t>
            </w:r>
          </w:p>
        </w:tc>
        <w:tc>
          <w:tcPr>
            <w:tcW w:w="24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(30,928)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Net proceeds from exercise of stock options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Redemption of Operating Partnership units held by noncontrolling interests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principal payments on note receivable collateralized by Preferred OP Units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paid on common stock</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(341,535)</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(25,735)</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(209,581)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(194,064)</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9,841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(5,975)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72,690</w:t>
            </w:r>
          </w:p>
        </w:tc>
        <w:tc>
          <w:tcPr>
            <w:tcW w:w="0" w:type="dxa"/>
            <w:vAlign w:val="bottom"/>
          </w:tcPr>
          <w:p>
            <w:pPr>
              <w:spacing w:after="0"/>
              <w:rPr>
                <w:sz w:val="1"/>
                <w:szCs w:val="1"/>
                <w:color w:val="auto"/>
              </w:rPr>
            </w:pPr>
          </w:p>
        </w:tc>
      </w:tr>
      <w:tr>
        <w:trPr>
          <w:trHeight w:val="206"/>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80,574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66,715</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40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78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4"/>
        </w:trPr>
        <w:tc>
          <w:tcPr>
            <w:tcW w:w="78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119,977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136,563</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6,197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Operating Partnership</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(9,258)</w:t>
            </w: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Common stock and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9,258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Establishment of operating lease right of use assets and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Real estate assets - operating lease right-of-use assets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6,799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277,430</w:t>
            </w: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(286,787)</w:t>
            </w: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9,357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Real estate assets, net</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(13,833)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19,937</w:t>
            </w: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Notes payable assumed</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(17,157)</w:t>
            </w: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(2,780)</w:t>
            </w: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Finance lease liability</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(1,292)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of Preferred OP Units to unconsolidated real estate venture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Investments in unconsolidated real estate ventures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(28,022)</w:t>
            </w: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Value of Preferred Operating Partnership units issued</w:t>
            </w:r>
          </w:p>
        </w:tc>
        <w:tc>
          <w:tcPr>
            <w:tcW w:w="10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Operating Partnership units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Establishment of finance lease assets and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340"/>
              <w:spacing w:after="0"/>
              <w:rPr>
                <w:sz w:val="20"/>
                <w:szCs w:val="20"/>
                <w:color w:val="auto"/>
              </w:rPr>
            </w:pPr>
            <w:r>
              <w:rPr>
                <w:rFonts w:ascii="Arial" w:cs="Arial" w:eastAsia="Arial" w:hAnsi="Arial"/>
                <w:sz w:val="16"/>
                <w:szCs w:val="16"/>
                <w:color w:val="auto"/>
              </w:rPr>
              <w:t>Real estate assets, net</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8,605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Conversion of Preferred OP Units to Common OP Units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Preferred OP Units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w:t>
            </w:r>
          </w:p>
        </w:tc>
      </w:tr>
      <w:tr>
        <w:trPr>
          <w:trHeight w:val="210"/>
        </w:trPr>
        <w:tc>
          <w:tcPr>
            <w:tcW w:w="7840" w:type="dxa"/>
            <w:vAlign w:val="bottom"/>
          </w:tcPr>
          <w:p>
            <w:pPr>
              <w:ind w:left="340"/>
              <w:spacing w:after="0"/>
              <w:rPr>
                <w:sz w:val="20"/>
                <w:szCs w:val="20"/>
                <w:color w:val="auto"/>
              </w:rPr>
            </w:pPr>
            <w:r>
              <w:rPr>
                <w:rFonts w:ascii="Arial" w:cs="Arial" w:eastAsia="Arial" w:hAnsi="Arial"/>
                <w:sz w:val="16"/>
                <w:szCs w:val="16"/>
                <w:color w:val="auto"/>
              </w:rPr>
              <w:t>Common OP Units</w:t>
            </w:r>
          </w:p>
        </w:tc>
        <w:tc>
          <w:tcPr>
            <w:tcW w:w="10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(4,374)</w:t>
            </w: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September 30, 2020, the Company had direct and indirect equity interests in 1,188 stores. In addition, the Company managed 718 stores for third parties, bringing the total number of stores which it owns and/or manages to 1,906. These stores are located in 40 states, Washington, D.C. and Puerto Rico. The Company also offers tenant reinsurance at its owned and managed stores that insures the value of goods in the storage units.</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results for the three and nine months ended September 30, 2020 are not necessarily indicative of results that may be expected for the year ending December 31, 2020. The condensed consolidated balance sheet as of December 31, 2019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2019, as filed with the Securities and Exchange Commission.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(Topic 326): Measurement of Credit Losses on Financial Instruments." </w:t>
      </w:r>
      <w:r>
        <w:rPr>
          <w:rFonts w:ascii="Arial" w:cs="Arial" w:eastAsia="Arial" w:hAnsi="Arial"/>
          <w:sz w:val="16"/>
          <w:szCs w:val="16"/>
          <w:color w:val="auto"/>
        </w:rPr>
        <w:t>ASU 2016-13 changes how entities measure credit losses for most financial</w:t>
      </w:r>
    </w:p>
    <w:p>
      <w:pPr>
        <w:ind w:right="140"/>
        <w:spacing w:after="0" w:line="281" w:lineRule="auto"/>
        <w:rPr>
          <w:sz w:val="20"/>
          <w:szCs w:val="20"/>
          <w:color w:val="auto"/>
        </w:rPr>
      </w:pPr>
      <w:r>
        <w:rPr>
          <w:rFonts w:ascii="Arial" w:cs="Arial" w:eastAsia="Arial" w:hAnsi="Arial"/>
          <w:sz w:val="16"/>
          <w:szCs w:val="16"/>
          <w:color w:val="auto"/>
        </w:rPr>
        <w:t>assets. This standard requires an entity to estimate its lifetime "expected credit loss" and record an allowance that, when deducted from the amortized cost basis of the financial asset, presents the net amount expected to be collected on the financial asset. In November 2018, the FASB issued ASU 2018-19,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"Codification Improvements to Topic 326, Financial Instruments - Credit Losses," </w:t>
      </w:r>
      <w:r>
        <w:rPr>
          <w:rFonts w:ascii="Arial" w:cs="Arial" w:eastAsia="Arial" w:hAnsi="Arial"/>
          <w:sz w:val="16"/>
          <w:szCs w:val="16"/>
          <w:color w:val="auto"/>
        </w:rPr>
        <w:t>which clarified that receivables arising from operating leases are within</w:t>
      </w:r>
    </w:p>
    <w:p>
      <w:pPr>
        <w:spacing w:after="0" w:line="3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the scope of the leasing standard (ASU 2016-02), and not within the scope of ASU 2016-13. This new standard became effective for the Company on January 1, 2020. The adoption of this standard by the Company did not have a material impact on the Company's consolidated financial statements.</w:t>
      </w:r>
    </w:p>
    <w:p>
      <w:pPr>
        <w:spacing w:after="0" w:line="16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ASU 2020-04 contains practical expedients for reference rate reform related activities that impact debt, leases, derivatives and other contracts. The guidance in ASU 2020-04 is optional and may be elected over time as reference rate reform activities occur. The Company continues to evaluate the impact of the guidance and may apply other elections as applicable as additional changes in the market occur.</w:t>
      </w:r>
    </w:p>
    <w:p>
      <w:pPr>
        <w:spacing w:after="0" w:line="215"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ASU 2020-06 simplifies the accounting for convertible instruments and contracts in an entity's own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and amended related earnings per share guidance. The guidance in ASU 2020-06 becomes effective for fiscal years beginning after December 15, 2021. Early adoption is permitted no earlier than the fiscal years beginning after December 15, 2020. The guidance may be adopted on a modified or fully retrospective basis. The Company is currently assessing the impact of the adoption of ASU 2020-06 on its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September 30, 2020,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September 30, 2020, aggregated by the level in the fair value hierarchy within which those measurements fall.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Identical Assets (Level</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89"/>
        </w:trPr>
        <w:tc>
          <w:tcPr>
            <w:tcW w:w="6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
              <w:spacing w:after="0"/>
              <w:rPr>
                <w:sz w:val="20"/>
                <w:szCs w:val="20"/>
                <w:color w:val="auto"/>
              </w:rPr>
            </w:pPr>
            <w:r>
              <w:rPr>
                <w:rFonts w:ascii="Arial" w:cs="Arial" w:eastAsia="Arial" w:hAnsi="Arial"/>
                <w:sz w:val="18"/>
                <w:szCs w:val="18"/>
                <w:color w:val="auto"/>
              </w:rPr>
              <w:t>108,503</w:t>
            </w:r>
          </w:p>
        </w:tc>
        <w:tc>
          <w:tcPr>
            <w:tcW w:w="100" w:type="dxa"/>
            <w:vAlign w:val="bottom"/>
          </w:tcPr>
          <w:p>
            <w:pPr>
              <w:spacing w:after="0"/>
              <w:rPr>
                <w:sz w:val="20"/>
                <w:szCs w:val="20"/>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September 30, 2020 or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September 30, 2020, the Company had 16 operating stores classified as held for sale which are included in real estate assets, net. Subsequent to the end of the quarter, an additional 14 operating stores were classified as held for sale. The estimated fair values less selling costs for these assets is greater than the carrying values of the assets, and therefore no loss has been recorded. The sales of these 30 stores are expected to close between late 2020 and early 2021.</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September 30, 2020 and December 31, 2019 approximate fair value. Restricted cash is comprised of funds deposited with financial institutions located throughout the United States relating to earnest money deposits on potential acquisitions, real estate taxes, loan collateral, operating reserves, insurance and capital expenditures.</w:t>
      </w:r>
    </w:p>
    <w:p>
      <w:pPr>
        <w:spacing w:after="0" w:line="21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500"/>
              <w:spacing w:after="0"/>
              <w:rPr>
                <w:sz w:val="20"/>
                <w:szCs w:val="20"/>
                <w:color w:val="auto"/>
              </w:rPr>
            </w:pPr>
            <w:r>
              <w:rPr>
                <w:rFonts w:ascii="Arial" w:cs="Arial" w:eastAsia="Arial" w:hAnsi="Arial"/>
                <w:sz w:val="16"/>
                <w:szCs w:val="16"/>
                <w:b w:val="1"/>
                <w:bCs w:val="1"/>
                <w:color w:val="auto"/>
              </w:rPr>
              <w:t>September 30, 2020</w:t>
            </w:r>
          </w:p>
        </w:tc>
        <w:tc>
          <w:tcPr>
            <w:tcW w:w="320" w:type="dxa"/>
            <w:vAlign w:val="bottom"/>
          </w:tcPr>
          <w:p>
            <w:pPr>
              <w:spacing w:after="0"/>
              <w:rPr>
                <w:sz w:val="18"/>
                <w:szCs w:val="18"/>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72"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0"/>
              <w:spacing w:after="0" w:line="172"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155"/>
        </w:trPr>
        <w:tc>
          <w:tcPr>
            <w:tcW w:w="52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Notes receivable from Preferred and Common Operating Partnership</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110,782</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110,297</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116,184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118,524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3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Fixed rate notes receivable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111,957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101,940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rate notes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3,417,928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Exchangeable senior notes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675,625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673,831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EARNINGS PER COMMON SHARE</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and nine months ended September 30, 2020, and 2019, there were no anti-dilutive options.</w: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September 30, 2020 and 2019 was $103.36 and $115.63, respectively. The average share price for the nine months ended September 30, 2020 and 2019 was $100.14 and $105.74, respectively.</w:t>
      </w:r>
    </w:p>
    <w:p>
      <w:pPr>
        <w:spacing w:after="0" w:line="203"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tbl>
      <w:tblPr>
        <w:tblLayout w:type="fixed"/>
        <w:tblInd w:w="1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620" w:type="dxa"/>
            <w:vAlign w:val="bottom"/>
            <w:gridSpan w:val="4"/>
          </w:tcPr>
          <w:p>
            <w:pPr>
              <w:ind w:left="360"/>
              <w:spacing w:after="0"/>
              <w:rPr>
                <w:sz w:val="20"/>
                <w:szCs w:val="20"/>
                <w:color w:val="auto"/>
              </w:rPr>
            </w:pPr>
            <w:r>
              <w:rPr>
                <w:rFonts w:ascii="Arial" w:cs="Arial" w:eastAsia="Arial" w:hAnsi="Arial"/>
                <w:sz w:val="14"/>
                <w:szCs w:val="14"/>
                <w:b w:val="1"/>
                <w:bCs w:val="1"/>
                <w:color w:val="auto"/>
              </w:rPr>
              <w:t>For the Three Months Ended September 30,</w:t>
            </w:r>
          </w:p>
        </w:tc>
        <w:tc>
          <w:tcPr>
            <w:tcW w:w="3480" w:type="dxa"/>
            <w:vAlign w:val="bottom"/>
            <w:gridSpan w:val="3"/>
          </w:tcPr>
          <w:p>
            <w:pPr>
              <w:jc w:val="right"/>
              <w:ind w:right="342"/>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7"/>
        </w:trPr>
        <w:tc>
          <w:tcPr>
            <w:tcW w:w="3920" w:type="dxa"/>
            <w:vAlign w:val="bottom"/>
          </w:tcPr>
          <w:p>
            <w:pPr>
              <w:spacing w:after="0"/>
              <w:rPr>
                <w:sz w:val="16"/>
                <w:szCs w:val="16"/>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30"/>
        </w:trPr>
        <w:tc>
          <w:tcPr>
            <w:tcW w:w="392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Equivalent Shares (if</w:t>
            </w:r>
          </w:p>
        </w:tc>
        <w:tc>
          <w:tcPr>
            <w:tcW w:w="120" w:type="dxa"/>
            <w:vAlign w:val="bottom"/>
          </w:tcPr>
          <w:p>
            <w:pPr>
              <w:spacing w:after="0"/>
              <w:rPr>
                <w:sz w:val="11"/>
                <w:szCs w:val="11"/>
                <w:color w:val="auto"/>
              </w:rPr>
            </w:pPr>
          </w:p>
        </w:tc>
        <w:tc>
          <w:tcPr>
            <w:tcW w:w="17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c>
          <w:tcPr>
            <w:tcW w:w="180" w:type="dxa"/>
            <w:vAlign w:val="bottom"/>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2"/>
              </w:rPr>
              <w:t>Equivalent Shares (if</w:t>
            </w:r>
          </w:p>
        </w:tc>
        <w:tc>
          <w:tcPr>
            <w:tcW w:w="120" w:type="dxa"/>
            <w:vAlign w:val="bottom"/>
          </w:tcPr>
          <w:p>
            <w:pPr>
              <w:spacing w:after="0"/>
              <w:rPr>
                <w:sz w:val="11"/>
                <w:szCs w:val="11"/>
                <w:color w:val="auto"/>
              </w:rPr>
            </w:pPr>
          </w:p>
        </w:tc>
        <w:tc>
          <w:tcPr>
            <w:tcW w:w="1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3"/>
              </w:rPr>
              <w:t>Equivalent Shares (if</w:t>
            </w:r>
          </w:p>
        </w:tc>
      </w:tr>
      <w:tr>
        <w:trPr>
          <w:trHeight w:val="188"/>
        </w:trPr>
        <w:tc>
          <w:tcPr>
            <w:tcW w:w="39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converted)</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converted)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converted)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converted)</w:t>
            </w:r>
          </w:p>
        </w:tc>
      </w:tr>
      <w:tr>
        <w:trPr>
          <w:trHeight w:val="217"/>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Common OP Units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5,815,916</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5,870,459</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Series A Units (Variable Only)</w:t>
            </w:r>
          </w:p>
        </w:tc>
        <w:tc>
          <w:tcPr>
            <w:tcW w:w="1620" w:type="dxa"/>
            <w:vAlign w:val="bottom"/>
          </w:tcPr>
          <w:p>
            <w:pPr>
              <w:jc w:val="right"/>
              <w:spacing w:after="0"/>
              <w:rPr>
                <w:sz w:val="20"/>
                <w:szCs w:val="20"/>
                <w:color w:val="auto"/>
              </w:rPr>
            </w:pPr>
            <w:r>
              <w:rPr>
                <w:rFonts w:ascii="Arial" w:cs="Arial" w:eastAsia="Arial" w:hAnsi="Arial"/>
                <w:sz w:val="16"/>
                <w:szCs w:val="16"/>
                <w:color w:val="auto"/>
              </w:rPr>
              <w:t>875,480</w:t>
            </w:r>
          </w:p>
        </w:tc>
        <w:tc>
          <w:tcPr>
            <w:tcW w:w="1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875,480</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Series B Units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400,668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362,382</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416,796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396,276</w:t>
            </w:r>
          </w:p>
        </w:tc>
      </w:tr>
      <w:tr>
        <w:trPr>
          <w:trHeight w:val="213"/>
        </w:trPr>
        <w:tc>
          <w:tcPr>
            <w:tcW w:w="3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Series D Units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1,135,469</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1,038,538</w:t>
            </w:r>
          </w:p>
        </w:tc>
        <w:tc>
          <w:tcPr>
            <w:tcW w:w="1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1,187,083</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1,074,417</w:t>
            </w:r>
          </w:p>
        </w:tc>
      </w:tr>
      <w:tr>
        <w:trPr>
          <w:trHeight w:val="235"/>
        </w:trPr>
        <w:tc>
          <w:tcPr>
            <w:tcW w:w="39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8,227,533</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1,400,920</w:t>
            </w: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8,349,818</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1,470,693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Operating Partnership had $575,000 of its 3.125% Exchangeable Senior Notes due 2035 (the “2015 Notes”) issued and outstanding as of September 30, 2020.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$90.91 per share as of September 30, 2020,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Although the Company has retained the right to satisfy the exchange obligation in excess of the accreted principal amount of the 2015 Notes in cash and/or common stock,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earnings per share computation. For the three and nine months ended September 30, 2020 and 2019, 761,975 and 1,274,675 shares, respectively, related to the 2015 Notes were included in the computation for diluted earnings per share.</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is as follows for the periods presented: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For the Three Months Ended</w:t>
            </w:r>
          </w:p>
        </w:tc>
        <w:tc>
          <w:tcPr>
            <w:tcW w:w="180" w:type="dxa"/>
            <w:vAlign w:val="bottom"/>
          </w:tcPr>
          <w:p>
            <w:pPr>
              <w:spacing w:after="0"/>
              <w:rPr>
                <w:sz w:val="14"/>
                <w:szCs w:val="14"/>
                <w:color w:val="auto"/>
              </w:rPr>
            </w:pPr>
          </w:p>
        </w:tc>
        <w:tc>
          <w:tcPr>
            <w:tcW w:w="22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220" w:type="dxa"/>
            <w:vAlign w:val="bottom"/>
            <w:gridSpan w:val="4"/>
          </w:tcPr>
          <w:p>
            <w:pPr>
              <w:ind w:lef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325,723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307,685</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w w:val="96"/>
              </w:rPr>
              <w:t>(513)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for basic computations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307,177</w:t>
            </w:r>
          </w:p>
        </w:tc>
        <w:tc>
          <w:tcPr>
            <w:tcW w:w="0" w:type="dxa"/>
            <w:vAlign w:val="bottom"/>
          </w:tcPr>
          <w:p>
            <w:pPr>
              <w:spacing w:after="0"/>
              <w:rPr>
                <w:sz w:val="1"/>
                <w:szCs w:val="1"/>
                <w:color w:val="auto"/>
              </w:rPr>
            </w:pPr>
          </w:p>
        </w:tc>
      </w:tr>
      <w:tr>
        <w:trPr>
          <w:trHeight w:val="213"/>
        </w:trPr>
        <w:tc>
          <w:tcPr>
            <w:tcW w:w="6140" w:type="dxa"/>
            <w:vAlign w:val="bottom"/>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14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color w:val="auto"/>
                <w:w w:val="96"/>
              </w:rPr>
              <w:t>Income allocated to noncontrolling interest - Preferred Operating Partnership Units</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17,539</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and Operating Partnership Units</w:t>
            </w: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40" w:type="dxa"/>
            <w:vAlign w:val="bottom"/>
          </w:tcPr>
          <w:p>
            <w:pPr>
              <w:ind w:left="500"/>
              <w:spacing w:after="0" w:line="166" w:lineRule="exact"/>
              <w:rPr>
                <w:sz w:val="20"/>
                <w:szCs w:val="20"/>
                <w:color w:val="auto"/>
              </w:rPr>
            </w:pPr>
            <w:r>
              <w:rPr>
                <w:rFonts w:ascii="Arial" w:cs="Arial" w:eastAsia="Arial" w:hAnsi="Arial"/>
                <w:sz w:val="16"/>
                <w:szCs w:val="16"/>
                <w:color w:val="auto"/>
                <w:w w:val="93"/>
              </w:rPr>
              <w:t>Fixed component of income allocated to noncontrolling interest - Preferred Operating</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09"/>
        </w:trPr>
        <w:tc>
          <w:tcPr>
            <w:tcW w:w="6140" w:type="dxa"/>
            <w:vAlign w:val="bottom"/>
          </w:tcPr>
          <w:p>
            <w:pPr>
              <w:ind w:left="500"/>
              <w:spacing w:after="0"/>
              <w:rPr>
                <w:sz w:val="20"/>
                <w:szCs w:val="20"/>
                <w:color w:val="auto"/>
              </w:rPr>
            </w:pPr>
            <w:r>
              <w:rPr>
                <w:rFonts w:ascii="Arial" w:cs="Arial" w:eastAsia="Arial" w:hAnsi="Arial"/>
                <w:sz w:val="16"/>
                <w:szCs w:val="16"/>
                <w:color w:val="auto"/>
              </w:rPr>
              <w:t>Partnership (Series A Units)</w:t>
            </w: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for diluted computations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325,723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323,000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40" w:type="dxa"/>
            <w:vAlign w:val="bottom"/>
          </w:tcPr>
          <w:p>
            <w:pPr>
              <w:ind w:left="500"/>
              <w:spacing w:after="0"/>
              <w:rPr>
                <w:sz w:val="20"/>
                <w:szCs w:val="20"/>
                <w:color w:val="auto"/>
              </w:rPr>
            </w:pPr>
            <w:r>
              <w:rPr>
                <w:rFonts w:ascii="Arial" w:cs="Arial" w:eastAsia="Arial" w:hAnsi="Arial"/>
                <w:sz w:val="16"/>
                <w:szCs w:val="16"/>
                <w:color w:val="auto"/>
              </w:rPr>
              <w:t>Average number of common shares outstanding - basic</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128,862,341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128,776,549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w w:val="96"/>
              </w:rPr>
              <w:t>129,044,954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127,830,272</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OP Units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6,050,028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6,032,656</w:t>
            </w:r>
          </w:p>
        </w:tc>
        <w:tc>
          <w:tcPr>
            <w:tcW w:w="0" w:type="dxa"/>
            <w:vAlign w:val="bottom"/>
          </w:tcPr>
          <w:p>
            <w:pPr>
              <w:spacing w:after="0"/>
              <w:rPr>
                <w:sz w:val="1"/>
                <w:szCs w:val="1"/>
                <w:color w:val="auto"/>
              </w:rPr>
            </w:pPr>
          </w:p>
        </w:tc>
      </w:tr>
      <w:tr>
        <w:trPr>
          <w:trHeight w:val="213"/>
        </w:trPr>
        <w:tc>
          <w:tcPr>
            <w:tcW w:w="6140" w:type="dxa"/>
            <w:vAlign w:val="bottom"/>
          </w:tcPr>
          <w:p>
            <w:pPr>
              <w:ind w:left="500"/>
              <w:spacing w:after="0"/>
              <w:rPr>
                <w:sz w:val="20"/>
                <w:szCs w:val="20"/>
                <w:color w:val="auto"/>
              </w:rPr>
            </w:pPr>
            <w:r>
              <w:rPr>
                <w:rFonts w:ascii="Arial" w:cs="Arial" w:eastAsia="Arial" w:hAnsi="Arial"/>
                <w:sz w:val="16"/>
                <w:szCs w:val="16"/>
                <w:color w:val="auto"/>
              </w:rPr>
              <w:t>Series A Units</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875,480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875,480</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209,963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212,311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793,846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1,406,455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808,856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1,425,891</w:t>
            </w:r>
          </w:p>
        </w:tc>
        <w:tc>
          <w:tcPr>
            <w:tcW w:w="0" w:type="dxa"/>
            <w:vAlign w:val="bottom"/>
          </w:tcPr>
          <w:p>
            <w:pPr>
              <w:spacing w:after="0"/>
              <w:rPr>
                <w:sz w:val="1"/>
                <w:szCs w:val="1"/>
                <w:color w:val="auto"/>
              </w:rPr>
            </w:pPr>
          </w:p>
        </w:tc>
      </w:tr>
      <w:tr>
        <w:trPr>
          <w:trHeight w:val="235"/>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129,871,096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137,318,475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6"/>
              </w:rPr>
              <w:t>130,066,121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136,164,299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6"/>
                <w:szCs w:val="16"/>
                <w:color w:val="auto"/>
              </w:rPr>
              <w:t>Earnings per common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0"/>
        </w:trPr>
        <w:tc>
          <w:tcPr>
            <w:tcW w:w="6140" w:type="dxa"/>
            <w:vAlign w:val="bottom"/>
          </w:tcPr>
          <w:p>
            <w:pPr>
              <w:ind w:left="50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ind w:left="73"/>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
        <w:spacing w:after="0"/>
        <w:tabs>
          <w:tab w:leader="none" w:pos="373" w:val="left"/>
        </w:tabs>
        <w:rPr>
          <w:sz w:val="20"/>
          <w:szCs w:val="20"/>
          <w:color w:val="auto"/>
        </w:rPr>
      </w:pPr>
      <w:r>
        <w:rPr>
          <w:rFonts w:ascii="Arial" w:cs="Arial" w:eastAsia="Arial" w:hAnsi="Arial"/>
          <w:sz w:val="18"/>
          <w:szCs w:val="18"/>
          <w:b w:val="1"/>
          <w:bCs w:val="1"/>
          <w:color w:val="auto"/>
        </w:rPr>
        <w:t>5.</w:t>
        <w:tab/>
        <w:t>STORE ACQUISITIONS</w:t>
      </w:r>
    </w:p>
    <w:p>
      <w:pPr>
        <w:spacing w:after="0" w:line="256" w:lineRule="exact"/>
        <w:rPr>
          <w:sz w:val="20"/>
          <w:szCs w:val="20"/>
          <w:color w:val="auto"/>
        </w:rPr>
      </w:pPr>
    </w:p>
    <w:p>
      <w:pPr>
        <w:ind w:left="73" w:right="360"/>
        <w:spacing w:after="0" w:line="262" w:lineRule="auto"/>
        <w:rPr>
          <w:sz w:val="20"/>
          <w:szCs w:val="20"/>
          <w:color w:val="auto"/>
        </w:rPr>
      </w:pPr>
      <w:r>
        <w:rPr>
          <w:rFonts w:ascii="Arial" w:cs="Arial" w:eastAsia="Arial" w:hAnsi="Arial"/>
          <w:sz w:val="18"/>
          <w:szCs w:val="18"/>
          <w:color w:val="auto"/>
        </w:rPr>
        <w:t>The following table shows the Company’s acquisitions of stores for the three and nine months ended September 30, 2020 and 2019. The table excludes purchases of raw land and improvements made to existing assets. All acquisitions are considered asset acquisitions under ASU 2017-01,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Clarifying the Definition of a Business</w:t>
      </w:r>
      <w:r>
        <w:rPr>
          <w:rFonts w:ascii="Arial" w:cs="Arial" w:eastAsia="Arial" w:hAnsi="Arial"/>
          <w:sz w:val="18"/>
          <w:szCs w:val="18"/>
          <w:color w:val="auto"/>
        </w:rPr>
        <w:t>."</w:t>
      </w:r>
    </w:p>
    <w:p>
      <w:pPr>
        <w:spacing w:after="0" w:line="2" w:lineRule="exact"/>
        <w:rPr>
          <w:sz w:val="20"/>
          <w:szCs w:val="20"/>
          <w:color w:val="auto"/>
        </w:rPr>
      </w:pPr>
    </w:p>
    <w:tbl>
      <w:tblPr>
        <w:tblLayout w:type="fixed"/>
        <w:tblInd w:w="73"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Consideration Paid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Loan</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Finance Lease</w:t>
            </w:r>
          </w:p>
        </w:tc>
        <w:tc>
          <w:tcPr>
            <w:tcW w:w="120" w:type="dxa"/>
            <w:vAlign w:val="bottom"/>
          </w:tcPr>
          <w:p>
            <w:pPr>
              <w:spacing w:after="0"/>
              <w:rPr>
                <w:sz w:val="11"/>
                <w:szCs w:val="11"/>
                <w:color w:val="auto"/>
              </w:rPr>
            </w:pPr>
          </w:p>
        </w:tc>
        <w:tc>
          <w:tcPr>
            <w:tcW w:w="98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1"/>
              </w:rPr>
              <w:t>Investments in</w:t>
            </w: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35"/>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w:t>
            </w:r>
          </w:p>
        </w:tc>
        <w:tc>
          <w:tcPr>
            <w:tcW w:w="1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Paid</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1"/>
              <w:spacing w:after="0" w:line="135" w:lineRule="exact"/>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(Assets)</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00" w:type="dxa"/>
            <w:vAlign w:val="bottom"/>
            <w:vMerge w:val="continue"/>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Stores</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Assumed</w:t>
            </w:r>
          </w:p>
        </w:tc>
        <w:tc>
          <w:tcPr>
            <w:tcW w:w="200" w:type="dxa"/>
            <w:vAlign w:val="bottom"/>
          </w:tcPr>
          <w:p>
            <w:pPr>
              <w:spacing w:after="0"/>
              <w:rPr>
                <w:sz w:val="16"/>
                <w:szCs w:val="16"/>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6"/>
                <w:szCs w:val="16"/>
                <w:color w:val="auto"/>
              </w:rPr>
            </w:pPr>
          </w:p>
        </w:tc>
        <w:tc>
          <w:tcPr>
            <w:tcW w:w="98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Ventures</w:t>
            </w:r>
          </w:p>
        </w:tc>
        <w:tc>
          <w:tcPr>
            <w:tcW w:w="18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Assumed</w:t>
            </w:r>
          </w:p>
        </w:tc>
        <w:tc>
          <w:tcPr>
            <w:tcW w:w="120" w:type="dxa"/>
            <w:vAlign w:val="bottom"/>
          </w:tcPr>
          <w:p>
            <w:pPr>
              <w:spacing w:after="0"/>
              <w:rPr>
                <w:sz w:val="16"/>
                <w:szCs w:val="16"/>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24"/>
        </w:trPr>
        <w:tc>
          <w:tcPr>
            <w:tcW w:w="27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Q3 2020 </w:t>
            </w:r>
            <w:r>
              <w:rPr>
                <w:rFonts w:ascii="Arial" w:cs="Arial" w:eastAsia="Arial" w:hAnsi="Arial"/>
                <w:sz w:val="23"/>
                <w:szCs w:val="23"/>
                <w:color w:val="auto"/>
                <w:vertAlign w:val="superscript"/>
              </w:rPr>
              <w:t>(1)</w:t>
            </w: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101,731</w:t>
            </w: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86,996</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 $</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gridSpan w:val="2"/>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101,731</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Q2 2020</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Q1 2020</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19,399</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10</w:t>
            </w:r>
          </w:p>
        </w:tc>
        <w:tc>
          <w:tcPr>
            <w:tcW w:w="3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121,130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106,350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 $</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13,833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gridSpan w:val="2"/>
          </w:tcPr>
          <w:p>
            <w:pPr>
              <w:ind w:left="780"/>
              <w:spacing w:after="0"/>
              <w:rPr>
                <w:sz w:val="20"/>
                <w:szCs w:val="20"/>
                <w:color w:val="auto"/>
              </w:rPr>
            </w:pPr>
            <w:r>
              <w:rPr>
                <w:rFonts w:ascii="Arial" w:cs="Arial" w:eastAsia="Arial" w:hAnsi="Arial"/>
                <w:sz w:val="16"/>
                <w:szCs w:val="16"/>
                <w:b w:val="1"/>
                <w:bCs w:val="1"/>
                <w:color w:val="auto"/>
              </w:rPr>
              <w:t>— $</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121,130</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Q3 2019</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3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16,937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16,941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00"/>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 $</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16,937</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Q2 2019</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Q1 2019 </w:t>
            </w:r>
            <w:r>
              <w:rPr>
                <w:rFonts w:ascii="Arial" w:cs="Arial" w:eastAsia="Arial" w:hAnsi="Arial"/>
                <w:sz w:val="23"/>
                <w:szCs w:val="23"/>
                <w:color w:val="auto"/>
                <w:vertAlign w:val="superscript"/>
              </w:rPr>
              <w:t>(2)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14</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3"/>
              </w:rPr>
              <w:t>17,157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9"/>
              </w:rPr>
              <w:t>2,780</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223,740</w:t>
            </w:r>
          </w:p>
        </w:tc>
        <w:tc>
          <w:tcPr>
            <w:tcW w:w="0" w:type="dxa"/>
            <w:vAlign w:val="bottom"/>
          </w:tcPr>
          <w:p>
            <w:pPr>
              <w:spacing w:after="0"/>
              <w:rPr>
                <w:sz w:val="1"/>
                <w:szCs w:val="1"/>
                <w:color w:val="auto"/>
              </w:rPr>
            </w:pPr>
          </w:p>
        </w:tc>
      </w:tr>
      <w:tr>
        <w:trPr>
          <w:trHeight w:val="232"/>
        </w:trPr>
        <w:tc>
          <w:tcPr>
            <w:tcW w:w="27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16</w:t>
            </w:r>
          </w:p>
        </w:tc>
        <w:tc>
          <w:tcPr>
            <w:tcW w:w="3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249,101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228,255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w w:val="93"/>
              </w:rPr>
              <w:t>17,157</w:t>
            </w: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9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b w:val="1"/>
                <w:bCs w:val="1"/>
                <w:color w:val="auto"/>
                <w:w w:val="99"/>
              </w:rPr>
              <w:t>2,780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249,101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33" w:right="260" w:hanging="333"/>
        <w:spacing w:after="0" w:line="227" w:lineRule="auto"/>
        <w:tabs>
          <w:tab w:leader="none" w:pos="19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Store acquisitions during the three months ended September 30, 2020 include the acquisition of two stores that were subject to finance land leases. The right-of-use assets associated with these leases are included in real estate assets above.</w:t>
      </w:r>
    </w:p>
    <w:p>
      <w:pPr>
        <w:spacing w:after="0" w:line="229" w:lineRule="exact"/>
        <w:rPr>
          <w:rFonts w:ascii="Arial" w:cs="Arial" w:eastAsia="Arial" w:hAnsi="Arial"/>
          <w:sz w:val="23"/>
          <w:szCs w:val="23"/>
          <w:color w:val="auto"/>
          <w:vertAlign w:val="superscript"/>
        </w:rPr>
      </w:pPr>
    </w:p>
    <w:p>
      <w:pPr>
        <w:ind w:left="333" w:right="440" w:hanging="333"/>
        <w:spacing w:after="0" w:line="249" w:lineRule="auto"/>
        <w:tabs>
          <w:tab w:leader="none" w:pos="19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Store acquisitions during the first quarter of 2019 include the acquisition of 12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spacing w:after="0" w:line="299" w:lineRule="exact"/>
        <w:rPr>
          <w:rFonts w:ascii="Arial" w:cs="Arial" w:eastAsia="Arial" w:hAnsi="Arial"/>
          <w:sz w:val="22"/>
          <w:szCs w:val="22"/>
          <w:color w:val="auto"/>
          <w:vertAlign w:val="superscript"/>
        </w:rPr>
      </w:pPr>
    </w:p>
    <w:p>
      <w:pPr>
        <w:ind w:left="393" w:hanging="312"/>
        <w:spacing w:after="0"/>
        <w:tabs>
          <w:tab w:leader="none" w:pos="393"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REAL ESTATE ENTITIES</w:t>
      </w:r>
    </w:p>
    <w:p>
      <w:pPr>
        <w:spacing w:after="0" w:line="229" w:lineRule="exact"/>
        <w:rPr>
          <w:sz w:val="20"/>
          <w:szCs w:val="20"/>
          <w:color w:val="auto"/>
        </w:rPr>
      </w:pPr>
    </w:p>
    <w:p>
      <w:pPr>
        <w:ind w:left="73" w:right="20"/>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ind w:left="73" w:right="140"/>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211" w:lineRule="exact"/>
        <w:rPr>
          <w:sz w:val="20"/>
          <w:szCs w:val="20"/>
          <w:color w:val="auto"/>
        </w:rPr>
      </w:pPr>
    </w:p>
    <w:p>
      <w:pPr>
        <w:ind w:left="73" w:right="80"/>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84" w:lineRule="exact"/>
        <w:rPr>
          <w:sz w:val="20"/>
          <w:szCs w:val="20"/>
          <w:color w:val="auto"/>
        </w:rPr>
      </w:pPr>
    </w:p>
    <w:p>
      <w:pPr>
        <w:ind w:left="73"/>
        <w:spacing w:after="0" w:line="342" w:lineRule="auto"/>
        <w:rPr>
          <w:sz w:val="20"/>
          <w:szCs w:val="20"/>
          <w:color w:val="auto"/>
        </w:rPr>
      </w:pPr>
      <w:r>
        <w:rPr>
          <w:rFonts w:ascii="Arial" w:cs="Arial" w:eastAsia="Arial" w:hAnsi="Arial"/>
          <w:sz w:val="16"/>
          <w:szCs w:val="16"/>
          <w:color w:val="auto"/>
        </w:rPr>
        <w:t>During the nine months ended September 30, 2020, the Company contributed a total of $13,937 to its joint ventures including the purchase of one operating store, five stores acquired at the issuance of certificate of occupancy, and other capital contributions related to cash flow requirements for lease up stores.</w:t>
      </w:r>
    </w:p>
    <w:p>
      <w:pPr>
        <w:spacing w:after="0" w:line="200" w:lineRule="exact"/>
        <w:rPr>
          <w:sz w:val="20"/>
          <w:szCs w:val="20"/>
          <w:color w:val="auto"/>
        </w:rPr>
      </w:pPr>
    </w:p>
    <w:p>
      <w:pPr>
        <w:spacing w:after="0" w:line="302"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 xml:space="preserve">Excess Profit % </w:t>
            </w:r>
            <w:r>
              <w:rPr>
                <w:rFonts w:ascii="Arial" w:cs="Arial" w:eastAsia="Arial" w:hAnsi="Arial"/>
                <w:sz w:val="18"/>
                <w:szCs w:val="18"/>
                <w:b w:val="1"/>
                <w:bCs w:val="1"/>
                <w:color w:val="auto"/>
                <w:w w:val="90"/>
                <w:vertAlign w:val="superscript"/>
              </w:rPr>
              <w:t>(1)</w:t>
            </w:r>
          </w:p>
        </w:tc>
        <w:tc>
          <w:tcPr>
            <w:tcW w:w="140" w:type="dxa"/>
            <w:vAlign w:val="bottom"/>
          </w:tcPr>
          <w:p>
            <w:pPr>
              <w:spacing w:after="0"/>
              <w:rPr>
                <w:sz w:val="3"/>
                <w:szCs w:val="3"/>
                <w:color w:val="auto"/>
              </w:rPr>
            </w:pPr>
          </w:p>
        </w:tc>
        <w:tc>
          <w:tcPr>
            <w:tcW w:w="11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line="20" w:lineRule="exact"/>
              <w:rPr>
                <w:sz w:val="1"/>
                <w:szCs w:val="1"/>
                <w:color w:val="auto"/>
              </w:rPr>
            </w:pPr>
          </w:p>
        </w:tc>
      </w:tr>
      <w:tr>
        <w:trPr>
          <w:trHeight w:val="189"/>
        </w:trPr>
        <w:tc>
          <w:tcPr>
            <w:tcW w:w="50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Ownership %</w:t>
            </w: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EXR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WICNN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VRS Self Storage,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ESS-NYFL JV LP</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16%</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GFN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PRISA Self Storage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Alan Jathoo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III JV LLC</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 Bristol Investments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Extra Space Northern Properties Six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Portfolio II JV LLC</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Storage Portfolio I LLC</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1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34%</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(38,345)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minority owned stores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1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SmartStop Self Storage REIT, Inc. Preferred Stock </w:t>
            </w:r>
            <w:r>
              <w:rPr>
                <w:rFonts w:ascii="Arial" w:cs="Arial" w:eastAsia="Arial" w:hAnsi="Arial"/>
                <w:sz w:val="23"/>
                <w:szCs w:val="23"/>
                <w:color w:val="auto"/>
                <w:vertAlign w:val="superscript"/>
              </w:rPr>
              <w:t>(2)</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2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155"/>
        </w:trPr>
        <w:tc>
          <w:tcPr>
            <w:tcW w:w="5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Investments in and Cash distributions in unconsolidated real</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247</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301,259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292,790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estate entities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pro-rata equity ownership share and maximum potential promoted interest.</w:t>
      </w:r>
    </w:p>
    <w:p>
      <w:pPr>
        <w:spacing w:after="0" w:line="225" w:lineRule="exact"/>
        <w:rPr>
          <w:rFonts w:ascii="Arial" w:cs="Arial" w:eastAsia="Arial" w:hAnsi="Arial"/>
          <w:sz w:val="18"/>
          <w:szCs w:val="18"/>
          <w:color w:val="auto"/>
        </w:rPr>
      </w:pPr>
    </w:p>
    <w:p>
      <w:pPr>
        <w:ind w:left="340" w:right="20" w:hanging="332"/>
        <w:spacing w:after="0" w:line="273" w:lineRule="auto"/>
        <w:tabs>
          <w:tab w:leader="none" w:pos="271"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October 2019, the Company invested $150,000 in shares of newly issued convertible preferred stock of SmartStop, with an additional commitment to purchase up to $50,000 of the preferred shares over the 12 months after the original purchase.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 On October 26, 2020, the Company invested the additional $50,000 in SmartStop convertible preferred stock that was previously committed.</w:t>
      </w:r>
    </w:p>
    <w:p>
      <w:pPr>
        <w:spacing w:after="0" w:line="2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VARIABLE INTERESTS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Operating Partnership had three wholly-owned unconsolidated subsidiaries (“Trust,” “Trust II” and “Trust III,” together, the “Trusts”) that had issued trust preferred securities to third parties and common securities to the Operating Partnership during 2005. The proceeds from the sale of the preferred and common securities were loaned in the form of notes to the Operating Partnership. The Trusts were variable interest entities ("VIEs") because the holders of the equity investment at risk (the trust preferred securities) did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cannot be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condensed consolidated balance sheets.</w:t>
      </w:r>
    </w:p>
    <w:p>
      <w:pPr>
        <w:spacing w:after="0" w:line="2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 Company repaid a total principal amount of $88,662,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time they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three and nine months ended September 30, 2020.</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DERIVATIVES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nine months ended September 30, 2020 and 2019, such derivatives were used to hedge the variable cash flows associated with existing variable-rate debt. In the coming 12 months, the Company estimates that $34,541 will be reclassified and increase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23 derivative financial instruments which had a total combined notional amount of $2,157,733 as of September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Asset / Liability Derivatives</w:t>
            </w:r>
          </w:p>
        </w:tc>
      </w:tr>
      <w:tr>
        <w:trPr>
          <w:trHeight w:val="186"/>
        </w:trPr>
        <w:tc>
          <w:tcPr>
            <w:tcW w:w="7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September 30, 2020</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December 31, 2019</w:t>
            </w:r>
          </w:p>
        </w:tc>
      </w:tr>
      <w:tr>
        <w:trPr>
          <w:trHeight w:val="20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3"/>
          </w:tcPr>
          <w:p>
            <w:pPr>
              <w:jc w:val="right"/>
              <w:ind w:right="1196"/>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108,503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jc w:val="center"/>
              <w:ind w:right="119"/>
              <w:spacing w:after="0"/>
              <w:rPr>
                <w:sz w:val="20"/>
                <w:szCs w:val="20"/>
                <w:color w:val="auto"/>
              </w:rPr>
            </w:pPr>
            <w:r>
              <w:rPr>
                <w:rFonts w:ascii="Arial" w:cs="Arial" w:eastAsia="Arial" w:hAnsi="Arial"/>
                <w:sz w:val="14"/>
                <w:szCs w:val="14"/>
                <w:b w:val="1"/>
                <w:bCs w:val="1"/>
                <w:color w:val="auto"/>
                <w:w w:val="94"/>
              </w:rPr>
              <w:t>Gain (loss) recognized in OCI For the Three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Location of amounts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Gain (loss) reclassified from OCI For the Three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gridSpan w:val="6"/>
          </w:tcPr>
          <w:p>
            <w:pPr>
              <w:jc w:val="center"/>
              <w:ind w:right="99"/>
              <w:spacing w:after="0" w:line="135" w:lineRule="exact"/>
              <w:rPr>
                <w:sz w:val="20"/>
                <w:szCs w:val="20"/>
                <w:color w:val="auto"/>
              </w:rPr>
            </w:pPr>
            <w:r>
              <w:rPr>
                <w:rFonts w:ascii="Arial" w:cs="Arial" w:eastAsia="Arial" w:hAnsi="Arial"/>
                <w:sz w:val="14"/>
                <w:szCs w:val="14"/>
                <w:b w:val="1"/>
                <w:bCs w:val="1"/>
                <w:color w:val="auto"/>
                <w:w w:val="92"/>
              </w:rPr>
              <w:t>Months Ended 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6"/>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Months Ended September 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gridSpan w:val="3"/>
          </w:tcPr>
          <w:p>
            <w:pPr>
              <w:jc w:val="center"/>
              <w:ind w:right="140"/>
              <w:spacing w:after="0" w:line="122" w:lineRule="exact"/>
              <w:rPr>
                <w:sz w:val="20"/>
                <w:szCs w:val="20"/>
                <w:color w:val="auto"/>
              </w:rPr>
            </w:pPr>
            <w:r>
              <w:rPr>
                <w:rFonts w:ascii="Arial" w:cs="Arial" w:eastAsia="Arial" w:hAnsi="Arial"/>
                <w:sz w:val="14"/>
                <w:szCs w:val="14"/>
                <w:b w:val="1"/>
                <w:bCs w:val="1"/>
                <w:color w:val="auto"/>
                <w:w w:val="95"/>
              </w:rPr>
              <w:t>reclassified from OCI</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vMerge w:val="restart"/>
          </w:tcPr>
          <w:p>
            <w:pPr>
              <w:jc w:val="right"/>
              <w:ind w:right="6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into income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Gain (loss) recognized in OCI For the Nine Months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Location of amounts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Gain (loss) reclassified from OCI For the Nine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20" w:type="dxa"/>
            <w:vAlign w:val="bottom"/>
            <w:gridSpan w:val="5"/>
          </w:tcPr>
          <w:p>
            <w:pPr>
              <w:jc w:val="center"/>
              <w:ind w:left="683"/>
              <w:spacing w:after="0" w:line="135" w:lineRule="exact"/>
              <w:rPr>
                <w:sz w:val="20"/>
                <w:szCs w:val="20"/>
                <w:color w:val="auto"/>
              </w:rPr>
            </w:pPr>
            <w:r>
              <w:rPr>
                <w:rFonts w:ascii="Arial" w:cs="Arial" w:eastAsia="Arial" w:hAnsi="Arial"/>
                <w:sz w:val="14"/>
                <w:szCs w:val="14"/>
                <w:b w:val="1"/>
                <w:bCs w:val="1"/>
                <w:color w:val="auto"/>
                <w:w w:val="92"/>
              </w:rPr>
              <w:t>Ended September 30,</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gridSpan w:val="6"/>
          </w:tcPr>
          <w:p>
            <w:pPr>
              <w:jc w:val="right"/>
              <w:ind w:right="700"/>
              <w:spacing w:after="0" w:line="135" w:lineRule="exact"/>
              <w:rPr>
                <w:sz w:val="20"/>
                <w:szCs w:val="20"/>
                <w:color w:val="auto"/>
              </w:rPr>
            </w:pPr>
            <w:r>
              <w:rPr>
                <w:rFonts w:ascii="Arial" w:cs="Arial" w:eastAsia="Arial" w:hAnsi="Arial"/>
                <w:sz w:val="14"/>
                <w:szCs w:val="14"/>
                <w:b w:val="1"/>
                <w:bCs w:val="1"/>
                <w:color w:val="auto"/>
              </w:rPr>
              <w:t>Months Ended September 30,</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Type</w:t>
            </w: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20" w:type="dxa"/>
            <w:vAlign w:val="bottom"/>
            <w:gridSpan w:val="3"/>
            <w:vMerge w:val="restart"/>
          </w:tcPr>
          <w:p>
            <w:pPr>
              <w:jc w:val="center"/>
              <w:ind w:right="20"/>
              <w:spacing w:after="0" w:line="95" w:lineRule="exact"/>
              <w:rPr>
                <w:sz w:val="20"/>
                <w:szCs w:val="20"/>
                <w:color w:val="auto"/>
              </w:rPr>
            </w:pPr>
            <w:r>
              <w:rPr>
                <w:rFonts w:ascii="Arial" w:cs="Arial" w:eastAsia="Arial" w:hAnsi="Arial"/>
                <w:sz w:val="10"/>
                <w:szCs w:val="10"/>
                <w:b w:val="1"/>
                <w:bCs w:val="1"/>
                <w:color w:val="auto"/>
              </w:rPr>
              <w:t>reclassified from OCI into</w:t>
            </w: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income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Interest expense</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2020, the fair value of derivatives in a net liability position, which includes accrued interest but excludes any adjustment for nonperformance risk, related to these agreements was $113,320. As of September 30, 2020, the Company had not posted any collateral related to these agreements. If the Company had breached any of these provisions as of September 30, 2020, it could have been required to cash settle its obligations under the agreements at their termination value of $113,320, including accrued interest.</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EXCHANGEABLE SENIOR NOTES</w:t>
      </w:r>
    </w:p>
    <w:p>
      <w:pPr>
        <w:spacing w:after="0" w:line="25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September 2015, the Operating Partnership issued $575,000 of its 3.125% Exchangeable Senior Notes due 2035. Costs incurred to issue the 2015 Notes were approximately $11,992, consisting primarily of a 2.0% underwriting fee. These costs were amortized as an adjustment to interest expense over five years, which represents the estimated term based on the first available redemption date, and are included in exchangeable senior notes, net, in the condensed consolidated balance sheets. Prior to the full redemption of the 2015 Notes in November 2020 as described below, the 2015 Notes were general unsecured senior obligations of the Operating Partnership and were fully guaranteed by the Company. Interest was payable on April 1 and October 1 of each year beginning April 1, 2016, until the maturity date of October 1, 2035. The 2015 Notes bore interest at 3.125% per annum and contained an exchange settlement feature, which provided that the 2015 Notes could have been, under certain circumstances,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September 30, 2020 was approximately 11.00 shares of the Company’s common stock per $1,000 principal amount of the 2015 Notes.</w:t>
      </w:r>
    </w:p>
    <w:p>
      <w:pPr>
        <w:spacing w:after="0" w:line="19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accounted for the liability and equity components of the 2015 Notes separately. The equity components are included in paid-in capital in stockholders’ equity in the condensed consolidated balance sheets, and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value of the equity components are treated as original issue discount for purposes of accounting for the debt components. The discounts were amortized as interest expense over the remaining period of the debt through its first redemption date of October 1, 2020. The effective interest rate on the liability components of the 2015 Notes was 4.0%, which approximated the market rate of interest of similar debt without exchange features (i.e. nonconvertible debt) at the time of issuance.</w:t>
      </w:r>
    </w:p>
    <w:p>
      <w:pPr>
        <w:spacing w:after="0" w:line="214" w:lineRule="exact"/>
        <w:rPr>
          <w:sz w:val="20"/>
          <w:szCs w:val="20"/>
          <w:color w:val="auto"/>
        </w:rPr>
      </w:pPr>
    </w:p>
    <w:p>
      <w:pPr>
        <w:ind w:right="860"/>
        <w:spacing w:after="0" w:line="269" w:lineRule="auto"/>
        <w:rPr>
          <w:sz w:val="20"/>
          <w:szCs w:val="20"/>
          <w:color w:val="auto"/>
        </w:rPr>
      </w:pPr>
      <w:r>
        <w:rPr>
          <w:rFonts w:ascii="Arial" w:cs="Arial" w:eastAsia="Arial" w:hAnsi="Arial"/>
          <w:sz w:val="18"/>
          <w:szCs w:val="18"/>
          <w:color w:val="auto"/>
        </w:rPr>
        <w:t>Information about the Company’s 2015 Notes, including the total carrying amount of the equity component, the principal amount of the liability component, the unamortized discount and the net carrying amount was as follows for the periods indicated:</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Principal amount of liability component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 equity component</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liability component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of the Notes were as follows for the periods indicated:</w:t>
      </w: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0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For the Three Months Ended September 30,</w:t>
            </w:r>
          </w:p>
        </w:tc>
        <w:tc>
          <w:tcPr>
            <w:tcW w:w="100" w:type="dxa"/>
            <w:vAlign w:val="bottom"/>
          </w:tcPr>
          <w:p>
            <w:pPr>
              <w:spacing w:after="0"/>
              <w:rPr>
                <w:sz w:val="16"/>
                <w:szCs w:val="16"/>
                <w:color w:val="auto"/>
              </w:rPr>
            </w:pPr>
          </w:p>
        </w:tc>
        <w:tc>
          <w:tcPr>
            <w:tcW w:w="278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7"/>
        </w:trPr>
        <w:tc>
          <w:tcPr>
            <w:tcW w:w="528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13,476</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discount</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On October 1, 2020, the holders of $71,513 principal amount of the 2015 Notes exchanged their Notes. The Company paid cash of $71,513 for the principal amount and issued 124,819 shares of common stock with a value of $13,495 for the exchange value in excess of the principal amount. On November 2, 2020, the holders of an additional $503,432 principal amount of the 2015 Notes exchanged their Notes. The Company paid cash of $503,432 for the principal amount and issued 1,198,962 shares of common stock with a value of $138,900 for the exchange value in excess of the principal amount. Also on November 2, 2020, the Company redeemed the remaining $55 of outstanding principal amount of the 2015 Notes for cash.</w:t>
      </w:r>
    </w:p>
    <w:p>
      <w:pPr>
        <w:spacing w:after="0" w:line="2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STOCKHOLDERS’ EQUITY</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15, 2019, the Company filed its $500,000 "at the market" equity program with the Securities and Exchange Commission using a shelf registration statement on Form S-3, and entered into separate equity distribution agreements with nine sales agents.</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nine months ended September 30, 2020, the Company sold no shares of common stock under its "at the market" equity program and had $298,621 available for issuance under the equity distribution agreements.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8, 2017, the Company's board of directors authorized a three-year share repurchase program to allow for the repurchase of shares with an aggregate value up to $400,000. During the nine months ended September 30, 2020, the Company repurchased 826,797 shares at an average price of $82.09 per share, paying a total of $67,873. As of September 30, 2020, the Company had remaining authorization to repurchase shares with an aggregate value up to $332,127. On October 15, 2020, the Company's board of directors authorized a new share repurchase program allowing for the repurchase of shares with an aggregate value up to $400,000, which replaced the Company's prior share repurchase program that was scheduled to expire on November 8, 2020.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At September 30, 2020 and December 31, 2019,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September 30, 2020 and December 31, 2019, noncontrolling interests in Preferred OP Units were presented net of notes receivable from Preferred OP Unit holders of $100,000 as more fully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Series B Units were issued in 2013 and 2014 and have a liquidation value of $25.00 per unit for a fixed liquidation value of $40,902, which represents 1,636,087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August 17, 2020, 40,000 Series B Units were redeemed for $1,000 in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21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1, 2018, certain holders of the Series C Units converted their Series C Units into OP Units, with a total of 407,996 Series C Units being converted into a total of 373,113 OP Units. On April 25, 2019, the remaining 296,020 Series C Units were converted into 270,709 OP Units. During the three months ended September 30, 2020, $8,226 was repaid on the loan receivable. The remaining outstanding balance of the loan receivable of $10,297 and $18,524 is shown as a reduction of the noncontrolling interests related to the OP Units as of September 30, 2020 and December 31, 2019, respectively. See footnote 12 for further discussion of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Series D Units have been issued at various times from 2014 to 2019. During the six months ended June 30, 2019, the Operating Partnership issued 1,120,924 Series D Units valued at $28,022 in conjunction with joint venture acquisitions.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Series D Units have a liquidation value of $25.00 per unit, for a fixed liquidation value of $117,362, which represents 4,694,485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May and June 2020, 108,960 Series D Units were redeemed for 30,495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interest in its stores is held through the Operating Partnership. Between its general partner and limited partner interests, the Company held a 94.0% ownership interest in the Operating Partnership as of September 30, 2020. The remaining ownership interests in the Operating Partnership (including Preferred OP Units) of 6.0% are held by certain former owners of assets acquired by the Operating Partnership. As of September 30, 2020 and December 31, 2019, the noncontrolling interests in the Operating Partnership are shown on the balance sheet net of notes receivable of $10,297 and $18,524, respectively, because the borrowers under the loan receivable are also holders of OP Units (Note 11). This loan receivable bears interest at 5.0% per annum and matures on December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September 30, 2020, the ten-day average closing price of the Company's common stock was $107.20 and there were 5,815,916 OP Units outstanding. Assuming that all of the OP Unit holders exercised their right to redeem all of their OP Units on September 30, 2020 and the Company elected to pay the OP Unit holders cash, the Company would have paid $623,466 in cash consideration to redeem the units.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8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10"/>
        </w:trPr>
        <w:tc>
          <w:tcPr>
            <w:tcW w:w="73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2019</w:t>
            </w:r>
          </w:p>
        </w:tc>
      </w:tr>
      <w:tr>
        <w:trPr>
          <w:trHeight w:val="22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108,862</w:t>
            </w:r>
          </w:p>
        </w:tc>
        <w:tc>
          <w:tcPr>
            <w:tcW w:w="7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153"/>
              <w:spacing w:after="0"/>
              <w:rPr>
                <w:sz w:val="20"/>
                <w:szCs w:val="20"/>
                <w:color w:val="auto"/>
              </w:rPr>
            </w:pPr>
            <w:r>
              <w:rPr>
                <w:rFonts w:ascii="Arial" w:cs="Arial" w:eastAsia="Arial" w:hAnsi="Arial"/>
                <w:sz w:val="18"/>
                <w:szCs w:val="18"/>
                <w:color w:val="auto"/>
                <w:w w:val="89"/>
              </w:rPr>
              <w:t>239,619</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OP Units issued upon redemption of Series C Units</w:t>
            </w:r>
          </w:p>
        </w:tc>
        <w:tc>
          <w:tcPr>
            <w:tcW w:w="142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w:t>
            </w:r>
          </w:p>
        </w:tc>
        <w:tc>
          <w:tcPr>
            <w:tcW w:w="1620" w:type="dxa"/>
            <w:vAlign w:val="bottom"/>
          </w:tcPr>
          <w:p>
            <w:pPr>
              <w:jc w:val="center"/>
              <w:ind w:right="153"/>
              <w:spacing w:after="0"/>
              <w:rPr>
                <w:sz w:val="20"/>
                <w:szCs w:val="20"/>
                <w:color w:val="auto"/>
              </w:rPr>
            </w:pPr>
            <w:r>
              <w:rPr>
                <w:rFonts w:ascii="Arial" w:cs="Arial" w:eastAsia="Arial" w:hAnsi="Arial"/>
                <w:sz w:val="18"/>
                <w:szCs w:val="18"/>
                <w:color w:val="auto"/>
                <w:w w:val="89"/>
              </w:rPr>
              <w:t>270,709</w:t>
            </w:r>
          </w:p>
        </w:tc>
      </w:tr>
    </w:tbl>
    <w:p>
      <w:pPr>
        <w:spacing w:after="0" w:line="33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Other noncontrolling interests represent the ownership interests of third parties in two consolidated joint ventures as of September 30, 2020. One joint venture owns four operating stores, and the other joint venture owns two operating stores.</w:t>
      </w:r>
    </w:p>
    <w:p>
      <w:pPr>
        <w:spacing w:after="0" w:line="19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In June 2020, the Company, through a consolidated joint venture, completed the acquisition of a store subject to a lease upon the completion of construction. The Company recorded real estate assets associated with this finance lease of $8,605.</w:t>
      </w:r>
    </w:p>
    <w:p>
      <w:pPr>
        <w:spacing w:after="0" w:line="2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SEGMENT INFORMATION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4" w:right="339" w:bottom="1440" w:gutter="0" w:footer="0" w:header="0"/>
        </w:sectPr>
      </w:pPr>
    </w:p>
    <w:bookmarkStart w:id="26" w:name="page27"/>
    <w:bookmarkEnd w:id="26"/>
    <w:p>
      <w:pPr>
        <w:jc w:val="center"/>
        <w:ind w:left="442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34925</wp:posOffset>
            </wp:positionV>
            <wp:extent cx="2151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49" w:lineRule="exact"/>
        <w:rPr>
          <w:sz w:val="20"/>
          <w:szCs w:val="20"/>
          <w:color w:val="auto"/>
        </w:rPr>
      </w:pPr>
    </w:p>
    <w:p>
      <w:pPr>
        <w:ind w:left="4920"/>
        <w:spacing w:after="0"/>
        <w:tabs>
          <w:tab w:leader="none" w:pos="660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34925</wp:posOffset>
            </wp:positionV>
            <wp:extent cx="2160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49"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6" w:lineRule="exact"/>
        <w:rPr>
          <w:sz w:val="20"/>
          <w:szCs w:val="20"/>
          <w:color w:val="auto"/>
        </w:rPr>
      </w:pPr>
    </w:p>
    <w:p>
      <w:pPr>
        <w:sectPr>
          <w:pgSz w:w="11900" w:h="16838" w:orient="portrait"/>
          <w:cols w:equalWidth="0" w:num="2">
            <w:col w:w="7460" w:space="600"/>
            <w:col w:w="3180"/>
          </w:cols>
          <w:pgMar w:left="320" w:top="166"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4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Self-Storage Operations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290,423</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290,917</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856,438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841,504</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Tenant Reinsurance</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39,294</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33,588</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107,985</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95,086</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revenues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329,717</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324,505</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964,423</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936,590</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Self-Storage Operations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92,322</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88,653</w:t>
            </w:r>
          </w:p>
        </w:tc>
        <w:tc>
          <w:tcPr>
            <w:tcW w:w="2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271,659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248,288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Reinsurance</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w:t>
            </w: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21,593</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segment operating expenses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99,511</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96,297</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292,384</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269,881</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Self-Storage Operations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202,264</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584,779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593,216</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Tenant Reinsurance</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32,105</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87,260</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net operating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230,206</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228,208</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672,039</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666,709</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components of net income (loss):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Management fees and other income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13,307</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38,299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36,063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(22,519)</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(72,242)</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(68,548)</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(56,412)</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(56,051)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(167,705)</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(165,116)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(42,213)</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(46,908)</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(127,610)</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(141,716)</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Non-cash interest expense related to amortization of</w:t>
            </w: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discount on equity component of exchangeable senior</w:t>
            </w:r>
          </w:p>
        </w:tc>
        <w:tc>
          <w:tcPr>
            <w:tcW w:w="5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5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5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w:t>
            </w:r>
          </w:p>
        </w:tc>
        <w:tc>
          <w:tcPr>
            <w:tcW w:w="5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3,145</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6,488</w:t>
            </w: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Equity in earnings and dividend income from</w:t>
            </w:r>
          </w:p>
        </w:tc>
        <w:tc>
          <w:tcPr>
            <w:tcW w:w="5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5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5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unconsolidated real estate entities</w:t>
            </w:r>
          </w:p>
        </w:tc>
        <w:tc>
          <w:tcPr>
            <w:tcW w:w="5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(10,013)</w:t>
            </w: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123,854</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115,995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351,273</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September 30, 2020,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September 30, 2020, the Company was under agreement to acquire fourteen stores at a total purchase price of $157,875. Thirteen stores are scheduled to close in 2020 and the remaining store is expected to close in 2021. Additionally, the Company is under agreement to acquire one store with a joint venture partner, for a total investment of $1,600. This one store is expected to close in 2021.</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7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0" w:lineRule="exact"/>
        <w:rPr>
          <w:sz w:val="20"/>
          <w:szCs w:val="20"/>
          <w:color w:val="auto"/>
        </w:rPr>
      </w:pPr>
    </w:p>
    <w:p>
      <w:pPr>
        <w:spacing w:after="0" w:line="29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Subsequent to September 30, 2020, the Company purchased four operating stores for a total purchase price of $44,150. The Company also purchased one store that is subject to a lease at completion of construction for a total purchase price of $6,400. These acquisitions are included in the amounts shown in the commitments and contingencies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The following discussion and analysis should be read in conjunction with our unaudited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Condensed Consolidated Financial Statements (unaudited)” </w:t>
      </w:r>
      <w:r>
        <w:rPr>
          <w:rFonts w:ascii="Arial" w:cs="Arial" w:eastAsia="Arial" w:hAnsi="Arial"/>
          <w:sz w:val="16"/>
          <w:szCs w:val="16"/>
          <w:color w:val="auto"/>
        </w:rPr>
        <w:t>appearing elsewhere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w:t>
      </w:r>
    </w:p>
    <w:p>
      <w:pPr>
        <w:spacing w:after="0" w:line="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Form 10-K for the year ended December 31, 2019.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 Information</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2019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 – THE COVID-19 PANDEMIC</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United States and other countries around the world are experiencing a major health pandemic related to COVID-19, which has created considerable instability and disruption in the U.S. and world economies. Governmental authorities in impacted regions are taking varied and sometimes dramatic action in an effort to slow the spread of COVID-19. Federal, state and local jurisdictions have issued varying forms of states of emergency orders. We are working to comply within the framework of local, county, state and federal laws as they evolve. In that regard,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We have transitioned many of our interactions between customers and leasing and support staff to on-line and telephonic communications. Due to the COVID-19 pandemic, our customers may be impacted, including through unemployment, which may impact their ability to pay rent or renew their leases.</w:t>
      </w:r>
    </w:p>
    <w:p>
      <w:pPr>
        <w:spacing w:after="0" w:line="19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Our business has been impacted by COVID-19 in several ways, including reductions in new rentals and vacates due to stay-at-home orders and other restrictions, lower achieved rental rates from new customers, fewer existing customer rent increases, reduced late fee collection and impaired ability to hold auctions resulting in higher accounts receivable and bad debt. These impacts from COVID-19 were especially prevalent during the second quarter of 2020. As restrictions began to lessen during the three months ended September 30, 2020, we saw some return toward normalcy, including higher achieved rates in August and September, accounts receivable and collections less than 60 days returning to historical norms, and auctions being held in most locations. As a result of the reductions in vacates, we saw record occupancy levels during the three months ended September 30, 2020.</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9" w:name="page30"/>
    <w:bookmarkEnd w:id="29"/>
    <w:p>
      <w:pPr>
        <w:ind w:right="20"/>
        <w:spacing w:after="0" w:line="262" w:lineRule="auto"/>
        <w:rPr>
          <w:sz w:val="20"/>
          <w:szCs w:val="20"/>
          <w:color w:val="auto"/>
        </w:rPr>
      </w:pPr>
      <w:r>
        <w:rPr>
          <w:rFonts w:ascii="Arial" w:cs="Arial" w:eastAsia="Arial" w:hAnsi="Arial"/>
          <w:sz w:val="17"/>
          <w:szCs w:val="17"/>
          <w:color w:val="auto"/>
        </w:rPr>
        <w:t>Although the self-storage industry has historically been resilient to ordinary market downturns, the impact of the COVID-19 pandemic on the U.S. and world economies generally, and on our future results in particular, could be significant and will largely depend on future developments, which are highly uncertain and cannot be predicted. This includes new information which may emerge concerning the severity of COVID-19, the success of actions taken to contain or treat COVID-19 and reactions by consumers, companies, governmental entities and capital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2020, we owned or had ownership interests in 1,188 operating stores. Of these stores, 935 are wholly-owned, six are in consolidated joint ventures, and 247 are in unconsolidated joint ventures. In addition, we managed an additional 718 stores for third parties bringing the total number of stores which we own and/or manage to 1,906.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2020, approximately 1,140,000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September 30, 2020, the average length of stay was approximately 15.7 months.</w:t>
      </w:r>
    </w:p>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$16.03 for the three months ended September 30, 2020, compared to $16.36 for the three months ended September 30, 2019. Average annual rent per square foot for new leases was $15.41 for the three months ended September 30, 2020, compared to $14.29 for the three months ended September 30, 2019. The average discounts, as a percentage of rental revenues, at all stabilized properties during these periods were 3.5% and 3.8%,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0" w:name="page31"/>
    <w:bookmarkEnd w:id="30"/>
    <w:p>
      <w:pPr>
        <w:jc w:val="both"/>
        <w:ind w:right="160"/>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September 30, 2020</w:t>
            </w:r>
          </w:p>
        </w:tc>
        <w:tc>
          <w:tcPr>
            <w:tcW w:w="1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23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REIT Owned</w:t>
            </w:r>
          </w:p>
        </w:tc>
        <w:tc>
          <w:tcPr>
            <w:tcW w:w="22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Joint Venture Owned</w:t>
            </w:r>
          </w:p>
        </w:tc>
        <w:tc>
          <w:tcPr>
            <w:tcW w:w="2240" w:type="dxa"/>
            <w:vAlign w:val="bottom"/>
            <w:tcBorders>
              <w:bottom w:val="single" w:sz="8" w:color="auto"/>
            </w:tcBorders>
            <w:gridSpan w:val="2"/>
          </w:tcPr>
          <w:p>
            <w:pPr>
              <w:jc w:val="right"/>
              <w:ind w:right="779"/>
              <w:spacing w:after="0"/>
              <w:rPr>
                <w:sz w:val="20"/>
                <w:szCs w:val="20"/>
                <w:color w:val="auto"/>
              </w:rPr>
            </w:pPr>
            <w:r>
              <w:rPr>
                <w:rFonts w:ascii="Arial" w:cs="Arial" w:eastAsia="Arial" w:hAnsi="Arial"/>
                <w:sz w:val="16"/>
                <w:szCs w:val="16"/>
                <w:b w:val="1"/>
                <w:bCs w:val="1"/>
                <w:color w:val="auto"/>
              </w:rPr>
              <w:t>Managed</w:t>
            </w: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8"/>
        </w:trPr>
        <w:tc>
          <w:tcPr>
            <w:tcW w:w="232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rPr>
              <w:t>Property</w:t>
            </w:r>
          </w:p>
        </w:tc>
        <w:tc>
          <w:tcPr>
            <w:tcW w:w="130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6"/>
        </w:trPr>
        <w:tc>
          <w:tcPr>
            <w:tcW w:w="2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9"/>
              <w:spacing w:after="0" w:line="216"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Count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Count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557,473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75,801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1,062,225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1,695,499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1,623,730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467,733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1,638,387</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300" w:type="dxa"/>
            <w:vAlign w:val="bottom"/>
          </w:tcPr>
          <w:p>
            <w:pPr>
              <w:jc w:val="right"/>
              <w:spacing w:after="0"/>
              <w:rPr>
                <w:sz w:val="20"/>
                <w:szCs w:val="20"/>
                <w:color w:val="auto"/>
              </w:rPr>
            </w:pPr>
            <w:r>
              <w:rPr>
                <w:rFonts w:ascii="Arial" w:cs="Arial" w:eastAsia="Arial" w:hAnsi="Arial"/>
                <w:sz w:val="16"/>
                <w:szCs w:val="16"/>
                <w:color w:val="auto"/>
              </w:rPr>
              <w:t>3,729,850</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12,874,874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3,010,476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6,395,959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22,281,309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1,153,951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186,273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1,821,269</w:t>
            </w: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300" w:type="dxa"/>
            <w:vAlign w:val="bottom"/>
          </w:tcPr>
          <w:p>
            <w:pPr>
              <w:jc w:val="right"/>
              <w:spacing w:after="0"/>
              <w:rPr>
                <w:sz w:val="20"/>
                <w:szCs w:val="20"/>
                <w:color w:val="auto"/>
              </w:rPr>
            </w:pPr>
            <w:r>
              <w:rPr>
                <w:rFonts w:ascii="Arial" w:cs="Arial" w:eastAsia="Arial" w:hAnsi="Arial"/>
                <w:sz w:val="16"/>
                <w:szCs w:val="16"/>
                <w:color w:val="auto"/>
              </w:rPr>
              <w:t>3,161,493</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531,183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629,770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350,291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1,511,244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76,645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137,913</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214,558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7,168,634</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2,659,188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7,594,790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17,422,612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4,893,459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511,067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1,801,362</w:t>
            </w:r>
          </w:p>
        </w:tc>
        <w:tc>
          <w:tcPr>
            <w:tcW w:w="860" w:type="dxa"/>
            <w:vAlign w:val="bottom"/>
          </w:tcPr>
          <w:p>
            <w:pPr>
              <w:jc w:val="right"/>
              <w:spacing w:after="0"/>
              <w:rPr>
                <w:sz w:val="20"/>
                <w:szCs w:val="20"/>
                <w:color w:val="auto"/>
              </w:rPr>
            </w:pPr>
            <w:r>
              <w:rPr>
                <w:rFonts w:ascii="Arial" w:cs="Arial" w:eastAsia="Arial" w:hAnsi="Arial"/>
                <w:sz w:val="16"/>
                <w:szCs w:val="16"/>
                <w:color w:val="auto"/>
              </w:rPr>
              <w:t>93</w:t>
            </w:r>
          </w:p>
        </w:tc>
        <w:tc>
          <w:tcPr>
            <w:tcW w:w="1300" w:type="dxa"/>
            <w:vAlign w:val="bottom"/>
          </w:tcPr>
          <w:p>
            <w:pPr>
              <w:jc w:val="right"/>
              <w:spacing w:after="0"/>
              <w:rPr>
                <w:sz w:val="20"/>
                <w:szCs w:val="20"/>
                <w:color w:val="auto"/>
              </w:rPr>
            </w:pPr>
            <w:r>
              <w:rPr>
                <w:rFonts w:ascii="Arial" w:cs="Arial" w:eastAsia="Arial" w:hAnsi="Arial"/>
                <w:sz w:val="16"/>
                <w:szCs w:val="16"/>
                <w:color w:val="auto"/>
              </w:rPr>
              <w:t>7,205,888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847,815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211,629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1,059,444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712,402</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712,402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2,966,472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568,875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1,840,392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5,375,739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951,924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58,166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852,247</w:t>
            </w: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300" w:type="dxa"/>
            <w:vAlign w:val="bottom"/>
          </w:tcPr>
          <w:p>
            <w:pPr>
              <w:jc w:val="right"/>
              <w:spacing w:after="0"/>
              <w:rPr>
                <w:sz w:val="20"/>
                <w:szCs w:val="20"/>
                <w:color w:val="auto"/>
              </w:rPr>
            </w:pPr>
            <w:r>
              <w:rPr>
                <w:rFonts w:ascii="Arial" w:cs="Arial" w:eastAsia="Arial" w:hAnsi="Arial"/>
                <w:sz w:val="16"/>
                <w:szCs w:val="16"/>
                <w:color w:val="auto"/>
              </w:rPr>
              <w:t>1,862,337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83,401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108,920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371,560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563,881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931,308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51,118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406,478</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300" w:type="dxa"/>
            <w:vAlign w:val="bottom"/>
          </w:tcPr>
          <w:p>
            <w:pPr>
              <w:jc w:val="right"/>
              <w:spacing w:after="0"/>
              <w:rPr>
                <w:sz w:val="20"/>
                <w:szCs w:val="20"/>
                <w:color w:val="auto"/>
              </w:rPr>
            </w:pPr>
            <w:r>
              <w:rPr>
                <w:rFonts w:ascii="Arial" w:cs="Arial" w:eastAsia="Arial" w:hAnsi="Arial"/>
                <w:sz w:val="16"/>
                <w:szCs w:val="16"/>
                <w:color w:val="auto"/>
              </w:rPr>
              <w:t>1,388,904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160,760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469,895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630,655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2,591,388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618,478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2,334,329</w:t>
            </w: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300" w:type="dxa"/>
            <w:vAlign w:val="bottom"/>
          </w:tcPr>
          <w:p>
            <w:pPr>
              <w:jc w:val="right"/>
              <w:spacing w:after="0"/>
              <w:rPr>
                <w:sz w:val="20"/>
                <w:szCs w:val="20"/>
                <w:color w:val="auto"/>
              </w:rPr>
            </w:pPr>
            <w:r>
              <w:rPr>
                <w:rFonts w:ascii="Arial" w:cs="Arial" w:eastAsia="Arial" w:hAnsi="Arial"/>
                <w:sz w:val="16"/>
                <w:szCs w:val="16"/>
                <w:color w:val="auto"/>
              </w:rPr>
              <w:t>5,544,195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2,971,672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640,789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848,875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4,461,336</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563,839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313,176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249,680</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300" w:type="dxa"/>
            <w:vAlign w:val="bottom"/>
          </w:tcPr>
          <w:p>
            <w:pPr>
              <w:jc w:val="right"/>
              <w:spacing w:after="0"/>
              <w:rPr>
                <w:sz w:val="20"/>
                <w:szCs w:val="20"/>
                <w:color w:val="auto"/>
              </w:rPr>
            </w:pPr>
            <w:r>
              <w:rPr>
                <w:rFonts w:ascii="Arial" w:cs="Arial" w:eastAsia="Arial" w:hAnsi="Arial"/>
                <w:sz w:val="16"/>
                <w:szCs w:val="16"/>
                <w:color w:val="auto"/>
              </w:rPr>
              <w:t>1,126,695</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382,587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267,187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752,916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1,402,690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219,822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219,822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332,795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119,275</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539,978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992,048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307,038</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spacing w:after="0"/>
              <w:rPr>
                <w:sz w:val="20"/>
                <w:szCs w:val="20"/>
                <w:color w:val="auto"/>
              </w:rPr>
            </w:pPr>
            <w:r>
              <w:rPr>
                <w:rFonts w:ascii="Arial" w:cs="Arial" w:eastAsia="Arial" w:hAnsi="Arial"/>
                <w:sz w:val="16"/>
                <w:szCs w:val="16"/>
                <w:color w:val="auto"/>
              </w:rPr>
              <w:t>307,038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1,039,568</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473,641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531,515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2,044,724</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135,835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84,165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118,541</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300" w:type="dxa"/>
            <w:vAlign w:val="bottom"/>
          </w:tcPr>
          <w:p>
            <w:pPr>
              <w:jc w:val="right"/>
              <w:spacing w:after="0"/>
              <w:rPr>
                <w:sz w:val="20"/>
                <w:szCs w:val="20"/>
                <w:color w:val="auto"/>
              </w:rPr>
            </w:pPr>
            <w:r>
              <w:rPr>
                <w:rFonts w:ascii="Arial" w:cs="Arial" w:eastAsia="Arial" w:hAnsi="Arial"/>
                <w:sz w:val="16"/>
                <w:szCs w:val="16"/>
                <w:color w:val="auto"/>
              </w:rPr>
              <w:t>338,541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4,741,052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1,246,863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1,315,524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7,303,439</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722,233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350,900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893,285</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300" w:type="dxa"/>
            <w:vAlign w:val="bottom"/>
          </w:tcPr>
          <w:p>
            <w:pPr>
              <w:jc w:val="right"/>
              <w:spacing w:after="0"/>
              <w:rPr>
                <w:sz w:val="20"/>
                <w:szCs w:val="20"/>
                <w:color w:val="auto"/>
              </w:rPr>
            </w:pPr>
            <w:r>
              <w:rPr>
                <w:rFonts w:ascii="Arial" w:cs="Arial" w:eastAsia="Arial" w:hAnsi="Arial"/>
                <w:sz w:val="16"/>
                <w:szCs w:val="16"/>
                <w:color w:val="auto"/>
              </w:rPr>
              <w:t>1,966,418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1,971,361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1,513,971</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1,119,630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4,604,962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1,412,323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373,829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1,367,349</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300" w:type="dxa"/>
            <w:vAlign w:val="bottom"/>
          </w:tcPr>
          <w:p>
            <w:pPr>
              <w:jc w:val="right"/>
              <w:spacing w:after="0"/>
              <w:rPr>
                <w:sz w:val="20"/>
                <w:szCs w:val="20"/>
                <w:color w:val="auto"/>
              </w:rPr>
            </w:pPr>
            <w:r>
              <w:rPr>
                <w:rFonts w:ascii="Arial" w:cs="Arial" w:eastAsia="Arial" w:hAnsi="Arial"/>
                <w:sz w:val="16"/>
                <w:szCs w:val="16"/>
                <w:color w:val="auto"/>
              </w:rPr>
              <w:t>3,153,501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1,314,950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325,963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493,909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2,134,822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1,733,548</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300" w:type="dxa"/>
            <w:vAlign w:val="bottom"/>
          </w:tcPr>
          <w:p>
            <w:pPr>
              <w:jc w:val="right"/>
              <w:spacing w:after="0"/>
              <w:rPr>
                <w:sz w:val="20"/>
                <w:szCs w:val="20"/>
                <w:color w:val="auto"/>
              </w:rPr>
            </w:pPr>
            <w:r>
              <w:rPr>
                <w:rFonts w:ascii="Arial" w:cs="Arial" w:eastAsia="Arial" w:hAnsi="Arial"/>
                <w:sz w:val="16"/>
                <w:szCs w:val="16"/>
                <w:color w:val="auto"/>
              </w:rPr>
              <w:t>1,733,548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400,153</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281,656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1,114,842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1,796,651</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1,412,346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513,219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1,851,144</w:t>
            </w: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1300" w:type="dxa"/>
            <w:vAlign w:val="bottom"/>
          </w:tcPr>
          <w:p>
            <w:pPr>
              <w:jc w:val="right"/>
              <w:spacing w:after="0"/>
              <w:rPr>
                <w:sz w:val="20"/>
                <w:szCs w:val="20"/>
                <w:color w:val="auto"/>
              </w:rPr>
            </w:pPr>
            <w:r>
              <w:rPr>
                <w:rFonts w:ascii="Arial" w:cs="Arial" w:eastAsia="Arial" w:hAnsi="Arial"/>
                <w:sz w:val="16"/>
                <w:szCs w:val="16"/>
                <w:color w:val="auto"/>
              </w:rPr>
              <w:t>3,776,709</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133,416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166,571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299,987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1,844,911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498,233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1,407,142</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300" w:type="dxa"/>
            <w:vAlign w:val="bottom"/>
          </w:tcPr>
          <w:p>
            <w:pPr>
              <w:jc w:val="right"/>
              <w:spacing w:after="0"/>
              <w:rPr>
                <w:sz w:val="20"/>
                <w:szCs w:val="20"/>
                <w:color w:val="auto"/>
              </w:rPr>
            </w:pPr>
            <w:r>
              <w:rPr>
                <w:rFonts w:ascii="Arial" w:cs="Arial" w:eastAsia="Arial" w:hAnsi="Arial"/>
                <w:sz w:val="16"/>
                <w:szCs w:val="16"/>
                <w:color w:val="auto"/>
              </w:rPr>
              <w:t>3,750,286</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1,455,326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803,086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913,965</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3,172,377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Texas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8,673,025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708,331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6,463,858</w:t>
            </w:r>
          </w:p>
        </w:tc>
        <w:tc>
          <w:tcPr>
            <w:tcW w:w="860" w:type="dxa"/>
            <w:vAlign w:val="bottom"/>
          </w:tcPr>
          <w:p>
            <w:pPr>
              <w:jc w:val="right"/>
              <w:spacing w:after="0"/>
              <w:rPr>
                <w:sz w:val="20"/>
                <w:szCs w:val="20"/>
                <w:color w:val="auto"/>
              </w:rPr>
            </w:pPr>
            <w:r>
              <w:rPr>
                <w:rFonts w:ascii="Arial" w:cs="Arial" w:eastAsia="Arial" w:hAnsi="Arial"/>
                <w:sz w:val="16"/>
                <w:szCs w:val="16"/>
                <w:color w:val="auto"/>
              </w:rPr>
              <w:t>190</w:t>
            </w:r>
          </w:p>
        </w:tc>
        <w:tc>
          <w:tcPr>
            <w:tcW w:w="1300" w:type="dxa"/>
            <w:vAlign w:val="bottom"/>
          </w:tcPr>
          <w:p>
            <w:pPr>
              <w:jc w:val="right"/>
              <w:spacing w:after="0"/>
              <w:rPr>
                <w:sz w:val="20"/>
                <w:szCs w:val="20"/>
                <w:color w:val="auto"/>
              </w:rPr>
            </w:pPr>
            <w:r>
              <w:rPr>
                <w:rFonts w:ascii="Arial" w:cs="Arial" w:eastAsia="Arial" w:hAnsi="Arial"/>
                <w:sz w:val="16"/>
                <w:szCs w:val="16"/>
                <w:color w:val="auto"/>
              </w:rPr>
              <w:t>15,845,214</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710,487</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1,639,000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2,349,487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3,683,246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567,443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1,919,703</w:t>
            </w: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300" w:type="dxa"/>
            <w:vAlign w:val="bottom"/>
          </w:tcPr>
          <w:p>
            <w:pPr>
              <w:jc w:val="right"/>
              <w:spacing w:after="0"/>
              <w:rPr>
                <w:sz w:val="20"/>
                <w:szCs w:val="20"/>
                <w:color w:val="auto"/>
              </w:rPr>
            </w:pPr>
            <w:r>
              <w:rPr>
                <w:rFonts w:ascii="Arial" w:cs="Arial" w:eastAsia="Arial" w:hAnsi="Arial"/>
                <w:sz w:val="16"/>
                <w:szCs w:val="16"/>
                <w:color w:val="auto"/>
              </w:rPr>
              <w:t>6,170,392</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589,880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57,290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1,004,130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1,651,300</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100,039</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103,766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483,562</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spacing w:after="0"/>
              <w:rPr>
                <w:sz w:val="20"/>
                <w:szCs w:val="20"/>
                <w:color w:val="auto"/>
              </w:rPr>
            </w:pPr>
            <w:r>
              <w:rPr>
                <w:rFonts w:ascii="Arial" w:cs="Arial" w:eastAsia="Arial" w:hAnsi="Arial"/>
                <w:sz w:val="16"/>
                <w:szCs w:val="16"/>
                <w:color w:val="auto"/>
              </w:rPr>
              <w:t>687,367</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523,579</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430,293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953,872</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Puerto Rico</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917,507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917,507</w:t>
            </w:r>
          </w:p>
        </w:tc>
        <w:tc>
          <w:tcPr>
            <w:tcW w:w="0" w:type="dxa"/>
            <w:vAlign w:val="bottom"/>
          </w:tcPr>
          <w:p>
            <w:pPr>
              <w:spacing w:after="0"/>
              <w:rPr>
                <w:sz w:val="1"/>
                <w:szCs w:val="1"/>
                <w:color w:val="auto"/>
              </w:rPr>
            </w:pPr>
          </w:p>
        </w:tc>
      </w:tr>
      <w:tr>
        <w:trPr>
          <w:trHeight w:val="234"/>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72,147,238</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18,788,872</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718</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56,584,633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147,520,743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six consolidated joint venture stores.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1" w:name="page32"/>
    <w:bookmarkEnd w:id="3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Results for the three and nine months ended September 30, 2020 included the operations of 1,188 stores (935 wholly-owned, six in consolidated joint ventures, and 247 in joint ventures accounted for using the equity method) compared to the results for the three and nine months ended September 30, 2019, which included the operations of 1,167 stores (920 wholly-owned, five in consolidated joint ventures, and 242 in joint ventures accounted for using the equity method).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Nine Months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27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2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2780" w:type="dxa"/>
            <w:vAlign w:val="bottom"/>
          </w:tcPr>
          <w:p>
            <w:pPr>
              <w:ind w:left="340"/>
              <w:spacing w:after="0"/>
              <w:rPr>
                <w:sz w:val="20"/>
                <w:szCs w:val="20"/>
                <w:color w:val="auto"/>
              </w:rPr>
            </w:pPr>
            <w:r>
              <w:rPr>
                <w:rFonts w:ascii="Arial" w:cs="Arial" w:eastAsia="Arial" w:hAnsi="Arial"/>
                <w:sz w:val="18"/>
                <w:szCs w:val="18"/>
                <w:color w:val="auto"/>
              </w:rPr>
              <w:t>Property rental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290,423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290,917</w:t>
            </w:r>
          </w:p>
        </w:tc>
        <w:tc>
          <w:tcPr>
            <w:tcW w:w="8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856,438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841,504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14,934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30"/>
        </w:trPr>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33,588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95,086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12,899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r>
      <w:tr>
        <w:trPr>
          <w:trHeight w:val="175"/>
        </w:trPr>
        <w:tc>
          <w:tcPr>
            <w:tcW w:w="2780" w:type="dxa"/>
            <w:vAlign w:val="bottom"/>
          </w:tcPr>
          <w:p>
            <w:pPr>
              <w:ind w:left="380"/>
              <w:spacing w:after="0" w:line="176" w:lineRule="exact"/>
              <w:rPr>
                <w:sz w:val="20"/>
                <w:szCs w:val="20"/>
                <w:color w:val="auto"/>
              </w:rPr>
            </w:pPr>
            <w:r>
              <w:rPr>
                <w:rFonts w:ascii="Arial" w:cs="Arial" w:eastAsia="Arial" w:hAnsi="Arial"/>
                <w:sz w:val="18"/>
                <w:szCs w:val="18"/>
                <w:color w:val="auto"/>
              </w:rPr>
              <w:t>Management fees and other</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27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36,063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2,236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r>
      <w:tr>
        <w:trPr>
          <w:trHeight w:val="234"/>
        </w:trPr>
        <w:tc>
          <w:tcPr>
            <w:tcW w:w="2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343,024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337,505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972,653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30,069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Property Rental—</w:t>
      </w:r>
      <w:r>
        <w:rPr>
          <w:rFonts w:ascii="Arial" w:cs="Arial" w:eastAsia="Arial" w:hAnsi="Arial"/>
          <w:sz w:val="16"/>
          <w:szCs w:val="16"/>
          <w:color w:val="auto"/>
        </w:rPr>
        <w:t>The decrease in property rental revenues for the three months ended September 30, 2020 was primarily the result of a decrease of</w:t>
      </w:r>
      <w:r>
        <w:rPr>
          <w:rFonts w:ascii="Arial" w:cs="Arial" w:eastAsia="Arial" w:hAnsi="Arial"/>
          <w:sz w:val="16"/>
          <w:szCs w:val="16"/>
          <w:b w:val="1"/>
          <w:bCs w:val="1"/>
          <w:color w:val="auto"/>
        </w:rPr>
        <w:t xml:space="preserve"> </w:t>
      </w:r>
      <w:r>
        <w:rPr>
          <w:rFonts w:ascii="Arial" w:cs="Arial" w:eastAsia="Arial" w:hAnsi="Arial"/>
          <w:sz w:val="16"/>
          <w:szCs w:val="16"/>
          <w:color w:val="auto"/>
        </w:rPr>
        <w:t>$4,279 related to lower rental rates and other fee income at our stabilized stores primarily attributable to the COVID-19 pandemic. This was offset by an increase of $3,159 attributable to store acquisitions completed in 2020 and 2019. We acquired ten wholly-owned stores and completed the development of a consolidated joint venture store during the nine months ended September 30, 2020. We acquired 21 stores and added 27 leased properties (as part of a new net lease agreement) during the year ended December 31, 2019. The increase in property rental revenues for the nine months ended September 30, 2020 was due to increases of $20,309 attributable to store acquisitions completed in 2020 and 2019 and $2,551 attributable to revenue increases at our lease-up stores. These increases were offset by a decrease of $7,665 related to decreases in rental rates and other fee income at our stabilized stores.</w:t>
      </w:r>
    </w:p>
    <w:p>
      <w:pPr>
        <w:spacing w:after="0" w:line="188"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Tenant Reinsurance—</w:t>
      </w:r>
      <w:r>
        <w:rPr>
          <w:rFonts w:ascii="Arial" w:cs="Arial" w:eastAsia="Arial" w:hAnsi="Arial"/>
          <w:sz w:val="16"/>
          <w:szCs w:val="16"/>
          <w:color w:val="auto"/>
        </w:rPr>
        <w:t>The increase in our tenant reinsurance revenues was due primarily to an increase in the number of stores operated and the higher</w:t>
      </w:r>
      <w:r>
        <w:rPr>
          <w:rFonts w:ascii="Arial" w:cs="Arial" w:eastAsia="Arial" w:hAnsi="Arial"/>
          <w:sz w:val="16"/>
          <w:szCs w:val="16"/>
          <w:b w:val="1"/>
          <w:bCs w:val="1"/>
          <w:color w:val="auto"/>
        </w:rPr>
        <w:t xml:space="preserve"> </w:t>
      </w:r>
      <w:r>
        <w:rPr>
          <w:rFonts w:ascii="Arial" w:cs="Arial" w:eastAsia="Arial" w:hAnsi="Arial"/>
          <w:sz w:val="16"/>
          <w:szCs w:val="16"/>
          <w:color w:val="auto"/>
        </w:rPr>
        <w:t>occupancy at both our lease up and mature sites. We operated 1,906 stores at September 30, 2020 compared to 1,797 stores at September 30, 2019.</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Management Fees and Other Income—</w:t>
      </w:r>
      <w:r>
        <w:rPr>
          <w:rFonts w:ascii="Arial" w:cs="Arial" w:eastAsia="Arial" w:hAnsi="Arial"/>
          <w:sz w:val="17"/>
          <w:szCs w:val="17"/>
          <w:color w:val="auto"/>
        </w:rPr>
        <w:t>Management fees and other income primarily represent the fee collected for our management of stores owned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and unconsolidated joint ventures and other transaction fee income. The increase for the three and nine months ended September 30, 2020 was primarily due to an increase in the number of stores managed. As of September 30, 2020, we managed 971 stores for joint ventures and third parties, compared to 877 stores as of September 30, 2019. As a result, we had a $3,500 increase in management fees for the nine months ended September 30, 2020, partially offset by a reduction of $2,100 from non-recurring transaction fees from 2019.</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Nine Months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4"/>
        </w:trPr>
        <w:tc>
          <w:tcPr>
            <w:tcW w:w="28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21"/>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2820" w:type="dxa"/>
            <w:vAlign w:val="bottom"/>
          </w:tcPr>
          <w:p>
            <w:pPr>
              <w:ind w:left="340"/>
              <w:spacing w:after="0"/>
              <w:rPr>
                <w:sz w:val="20"/>
                <w:szCs w:val="20"/>
                <w:color w:val="auto"/>
              </w:rPr>
            </w:pPr>
            <w:r>
              <w:rPr>
                <w:rFonts w:ascii="Arial" w:cs="Arial" w:eastAsia="Arial" w:hAnsi="Arial"/>
                <w:sz w:val="18"/>
                <w:szCs w:val="18"/>
                <w:color w:val="auto"/>
              </w:rPr>
              <w:t>Property operations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92,322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88,653</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3,669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4.1 %</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271,659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248,288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23,371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29"/>
        </w:trPr>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28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22,519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72,242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68,548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29"/>
        </w:trPr>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56,051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167,705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165,116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0"/>
        </w:trPr>
        <w:tc>
          <w:tcPr>
            <w:tcW w:w="282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174,867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532,331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503,545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28,786</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during the three and nine months ended September 30, 2020 was due primarily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of $2,475 and $18,254, respectively, attributable to store acquisitions completed in 2020 and 2019. We acquired ten wholly-owned stores and completed the development of a consolidated joint venture store during the nine months ended September 30, 2020. We acquired 21 stores and added 27 leased properties (as part of a new net lease agreement) during the year ended December 31, 2019. Additional increases of $1,054 and $4,638 for the three and nine months ended September 30, 2020, respectively were related to an increase in expenses from property taxes, payroll and benefits, and marketing at our stabilized stores.</w:t>
      </w:r>
    </w:p>
    <w:p>
      <w:pPr>
        <w:spacing w:after="0" w:line="214"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auto"/>
        </w:rPr>
        <w:t>Tenant Reinsurance—</w:t>
      </w:r>
      <w:r>
        <w:rPr>
          <w:rFonts w:ascii="Arial" w:cs="Arial" w:eastAsia="Arial" w:hAnsi="Arial"/>
          <w:sz w:val="17"/>
          <w:szCs w:val="17"/>
          <w:color w:val="auto"/>
        </w:rPr>
        <w:t>Tenant reinsurance expense represents the costs that are incurred to provide tenant reinsurance. The decrease in tenant reinsurance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for the three and nine months ended September 30, 2020 was due primarily to a reduction in the number of claims as well as a decrease in the overall average payout on individual claims when compared to the three and nine months ended September 30, 2019.</w:t>
      </w:r>
    </w:p>
    <w:p>
      <w:pPr>
        <w:spacing w:after="0" w:line="18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General and Administrative—</w:t>
      </w:r>
      <w:r>
        <w:rPr>
          <w:rFonts w:ascii="Arial" w:cs="Arial" w:eastAsia="Arial" w:hAnsi="Arial"/>
          <w:sz w:val="16"/>
          <w:szCs w:val="16"/>
          <w:color w:val="auto"/>
        </w:rPr>
        <w:t>General and administrative expenses primarily include all expenses not directly related to our stores, including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office expense, office rent, travel and professional fees. During the nine months ended September 30, 2020, we recorded an additional $1,823 in compensation expense as a result of modifications to the terms of the stock-based awards related to the retirement of an executive in June 2020. We did not observe any other material trends in specific payroll, travel or other expenses apart from the increase due to the management of additional stores.</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ten stores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nine months ended September 30, 2020. We acquired 21 stores during the year ended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For the Nine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6"/>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28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rPr>
              <w:t>% Change</w:t>
            </w:r>
          </w:p>
        </w:tc>
      </w:tr>
      <w:tr>
        <w:trPr>
          <w:trHeight w:val="211"/>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4,695</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(127,610)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(141,716)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14,106</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166"/>
        </w:trPr>
        <w:tc>
          <w:tcPr>
            <w:tcW w:w="2840" w:type="dxa"/>
            <w:vAlign w:val="bottom"/>
          </w:tcPr>
          <w:p>
            <w:pPr>
              <w:ind w:left="20"/>
              <w:spacing w:after="0" w:line="166" w:lineRule="exact"/>
              <w:rPr>
                <w:sz w:val="20"/>
                <w:szCs w:val="20"/>
                <w:color w:val="auto"/>
              </w:rPr>
            </w:pPr>
            <w:r>
              <w:rPr>
                <w:rFonts w:ascii="Arial" w:cs="Arial" w:eastAsia="Arial" w:hAnsi="Arial"/>
                <w:sz w:val="16"/>
                <w:szCs w:val="16"/>
                <w:color w:val="auto"/>
              </w:rPr>
              <w:t>Non-cash interest expense related to</w:t>
            </w:r>
          </w:p>
        </w:tc>
        <w:tc>
          <w:tcPr>
            <w:tcW w:w="1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(1,233)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(1,186)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6"/>
                <w:szCs w:val="16"/>
                <w:color w:val="auto"/>
              </w:rPr>
              <w:t>(47)</w:t>
            </w:r>
          </w:p>
        </w:tc>
        <w:tc>
          <w:tcPr>
            <w:tcW w:w="120" w:type="dxa"/>
            <w:vAlign w:val="bottom"/>
          </w:tcPr>
          <w:p>
            <w:pPr>
              <w:spacing w:after="0"/>
              <w:rPr>
                <w:sz w:val="14"/>
                <w:szCs w:val="14"/>
                <w:color w:val="auto"/>
              </w:rPr>
            </w:pPr>
          </w:p>
        </w:tc>
        <w:tc>
          <w:tcPr>
            <w:tcW w:w="1060" w:type="dxa"/>
            <w:vAlign w:val="bottom"/>
          </w:tcPr>
          <w:p>
            <w:pPr>
              <w:jc w:val="right"/>
              <w:spacing w:after="0" w:line="166" w:lineRule="exact"/>
              <w:rPr>
                <w:sz w:val="20"/>
                <w:szCs w:val="20"/>
                <w:color w:val="auto"/>
              </w:rPr>
            </w:pPr>
            <w:r>
              <w:rPr>
                <w:rFonts w:ascii="Arial" w:cs="Arial" w:eastAsia="Arial" w:hAnsi="Arial"/>
                <w:sz w:val="16"/>
                <w:szCs w:val="16"/>
                <w:color w:val="auto"/>
              </w:rPr>
              <w:t>4.0 %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(3,675)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6"/>
                <w:szCs w:val="16"/>
                <w:color w:val="auto"/>
              </w:rPr>
              <w:t>(3,533)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6"/>
                <w:szCs w:val="16"/>
                <w:color w:val="auto"/>
              </w:rPr>
              <w:t>(142)</w:t>
            </w:r>
          </w:p>
        </w:tc>
        <w:tc>
          <w:tcPr>
            <w:tcW w:w="120" w:type="dxa"/>
            <w:vAlign w:val="bottom"/>
          </w:tcPr>
          <w:p>
            <w:pPr>
              <w:spacing w:after="0"/>
              <w:rPr>
                <w:sz w:val="14"/>
                <w:szCs w:val="14"/>
                <w:color w:val="auto"/>
              </w:rPr>
            </w:pPr>
          </w:p>
        </w:tc>
        <w:tc>
          <w:tcPr>
            <w:tcW w:w="1060" w:type="dxa"/>
            <w:vAlign w:val="bottom"/>
          </w:tcPr>
          <w:p>
            <w:pPr>
              <w:jc w:val="right"/>
              <w:spacing w:after="0" w:line="166" w:lineRule="exact"/>
              <w:rPr>
                <w:sz w:val="20"/>
                <w:szCs w:val="20"/>
                <w:color w:val="auto"/>
              </w:rPr>
            </w:pPr>
            <w:r>
              <w:rPr>
                <w:rFonts w:ascii="Arial" w:cs="Arial" w:eastAsia="Arial" w:hAnsi="Arial"/>
                <w:sz w:val="16"/>
                <w:szCs w:val="16"/>
                <w:color w:val="auto"/>
              </w:rPr>
              <w:t>4.0 %</w:t>
            </w:r>
          </w:p>
        </w:tc>
      </w:tr>
      <w:tr>
        <w:trPr>
          <w:trHeight w:val="162"/>
        </w:trPr>
        <w:tc>
          <w:tcPr>
            <w:tcW w:w="2840" w:type="dxa"/>
            <w:vAlign w:val="bottom"/>
          </w:tcPr>
          <w:p>
            <w:pPr>
              <w:ind w:left="20"/>
              <w:spacing w:after="0" w:line="162" w:lineRule="exact"/>
              <w:rPr>
                <w:sz w:val="20"/>
                <w:szCs w:val="20"/>
                <w:color w:val="auto"/>
              </w:rPr>
            </w:pPr>
            <w:r>
              <w:rPr>
                <w:rFonts w:ascii="Arial" w:cs="Arial" w:eastAsia="Arial" w:hAnsi="Arial"/>
                <w:sz w:val="16"/>
                <w:szCs w:val="16"/>
                <w:color w:val="auto"/>
              </w:rPr>
              <w:t>amortization of discount on equity</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w w:val="95"/>
              </w:rPr>
              <w:t>component of exchangeable senior notes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166"/>
        </w:trPr>
        <w:tc>
          <w:tcPr>
            <w:tcW w:w="2840" w:type="dxa"/>
            <w:vAlign w:val="bottom"/>
          </w:tcPr>
          <w:p>
            <w:pPr>
              <w:ind w:left="20"/>
              <w:spacing w:after="0" w:line="166" w:lineRule="exact"/>
              <w:rPr>
                <w:sz w:val="20"/>
                <w:szCs w:val="20"/>
                <w:color w:val="auto"/>
              </w:rPr>
            </w:pPr>
            <w:r>
              <w:rPr>
                <w:rFonts w:ascii="Arial" w:cs="Arial" w:eastAsia="Arial" w:hAnsi="Arial"/>
                <w:sz w:val="16"/>
                <w:szCs w:val="16"/>
                <w:color w:val="auto"/>
              </w:rPr>
              <w:t>Equity in earnings and dividend income</w:t>
            </w:r>
          </w:p>
        </w:tc>
        <w:tc>
          <w:tcPr>
            <w:tcW w:w="1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5,605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6"/>
                <w:szCs w:val="16"/>
                <w:color w:val="auto"/>
              </w:rPr>
              <w:t>2,704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6"/>
                <w:szCs w:val="16"/>
                <w:color w:val="auto"/>
              </w:rPr>
              <w:t>2,901</w:t>
            </w:r>
          </w:p>
        </w:tc>
        <w:tc>
          <w:tcPr>
            <w:tcW w:w="120" w:type="dxa"/>
            <w:vAlign w:val="bottom"/>
          </w:tcPr>
          <w:p>
            <w:pPr>
              <w:spacing w:after="0"/>
              <w:rPr>
                <w:sz w:val="14"/>
                <w:szCs w:val="14"/>
                <w:color w:val="auto"/>
              </w:rPr>
            </w:pPr>
          </w:p>
        </w:tc>
        <w:tc>
          <w:tcPr>
            <w:tcW w:w="1060" w:type="dxa"/>
            <w:vAlign w:val="bottom"/>
          </w:tcPr>
          <w:p>
            <w:pPr>
              <w:jc w:val="right"/>
              <w:spacing w:after="0" w:line="166" w:lineRule="exact"/>
              <w:rPr>
                <w:sz w:val="20"/>
                <w:szCs w:val="20"/>
                <w:color w:val="auto"/>
              </w:rPr>
            </w:pPr>
            <w:r>
              <w:rPr>
                <w:rFonts w:ascii="Arial" w:cs="Arial" w:eastAsia="Arial" w:hAnsi="Arial"/>
                <w:sz w:val="16"/>
                <w:szCs w:val="16"/>
                <w:color w:val="auto"/>
              </w:rPr>
              <w:t>107.3 %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6"/>
                <w:szCs w:val="16"/>
                <w:color w:val="auto"/>
              </w:rPr>
              <w:t>15,692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6"/>
                <w:szCs w:val="16"/>
                <w:color w:val="auto"/>
              </w:rPr>
              <w:t>8,455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line="166" w:lineRule="exact"/>
              <w:rPr>
                <w:sz w:val="20"/>
                <w:szCs w:val="20"/>
                <w:color w:val="auto"/>
              </w:rPr>
            </w:pPr>
            <w:r>
              <w:rPr>
                <w:rFonts w:ascii="Arial" w:cs="Arial" w:eastAsia="Arial" w:hAnsi="Arial"/>
                <w:sz w:val="16"/>
                <w:szCs w:val="16"/>
                <w:color w:val="auto"/>
              </w:rPr>
              <w:t>7,237</w:t>
            </w:r>
          </w:p>
        </w:tc>
        <w:tc>
          <w:tcPr>
            <w:tcW w:w="120" w:type="dxa"/>
            <w:vAlign w:val="bottom"/>
          </w:tcPr>
          <w:p>
            <w:pPr>
              <w:spacing w:after="0"/>
              <w:rPr>
                <w:sz w:val="14"/>
                <w:szCs w:val="14"/>
                <w:color w:val="auto"/>
              </w:rPr>
            </w:pPr>
          </w:p>
        </w:tc>
        <w:tc>
          <w:tcPr>
            <w:tcW w:w="1060" w:type="dxa"/>
            <w:vAlign w:val="bottom"/>
          </w:tcPr>
          <w:p>
            <w:pPr>
              <w:jc w:val="right"/>
              <w:spacing w:after="0" w:line="166" w:lineRule="exact"/>
              <w:rPr>
                <w:sz w:val="20"/>
                <w:szCs w:val="20"/>
                <w:color w:val="auto"/>
              </w:rPr>
            </w:pPr>
            <w:r>
              <w:rPr>
                <w:rFonts w:ascii="Arial" w:cs="Arial" w:eastAsia="Arial" w:hAnsi="Arial"/>
                <w:sz w:val="16"/>
                <w:szCs w:val="16"/>
                <w:color w:val="auto"/>
              </w:rPr>
              <w:t>85.6 %</w:t>
            </w: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from unconsolidated real estate entities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210"/>
        </w:trPr>
        <w:tc>
          <w:tcPr>
            <w:tcW w:w="2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(119,118)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(139,469)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20,351</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3"/>
        </w:trPr>
        <w:tc>
          <w:tcPr>
            <w:tcW w:w="2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spacing w:after="0" w:line="221"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color w:val="auto"/>
        </w:rPr>
        <w:t>The decrease in interest expense during the three and nine months ended September 30, 2020 was primarily the result of a lower</w:t>
      </w:r>
      <w:r>
        <w:rPr>
          <w:rFonts w:ascii="Arial" w:cs="Arial" w:eastAsia="Arial" w:hAnsi="Arial"/>
          <w:sz w:val="17"/>
          <w:szCs w:val="17"/>
          <w:b w:val="1"/>
          <w:bCs w:val="1"/>
          <w:color w:val="auto"/>
        </w:rPr>
        <w:t xml:space="preserve"> </w:t>
      </w:r>
      <w:r>
        <w:rPr>
          <w:rFonts w:ascii="Arial" w:cs="Arial" w:eastAsia="Arial" w:hAnsi="Arial"/>
          <w:sz w:val="17"/>
          <w:szCs w:val="17"/>
          <w:color w:val="auto"/>
        </w:rPr>
        <w:t>average variable interest rates compared to the same period in the prior year. The average variable interest rate for the three months ended September 30, 2020 was 1.8%, compared to an average variable interest rate of 3.4% for the three months ended September 30, 2019.</w:t>
      </w:r>
    </w:p>
    <w:p>
      <w:pPr>
        <w:spacing w:after="0" w:line="18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discounts related to the equity components of the exchangeable senior notes issued by our Operating Partnership. The 2015 Notes had an effective interest rate of 4.0% relative to the carrying amount of the liability.</w:t>
      </w:r>
    </w:p>
    <w:p>
      <w:pPr>
        <w:spacing w:after="0" w:line="20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amounts earned on cash and cash equivalents deposited with financial institutions, interest earned on bridge</w:t>
      </w:r>
      <w:r>
        <w:rPr>
          <w:rFonts w:ascii="Arial" w:cs="Arial" w:eastAsia="Arial" w:hAnsi="Arial"/>
          <w:sz w:val="18"/>
          <w:szCs w:val="18"/>
          <w:b w:val="1"/>
          <w:bCs w:val="1"/>
          <w:color w:val="auto"/>
        </w:rPr>
        <w:t xml:space="preserve"> </w:t>
      </w:r>
      <w:r>
        <w:rPr>
          <w:rFonts w:ascii="Arial" w:cs="Arial" w:eastAsia="Arial" w:hAnsi="Arial"/>
          <w:sz w:val="18"/>
          <w:szCs w:val="18"/>
          <w:color w:val="auto"/>
        </w:rPr>
        <w:t>loans and income earned on notes receivable from Common and Preferred Operating Partnership unit holders.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Equity in Earnings and Dividend Income from Unconsolidated Real Estate Entities—</w:t>
      </w:r>
      <w:r>
        <w:rPr>
          <w:rFonts w:ascii="Arial" w:cs="Arial" w:eastAsia="Arial" w:hAnsi="Arial"/>
          <w:sz w:val="18"/>
          <w:szCs w:val="18"/>
          <w:color w:val="auto"/>
        </w:rPr>
        <w:t>Equity in earnings of unconsolidated real estate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The increase for the three and nine months ended September 30, 2020 related primarily to the dividend income related to the SmartStop preferred stock.</w:t>
      </w:r>
    </w:p>
    <w:p>
      <w:pPr>
        <w:spacing w:after="0" w:line="21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and nine months ended September 30, 2020, the increase in income tax expense was the result of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income earned by our taxable REIT subsidiary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1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88"/>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6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307,685</w:t>
            </w:r>
          </w:p>
        </w:tc>
      </w:tr>
      <w:tr>
        <w:trPr>
          <w:trHeight w:val="257"/>
        </w:trPr>
        <w:tc>
          <w:tcPr>
            <w:tcW w:w="6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153,745</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Gain on real estate transactions</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w w:val="94"/>
              </w:rPr>
              <w:t>Funds from operations attributable to common stockholders and unit 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179,717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170,595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517,828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492,893</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same-store pool for the periods presented consists of 863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2"/>
                <w:szCs w:val="12"/>
                <w:color w:val="auto"/>
              </w:rPr>
            </w:pPr>
          </w:p>
        </w:tc>
        <w:tc>
          <w:tcPr>
            <w:tcW w:w="20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For the Nine Months Ended</w:t>
            </w:r>
          </w:p>
        </w:tc>
        <w:tc>
          <w:tcPr>
            <w:tcW w:w="11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1180" w:type="dxa"/>
            <w:vAlign w:val="bottom"/>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275,963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812,048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Same-store operating expenses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230,225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581,823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Same-store square foot occupancy as of quarter end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17"/>
              <w:spacing w:after="0" w:line="203" w:lineRule="exact"/>
              <w:rPr>
                <w:sz w:val="20"/>
                <w:szCs w:val="20"/>
                <w:color w:val="auto"/>
              </w:rPr>
            </w:pPr>
            <w:r>
              <w:rPr>
                <w:rFonts w:ascii="Arial" w:cs="Arial" w:eastAsia="Arial" w:hAnsi="Arial"/>
                <w:sz w:val="18"/>
                <w:szCs w:val="18"/>
                <w:color w:val="auto"/>
                <w:w w:val="90"/>
              </w:rPr>
              <w:t>95.9%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right="93"/>
              <w:spacing w:after="0" w:line="203" w:lineRule="exact"/>
              <w:rPr>
                <w:sz w:val="20"/>
                <w:szCs w:val="20"/>
                <w:color w:val="auto"/>
              </w:rPr>
            </w:pPr>
            <w:r>
              <w:rPr>
                <w:rFonts w:ascii="Arial" w:cs="Arial" w:eastAsia="Arial" w:hAnsi="Arial"/>
                <w:sz w:val="18"/>
                <w:szCs w:val="18"/>
                <w:color w:val="auto"/>
                <w:w w:val="90"/>
              </w:rPr>
              <w:t>93.8%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57"/>
              <w:spacing w:after="0" w:line="203" w:lineRule="exact"/>
              <w:rPr>
                <w:sz w:val="20"/>
                <w:szCs w:val="20"/>
                <w:color w:val="auto"/>
              </w:rPr>
            </w:pPr>
            <w:r>
              <w:rPr>
                <w:rFonts w:ascii="Arial" w:cs="Arial" w:eastAsia="Arial" w:hAnsi="Arial"/>
                <w:sz w:val="18"/>
                <w:szCs w:val="18"/>
                <w:color w:val="auto"/>
                <w:w w:val="90"/>
              </w:rPr>
              <w:t>95.9%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center"/>
              <w:ind w:right="93"/>
              <w:spacing w:after="0" w:line="203" w:lineRule="exact"/>
              <w:rPr>
                <w:sz w:val="20"/>
                <w:szCs w:val="20"/>
                <w:color w:val="auto"/>
              </w:rPr>
            </w:pPr>
            <w:r>
              <w:rPr>
                <w:rFonts w:ascii="Arial" w:cs="Arial" w:eastAsia="Arial" w:hAnsi="Arial"/>
                <w:sz w:val="18"/>
                <w:szCs w:val="18"/>
                <w:color w:val="auto"/>
                <w:w w:val="93"/>
              </w:rPr>
              <w:t>93.8%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3"/>
              </w:rPr>
              <w:t>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6"/>
              </w:rPr>
              <w:t>863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86"/>
              </w:rPr>
              <w:t>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3"/>
              </w:rPr>
              <w:t>863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Same-store revenues for the three and nine months ended September 30, 2020 decreased due to lower net rental rates for existing customers, lower late fees collected and higher bad debt expense related to non-paying tenants, partially offset by higher occupancy. Same-store expenses were higher for the three months ended September 30, 2020 primarily due to increases in marketing expenses and property taxes. Same-store expenses were higher for the nine months ended September 30, 2020 primarily due to increases in payroll, marketing expenses and property taxes. Expenses in both periods were partially offset by reduced utilities expense, auction fees and repairs and maintenance.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ind w:right="220"/>
        <w:spacing w:after="0" w:line="269"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tbl>
      <w:tblPr>
        <w:tblLayout w:type="fixed"/>
        <w:tblInd w:w="0" w:type="dxa"/>
        <w:tblCellMar>
          <w:top w:w="0" w:type="dxa"/>
          <w:left w:w="0" w:type="dxa"/>
          <w:bottom w:w="0" w:type="dxa"/>
          <w:right w:w="0" w:type="dxa"/>
        </w:tblCellMar>
      </w:tblPr>
      <w:tr>
        <w:trPr>
          <w:trHeight w:val="144"/>
        </w:trPr>
        <w:tc>
          <w:tcPr>
            <w:tcW w:w="6100" w:type="dxa"/>
            <w:vAlign w:val="bottom"/>
          </w:tcPr>
          <w:p>
            <w:pPr>
              <w:spacing w:after="0"/>
              <w:rPr>
                <w:sz w:val="12"/>
                <w:szCs w:val="12"/>
                <w:color w:val="auto"/>
              </w:rPr>
            </w:pPr>
          </w:p>
        </w:tc>
        <w:tc>
          <w:tcPr>
            <w:tcW w:w="2700" w:type="dxa"/>
            <w:vAlign w:val="bottom"/>
            <w:gridSpan w:val="6"/>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For the Three Months Ended September</w:t>
            </w:r>
          </w:p>
        </w:tc>
        <w:tc>
          <w:tcPr>
            <w:tcW w:w="240" w:type="dxa"/>
            <w:vAlign w:val="bottom"/>
          </w:tcPr>
          <w:p>
            <w:pPr>
              <w:spacing w:after="0"/>
              <w:rPr>
                <w:sz w:val="12"/>
                <w:szCs w:val="12"/>
                <w:color w:val="auto"/>
              </w:rPr>
            </w:pPr>
          </w:p>
        </w:tc>
        <w:tc>
          <w:tcPr>
            <w:tcW w:w="2200" w:type="dxa"/>
            <w:vAlign w:val="bottom"/>
            <w:gridSpan w:val="4"/>
          </w:tcPr>
          <w:p>
            <w:pPr>
              <w:jc w:val="right"/>
              <w:ind w:right="271"/>
              <w:spacing w:after="0" w:line="145" w:lineRule="exact"/>
              <w:rPr>
                <w:sz w:val="20"/>
                <w:szCs w:val="20"/>
                <w:color w:val="auto"/>
              </w:rPr>
            </w:pPr>
            <w:r>
              <w:rPr>
                <w:rFonts w:ascii="Arial" w:cs="Arial" w:eastAsia="Arial" w:hAnsi="Arial"/>
                <w:sz w:val="14"/>
                <w:szCs w:val="14"/>
                <w:b w:val="1"/>
                <w:bCs w:val="1"/>
                <w:color w:val="auto"/>
                <w:w w:val="99"/>
              </w:rPr>
              <w:t>For the Nine Months Ended</w:t>
            </w:r>
          </w:p>
        </w:tc>
      </w:tr>
      <w:tr>
        <w:trPr>
          <w:trHeight w:val="188"/>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6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351,273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330,844</w:t>
            </w: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Adjusted to exclude: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w w:val="92"/>
              </w:rPr>
              <w:t>Equity in earnings and dividend income from unconsolidated real estate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(15,692)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(8,455)</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131,285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145,249</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167,705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165,116</w:t>
            </w: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r>
      <w:tr>
        <w:trPr>
          <w:trHeight w:val="229"/>
        </w:trPr>
        <w:tc>
          <w:tcPr>
            <w:tcW w:w="61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72,242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68,548</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 fees, other income and 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(41,968)</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Net tenant insurance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(32,105)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(87,260)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(73,493)</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Non-same store rental revenue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(29,456)</w:t>
            </w:r>
          </w:p>
        </w:tc>
      </w:tr>
      <w:tr>
        <w:trPr>
          <w:trHeight w:val="230"/>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Non-same store operating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36,831</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18,063</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Same-store net operating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569,641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581,823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Same-store rental 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271,717</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804,469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812,048</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Same-store operating expenses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234,828</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230,225</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Same-store net operating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569,641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581,823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Cash flows from operating activities for the nine months ended September 30, 2020 increased when compared to the same period in the prior year as a result of our continued total revenue growth. This growth was due to an increase in the number of stores we own and operate and higher average occupancy at our stores.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3"/>
              </w:rPr>
              <w:t>For the Nine Months Ended September 30,</w:t>
            </w:r>
          </w:p>
        </w:tc>
      </w:tr>
      <w:tr>
        <w:trPr>
          <w:trHeight w:val="187"/>
        </w:trPr>
        <w:tc>
          <w:tcPr>
            <w:tcW w:w="8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544,466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(356,377)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(194,064)</w:t>
            </w:r>
          </w:p>
        </w:tc>
      </w:tr>
      <w:tr>
        <w:trPr>
          <w:trHeight w:val="270"/>
        </w:trPr>
        <w:tc>
          <w:tcPr>
            <w:tcW w:w="8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351,273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330,844</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165,116</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Acquisition and development of real estate assets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(321,527)</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and purchase of notes receivable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(162,677)</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sale of common stock, net of offering costs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198,852</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Net proceeds from debt financing</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ind w:right="20"/>
        <w:spacing w:after="0" w:line="259"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1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expect to generate positive cash flow from operations in 2020,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2020, we had $74,803 available in cash and cash equivalents. Our cash and cash equivalents are held in accounts managed by third party financial institutions and consist of invested cash and cash in our operating accounts. During 2020 and 2019, we experienced no loss or lack of access to our cash or cash equivalents; however, there can be no assurance that access to our cash and cash equivalents will not be impacted by adverse conditions in the financial markets.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2020, we had $5,302,752 face value of debt, resulting in a debt to total enterprise value ratio of 26.5%. As of September 30, 2020,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ratio of total fixed-rate debt and other instruments to total debt was 77.7% ( $4,120,610 total fixed-rate debt including $2,095,223 on which we have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rate swaps that have been included as fixed-rate debt). The weighted average interest rate of the total of fixed- and variable-rate debt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was 3.0%. Certain of our real estate assets are pledged as collateral for our debt. We are subject to certain restrictive covenants relating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our outstanding debt. We were in compliance with all financial covenants at September 30, 2020.</w:t>
      </w:r>
    </w:p>
    <w:p>
      <w:pPr>
        <w:spacing w:after="0" w:line="238"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COVID-19 pandemic has had negative impacts on capital markets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of the impact on our future plans if these negative trends were to persist for a long period of time or intensify.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2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2" w:lineRule="exact"/>
        <w:rPr>
          <w:sz w:val="20"/>
          <w:szCs w:val="20"/>
          <w:color w:val="auto"/>
        </w:rPr>
      </w:pPr>
    </w:p>
    <w:p>
      <w:pPr>
        <w:jc w:val="both"/>
        <w:ind w:right="480"/>
        <w:spacing w:after="0" w:line="311" w:lineRule="auto"/>
        <w:rPr>
          <w:sz w:val="20"/>
          <w:szCs w:val="20"/>
          <w:color w:val="auto"/>
        </w:rPr>
      </w:pPr>
      <w:r>
        <w:rPr>
          <w:rFonts w:ascii="Arial" w:cs="Arial" w:eastAsia="Arial" w:hAnsi="Arial"/>
          <w:sz w:val="16"/>
          <w:szCs w:val="16"/>
          <w:color w:val="auto"/>
        </w:rPr>
        <w:t>As of September 30, 2020, we had approximately $5.3 billion in total face value of debt, of which approximately $1.2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$11.8 million annually.</w:t>
      </w:r>
    </w:p>
    <w:p>
      <w:pPr>
        <w:spacing w:after="0" w:line="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8" w:name="page39"/>
    <w:bookmarkEnd w:id="38"/>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417" w:right="599" w:bottom="1440" w:gutter="0" w:footer="0" w:header="0"/>
        </w:sectPr>
      </w:pPr>
    </w:p>
    <w:bookmarkStart w:id="39" w:name="page40"/>
    <w:bookmarkEnd w:id="39"/>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which could materially affect our business, financial condition and results of operations. There have been no material changes to the risk factors described in the “Risk Factors” section in our Annual Report on Form 10-K for the year ended December 31, 2019 other than previously disclosed in our Quarterly Report on Form 10-Q for the quarter ended June 30, 2020. The risks described in our Annual Report on Form 10-K and prior Quarterly Report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During the three months ended September 30, 2020, we repurchased 600 shares of common stock for approximately $0.1 million under our stock repurchase program approved by our board of directors.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to the Condensed Consolidated Financial Statements contained in Part I, Item 1 of this report for additional details.</w:t>
      </w:r>
    </w:p>
    <w:p>
      <w:pPr>
        <w:spacing w:after="0" w:line="20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 presents information regarding repurchases by us of common stock during the three months ended September 30, 2020 under the stock repurchase program.</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4"/>
                <w:szCs w:val="14"/>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Maximum Dollar Value of</w:t>
            </w:r>
          </w:p>
        </w:tc>
      </w:tr>
      <w:tr>
        <w:trPr>
          <w:trHeight w:val="162"/>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Purchased as Part of</w:t>
            </w:r>
          </w:p>
        </w:tc>
        <w:tc>
          <w:tcPr>
            <w:tcW w:w="140" w:type="dxa"/>
            <w:vAlign w:val="bottom"/>
          </w:tcPr>
          <w:p>
            <w:pPr>
              <w:spacing w:after="0"/>
              <w:rPr>
                <w:sz w:val="14"/>
                <w:szCs w:val="14"/>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Shares that May Yet Be</w:t>
            </w:r>
          </w:p>
        </w:tc>
      </w:tr>
      <w:tr>
        <w:trPr>
          <w:trHeight w:val="162"/>
        </w:trPr>
        <w:tc>
          <w:tcPr>
            <w:tcW w:w="444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Number of</w:t>
            </w:r>
          </w:p>
        </w:tc>
        <w:tc>
          <w:tcPr>
            <w:tcW w:w="15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Average Price Paid</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Publicly Announced</w:t>
            </w: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Purchased Under the Program</w:t>
            </w:r>
          </w:p>
        </w:tc>
      </w:tr>
      <w:tr>
        <w:trPr>
          <w:trHeight w:val="186"/>
        </w:trPr>
        <w:tc>
          <w:tcPr>
            <w:tcW w:w="444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Shares Purchased</w:t>
            </w:r>
          </w:p>
        </w:tc>
        <w:tc>
          <w:tcPr>
            <w:tcW w:w="240" w:type="dxa"/>
            <w:vAlign w:val="bottom"/>
          </w:tcPr>
          <w:p>
            <w:pPr>
              <w:spacing w:after="0"/>
              <w:rPr>
                <w:sz w:val="16"/>
                <w:szCs w:val="16"/>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 Share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6"/>
                <w:szCs w:val="16"/>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 thousands)</w:t>
            </w:r>
          </w:p>
        </w:tc>
      </w:tr>
      <w:tr>
        <w:trPr>
          <w:trHeight w:val="25"/>
        </w:trPr>
        <w:tc>
          <w:tcPr>
            <w:tcW w:w="4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July 1 - July 31, 2020</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90.81</w:t>
            </w: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331,581</w:t>
            </w:r>
          </w:p>
        </w:tc>
      </w:tr>
      <w:tr>
        <w:trPr>
          <w:trHeight w:val="203"/>
        </w:trPr>
        <w:tc>
          <w:tcPr>
            <w:tcW w:w="4440" w:type="dxa"/>
            <w:vAlign w:val="bottom"/>
          </w:tcPr>
          <w:p>
            <w:pPr>
              <w:ind w:left="20"/>
              <w:spacing w:after="0" w:line="202" w:lineRule="exact"/>
              <w:rPr>
                <w:sz w:val="20"/>
                <w:szCs w:val="20"/>
                <w:color w:val="auto"/>
              </w:rPr>
            </w:pPr>
            <w:r>
              <w:rPr>
                <w:rFonts w:ascii="Arial" w:cs="Arial" w:eastAsia="Arial" w:hAnsi="Arial"/>
                <w:sz w:val="18"/>
                <w:szCs w:val="18"/>
                <w:color w:val="auto"/>
              </w:rPr>
              <w:t>August 1 – August 31, 2020</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ind w:left="20"/>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331,581</w:t>
            </w:r>
          </w:p>
        </w:tc>
      </w:tr>
      <w:tr>
        <w:trPr>
          <w:trHeight w:val="203"/>
        </w:trPr>
        <w:tc>
          <w:tcPr>
            <w:tcW w:w="4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September 1 – September 30, 2020</w:t>
            </w: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331,581</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0"/>
                <w:szCs w:val="20"/>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90.81</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331,581</w:t>
            </w: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41" w:name="page42"/>
    <w:bookmarkEnd w:id="41"/>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4">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171" w:lineRule="exact"/>
        <w:rPr>
          <w:sz w:val="20"/>
          <w:szCs w:val="20"/>
          <w:color w:val="auto"/>
        </w:rPr>
      </w:pPr>
    </w:p>
    <w:p>
      <w:pPr>
        <w:ind w:left="180"/>
        <w:spacing w:after="0"/>
        <w:tabs>
          <w:tab w:leader="none" w:pos="6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5">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171" w:lineRule="exact"/>
        <w:rPr>
          <w:sz w:val="20"/>
          <w:szCs w:val="20"/>
          <w:color w:val="auto"/>
        </w:rPr>
      </w:pPr>
    </w:p>
    <w:p>
      <w:pPr>
        <w:ind w:left="700" w:right="20" w:hanging="566"/>
        <w:spacing w:after="0" w:line="277" w:lineRule="auto"/>
        <w:tabs>
          <w:tab w:leader="none" w:pos="6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6">
        <w:r>
          <w:rPr>
            <w:rFonts w:ascii="Arial" w:cs="Arial" w:eastAsia="Arial" w:hAnsi="Arial"/>
            <w:sz w:val="18"/>
            <w:szCs w:val="18"/>
            <w:u w:val="single" w:color="auto"/>
            <w:color w:val="0000FF"/>
          </w:rPr>
          <w:t>Certifications of the Chief Executive Officer and Chief Financial Officer pursuant to 18 U.S.C. Section 1350, as adopted pursuant to Section 906</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of the Sarbanes-Oxley Act of 2002.</w:t>
        </w:r>
      </w:hyperlink>
    </w:p>
    <w:p>
      <w:pPr>
        <w:spacing w:after="0" w:line="116" w:lineRule="exact"/>
        <w:rPr>
          <w:sz w:val="20"/>
          <w:szCs w:val="20"/>
          <w:color w:val="auto"/>
        </w:rPr>
      </w:pPr>
    </w:p>
    <w:p>
      <w:pPr>
        <w:ind w:left="740" w:hanging="570"/>
        <w:spacing w:after="0" w:line="301" w:lineRule="auto"/>
        <w:tabs>
          <w:tab w:leader="none" w:pos="6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September 30, 2020,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3" w:lineRule="exact"/>
        <w:rPr>
          <w:sz w:val="20"/>
          <w:szCs w:val="20"/>
          <w:color w:val="auto"/>
        </w:rPr>
      </w:pPr>
    </w:p>
    <w:p>
      <w:pPr>
        <w:ind w:left="660" w:hanging="450"/>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EXTRA SPACE STORAGE INC.</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Registrant</w:t>
            </w:r>
          </w:p>
        </w:tc>
      </w:tr>
      <w:tr>
        <w:trPr>
          <w:trHeight w:val="500"/>
        </w:trPr>
        <w:tc>
          <w:tcPr>
            <w:tcW w:w="6300" w:type="dxa"/>
            <w:vAlign w:val="bottom"/>
          </w:tcPr>
          <w:p>
            <w:pPr>
              <w:spacing w:after="0"/>
              <w:rPr>
                <w:sz w:val="20"/>
                <w:szCs w:val="20"/>
                <w:color w:val="auto"/>
              </w:rPr>
            </w:pPr>
            <w:r>
              <w:rPr>
                <w:rFonts w:ascii="Arial" w:cs="Arial" w:eastAsia="Arial" w:hAnsi="Arial"/>
                <w:sz w:val="18"/>
                <w:szCs w:val="18"/>
                <w:color w:val="auto"/>
              </w:rPr>
              <w:t>Date: November 6, 2020</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176"/>
        </w:trPr>
        <w:tc>
          <w:tcPr>
            <w:tcW w:w="6300" w:type="dxa"/>
            <w:vAlign w:val="bottom"/>
          </w:tcPr>
          <w:p>
            <w:pPr>
              <w:spacing w:after="0"/>
              <w:rPr>
                <w:sz w:val="15"/>
                <w:szCs w:val="15"/>
                <w:color w:val="auto"/>
              </w:rPr>
            </w:pPr>
          </w:p>
        </w:tc>
        <w:tc>
          <w:tcPr>
            <w:tcW w:w="480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 Executive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6300" w:type="dxa"/>
            <w:vAlign w:val="bottom"/>
          </w:tcPr>
          <w:p>
            <w:pPr>
              <w:spacing w:after="0"/>
              <w:rPr>
                <w:sz w:val="20"/>
                <w:szCs w:val="20"/>
                <w:color w:val="auto"/>
              </w:rPr>
            </w:pPr>
            <w:r>
              <w:rPr>
                <w:rFonts w:ascii="Arial" w:cs="Arial" w:eastAsia="Arial" w:hAnsi="Arial"/>
                <w:sz w:val="18"/>
                <w:szCs w:val="18"/>
                <w:color w:val="auto"/>
              </w:rPr>
              <w:t>Date: November 6, 2020</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63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17"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2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November 6, 2020</w:t>
            </w:r>
          </w:p>
        </w:tc>
        <w:tc>
          <w:tcPr>
            <w:tcW w:w="2320" w:type="dxa"/>
            <w:vAlign w:val="bottom"/>
          </w:tcPr>
          <w:p>
            <w:pPr>
              <w:ind w:left="16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3400" w:type="dxa"/>
            <w:vAlign w:val="bottom"/>
          </w:tcPr>
          <w:p>
            <w:pPr>
              <w:spacing w:after="0"/>
              <w:rPr>
                <w:sz w:val="19"/>
                <w:szCs w:val="19"/>
                <w:color w:val="auto"/>
              </w:rPr>
            </w:pPr>
          </w:p>
        </w:tc>
        <w:tc>
          <w:tcPr>
            <w:tcW w:w="2320" w:type="dxa"/>
            <w:vAlign w:val="bottom"/>
          </w:tcPr>
          <w:p>
            <w:pPr>
              <w:ind w:left="160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30"/>
        </w:trPr>
        <w:tc>
          <w:tcPr>
            <w:tcW w:w="3400" w:type="dxa"/>
            <w:vAlign w:val="bottom"/>
          </w:tcPr>
          <w:p>
            <w:pPr>
              <w:spacing w:after="0"/>
              <w:rPr>
                <w:sz w:val="20"/>
                <w:szCs w:val="20"/>
                <w:color w:val="auto"/>
              </w:rPr>
            </w:pPr>
          </w:p>
        </w:tc>
        <w:tc>
          <w:tcPr>
            <w:tcW w:w="2320" w:type="dxa"/>
            <w:vAlign w:val="bottom"/>
          </w:tcPr>
          <w:p>
            <w:pPr>
              <w:ind w:left="160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3"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November 6, 2020</w:t>
            </w:r>
          </w:p>
        </w:tc>
        <w:tc>
          <w:tcPr>
            <w:tcW w:w="2320" w:type="dxa"/>
            <w:vAlign w:val="bottom"/>
          </w:tcPr>
          <w:p>
            <w:pPr>
              <w:ind w:left="16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3400" w:type="dxa"/>
            <w:vAlign w:val="bottom"/>
          </w:tcPr>
          <w:p>
            <w:pPr>
              <w:spacing w:after="0"/>
              <w:rPr>
                <w:sz w:val="19"/>
                <w:szCs w:val="19"/>
                <w:color w:val="auto"/>
              </w:rPr>
            </w:pPr>
          </w:p>
        </w:tc>
        <w:tc>
          <w:tcPr>
            <w:tcW w:w="2320" w:type="dxa"/>
            <w:vAlign w:val="bottom"/>
          </w:tcPr>
          <w:p>
            <w:pPr>
              <w:ind w:left="160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3400" w:type="dxa"/>
            <w:vAlign w:val="bottom"/>
          </w:tcPr>
          <w:p>
            <w:pPr>
              <w:spacing w:after="0"/>
              <w:rPr>
                <w:sz w:val="20"/>
                <w:szCs w:val="20"/>
                <w:color w:val="auto"/>
              </w:rPr>
            </w:pPr>
          </w:p>
        </w:tc>
        <w:tc>
          <w:tcPr>
            <w:tcW w:w="2320" w:type="dxa"/>
            <w:vAlign w:val="bottom"/>
          </w:tcPr>
          <w:p>
            <w:pPr>
              <w:ind w:left="160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D. Margolis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November 6, 2020</w:t>
            </w: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2" w:lineRule="exact"/>
        <w:rPr>
          <w:sz w:val="20"/>
          <w:szCs w:val="20"/>
          <w:color w:val="auto"/>
        </w:rPr>
      </w:pPr>
    </w:p>
    <w:tbl>
      <w:tblPr>
        <w:tblLayout w:type="fixed"/>
        <w:tblInd w:w="50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 Scott Stubbs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November 6,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lvl w:ilvl="1">
      <w:lvlJc w:val="left"/>
      <w:lvlText w:val="%2."/>
      <w:numFmt w:val="decimal"/>
      <w:start w:val="6"/>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5"/>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2020-11-06T05:48:03Z</dcterms:created>
  <dcterms:modified xsi:type="dcterms:W3CDTF">2020-11-06T05:48:03Z</dcterms:modified>
</cp:coreProperties>
</file>