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210185</wp:posOffset>
            </wp:positionV>
            <wp:extent cx="34715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75565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720" w:right="20" w:hanging="681"/>
        <w:spacing w:after="0" w:line="256" w:lineRule="auto"/>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20" w:right="360" w:hanging="681"/>
        <w:spacing w:after="0" w:line="256"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tbl>
      <w:tblPr>
        <w:tblLayout w:type="fixed"/>
        <w:tblInd w:w="2900" w:type="dxa"/>
        <w:tblCellMar>
          <w:top w:w="0" w:type="dxa"/>
          <w:left w:w="0" w:type="dxa"/>
          <w:bottom w:w="0" w:type="dxa"/>
          <w:right w:w="0" w:type="dxa"/>
        </w:tblCellMar>
      </w:tblPr>
      <w:tr>
        <w:trPr>
          <w:trHeight w:val="207"/>
        </w:trPr>
        <w:tc>
          <w:tcPr>
            <w:tcW w:w="2860" w:type="dxa"/>
            <w:vAlign w:val="bottom"/>
          </w:tcPr>
          <w:p>
            <w:pPr>
              <w:ind w:left="50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8"/>
                <w:szCs w:val="18"/>
                <w:b w:val="1"/>
                <w:bCs w:val="1"/>
                <w:color w:val="auto"/>
                <w:w w:val="78"/>
              </w:rPr>
              <w:t>.</w:t>
            </w:r>
          </w:p>
        </w:tc>
      </w:tr>
      <w:tr>
        <w:trPr>
          <w:trHeight w:val="237"/>
        </w:trPr>
        <w:tc>
          <w:tcPr>
            <w:tcW w:w="4900" w:type="dxa"/>
            <w:vAlign w:val="bottom"/>
            <w:gridSpan w:val="4"/>
          </w:tcPr>
          <w:p>
            <w:pPr>
              <w:ind w:left="1300"/>
              <w:spacing w:after="0"/>
              <w:rPr>
                <w:sz w:val="20"/>
                <w:szCs w:val="20"/>
                <w:color w:val="auto"/>
              </w:rPr>
            </w:pPr>
            <w:r>
              <w:rPr>
                <w:rFonts w:ascii="Arial" w:cs="Arial" w:eastAsia="Arial" w:hAnsi="Arial"/>
                <w:sz w:val="18"/>
                <w:szCs w:val="18"/>
                <w:b w:val="1"/>
                <w:bCs w:val="1"/>
                <w:color w:val="auto"/>
              </w:rPr>
              <w:t>Commission File Number: 001-32269</w:t>
            </w:r>
          </w:p>
        </w:tc>
        <w:tc>
          <w:tcPr>
            <w:tcW w:w="560" w:type="dxa"/>
            <w:vAlign w:val="bottom"/>
          </w:tcPr>
          <w:p>
            <w:pPr>
              <w:spacing w:after="0"/>
              <w:rPr>
                <w:sz w:val="20"/>
                <w:szCs w:val="20"/>
                <w:color w:val="auto"/>
              </w:rPr>
            </w:pPr>
          </w:p>
        </w:tc>
      </w:tr>
      <w:tr>
        <w:trPr>
          <w:trHeight w:val="81"/>
        </w:trPr>
        <w:tc>
          <w:tcPr>
            <w:tcW w:w="28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r>
    </w:tbl>
    <w:p>
      <w:pPr>
        <w:spacing w:after="0" w:line="7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EXTRA SPACE STORAGE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55880</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6"/>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20-1076777</w:t>
            </w:r>
          </w:p>
        </w:tc>
      </w:tr>
      <w:tr>
        <w:trPr>
          <w:trHeight w:val="180"/>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2795 East Cottonwood Parkway, Suite 300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84121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(801) 365-4600</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Securities Exchange Act of 1934</w:t>
      </w:r>
    </w:p>
    <w:p>
      <w:pPr>
        <w:spacing w:after="0" w:line="50"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4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60" w:type="dxa"/>
            <w:vAlign w:val="bottom"/>
          </w:tcPr>
          <w:p>
            <w:pPr>
              <w:spacing w:after="0"/>
              <w:rPr>
                <w:sz w:val="18"/>
                <w:szCs w:val="18"/>
                <w:color w:val="auto"/>
              </w:rPr>
            </w:pPr>
          </w:p>
        </w:tc>
        <w:tc>
          <w:tcPr>
            <w:tcW w:w="2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Trading symbol</w:t>
            </w:r>
          </w:p>
        </w:tc>
        <w:tc>
          <w:tcPr>
            <w:tcW w:w="410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561"/>
        </w:trPr>
        <w:tc>
          <w:tcPr>
            <w:tcW w:w="31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$0.01 par value</w:t>
            </w:r>
          </w:p>
        </w:tc>
        <w:tc>
          <w:tcPr>
            <w:tcW w:w="760" w:type="dxa"/>
            <w:vAlign w:val="bottom"/>
          </w:tcPr>
          <w:p>
            <w:pPr>
              <w:spacing w:after="0"/>
              <w:rPr>
                <w:sz w:val="24"/>
                <w:szCs w:val="24"/>
                <w:color w:val="auto"/>
              </w:rPr>
            </w:pPr>
          </w:p>
        </w:tc>
        <w:tc>
          <w:tcPr>
            <w:tcW w:w="1980" w:type="dxa"/>
            <w:vAlign w:val="bottom"/>
            <w:gridSpan w:val="2"/>
          </w:tcPr>
          <w:p>
            <w:pPr>
              <w:jc w:val="center"/>
              <w:ind w:right="780"/>
              <w:spacing w:after="0"/>
              <w:rPr>
                <w:sz w:val="20"/>
                <w:szCs w:val="20"/>
                <w:color w:val="auto"/>
              </w:rPr>
            </w:pPr>
            <w:r>
              <w:rPr>
                <w:rFonts w:ascii="Arial" w:cs="Arial" w:eastAsia="Arial" w:hAnsi="Arial"/>
                <w:sz w:val="18"/>
                <w:szCs w:val="18"/>
                <w:color w:val="auto"/>
                <w:w w:val="97"/>
              </w:rPr>
              <w:t>EXR</w:t>
            </w:r>
          </w:p>
        </w:tc>
        <w:tc>
          <w:tcPr>
            <w:tcW w:w="76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0" w:lineRule="exact"/>
        <w:rPr>
          <w:sz w:val="24"/>
          <w:szCs w:val="24"/>
          <w:color w:val="auto"/>
        </w:rPr>
      </w:pPr>
    </w:p>
    <w:p>
      <w:pPr>
        <w:spacing w:after="0" w:line="380"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9"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11" w:lineRule="exact"/>
        <w:rPr>
          <w:sz w:val="24"/>
          <w:szCs w:val="24"/>
          <w:color w:val="auto"/>
        </w:rPr>
      </w:pPr>
    </w:p>
    <w:p>
      <w:pPr>
        <w:ind w:firstLine="324"/>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380"/>
              <w:spacing w:after="0"/>
              <w:rPr>
                <w:sz w:val="20"/>
                <w:szCs w:val="20"/>
                <w:color w:val="auto"/>
              </w:rPr>
            </w:pPr>
            <w:r>
              <w:rPr>
                <w:rFonts w:ascii="Arial" w:cs="Arial" w:eastAsia="Arial" w:hAnsi="Arial"/>
                <w:sz w:val="18"/>
                <w:szCs w:val="18"/>
                <w:color w:val="auto"/>
              </w:rPr>
              <w:t>x</w:t>
            </w:r>
          </w:p>
        </w:tc>
        <w:tc>
          <w:tcPr>
            <w:tcW w:w="516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16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220"/>
          </w:cols>
          <w:pgMar w:left="320" w:top="544" w:right="359" w:bottom="1440" w:gutter="0" w:footer="0" w:header="0"/>
        </w:sect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type w:val="continuous"/>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par value $0.01 per share, as of July 31, 2020, was 129,069,911.</w:t>
      </w:r>
    </w:p>
    <w:p>
      <w:pPr>
        <w:spacing w:after="0" w:line="1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49"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5"/>
          </w:tcPr>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tc>
        <w:tc>
          <w:tcPr>
            <w:tcW w:w="1120" w:type="dxa"/>
            <w:vAlign w:val="bottom"/>
          </w:tcPr>
          <w:p>
            <w:pPr>
              <w:spacing w:after="0"/>
              <w:rPr>
                <w:sz w:val="20"/>
                <w:szCs w:val="20"/>
                <w:color w:val="auto"/>
              </w:rPr>
            </w:pPr>
          </w:p>
        </w:tc>
      </w:tr>
      <w:tr>
        <w:trPr>
          <w:trHeight w:val="76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EXTRA SPACE STORAGE INC.</w:t>
            </w:r>
          </w:p>
        </w:tc>
        <w:tc>
          <w:tcPr>
            <w:tcW w:w="1120" w:type="dxa"/>
            <w:vAlign w:val="bottom"/>
          </w:tcPr>
          <w:p>
            <w:pPr>
              <w:spacing w:after="0"/>
              <w:rPr>
                <w:sz w:val="24"/>
                <w:szCs w:val="24"/>
                <w:color w:val="auto"/>
              </w:rPr>
            </w:pPr>
          </w:p>
        </w:tc>
      </w:tr>
      <w:tr>
        <w:trPr>
          <w:trHeight w:val="459"/>
        </w:trPr>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r>
      <w:tr>
        <w:trPr>
          <w:trHeight w:val="513"/>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STATEMENT ON FORWARD-LOOKING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FINANCIAL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ITEM 1. FINANCIAL STATEMENTS (unaudited)</w:t>
              </w:r>
            </w:hyperlink>
          </w:p>
        </w:tc>
        <w:tc>
          <w:tcPr>
            <w:tcW w:w="11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4"/>
        </w:trPr>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980" w:type="dxa"/>
            <w:vAlign w:val="bottom"/>
            <w:gridSpan w:val="3"/>
          </w:tcPr>
          <w:p>
            <w:pPr>
              <w:spacing w:after="0"/>
              <w:rPr>
                <w:rFonts w:ascii="Arial" w:cs="Arial" w:eastAsia="Arial" w:hAnsi="Arial"/>
                <w:sz w:val="18"/>
                <w:szCs w:val="18"/>
                <w:b w:val="1"/>
                <w:bCs w:val="1"/>
                <w:u w:val="single" w:color="auto"/>
                <w:color w:val="0000FF"/>
              </w:rPr>
            </w:pPr>
            <w:hyperlink w:anchor="page12">
              <w:r>
                <w:rPr>
                  <w:rFonts w:ascii="Arial" w:cs="Arial" w:eastAsia="Arial" w:hAnsi="Arial"/>
                  <w:sz w:val="18"/>
                  <w:szCs w:val="18"/>
                  <w:b w:val="1"/>
                  <w:bCs w:val="1"/>
                  <w:u w:val="single" w:color="auto"/>
                  <w:color w:val="0000FF"/>
                </w:rPr>
                <w:t>NOTES TO CONDENSED CONSOLIDATED FINANCIAL STATEMENTS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13</w:t>
              </w:r>
            </w:hyperlink>
          </w:p>
        </w:tc>
      </w:tr>
      <w:tr>
        <w:trPr>
          <w:trHeight w:val="203"/>
        </w:trPr>
        <w:tc>
          <w:tcPr>
            <w:tcW w:w="340" w:type="dxa"/>
            <w:vAlign w:val="bottom"/>
          </w:tcPr>
          <w:p>
            <w:pPr>
              <w:spacing w:after="0"/>
              <w:rPr>
                <w:sz w:val="17"/>
                <w:szCs w:val="17"/>
                <w:color w:val="auto"/>
              </w:rPr>
            </w:pPr>
          </w:p>
        </w:tc>
        <w:tc>
          <w:tcPr>
            <w:tcW w:w="8800" w:type="dxa"/>
            <w:vAlign w:val="bottom"/>
            <w:tcBorders>
              <w:bottom w:val="single" w:sz="8" w:color="0000FF"/>
            </w:tcBorders>
            <w:gridSpan w:val="3"/>
          </w:tcPr>
          <w:p>
            <w:pPr>
              <w:ind w:left="20"/>
              <w:spacing w:after="0" w:line="202" w:lineRule="exact"/>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ITEM 2. MANAGEMENT’S DISCUSSION AND ANALYSIS OF FINANCIAL CONDITION AND RESULTS OF</w:t>
              </w:r>
            </w:hyperlink>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Borders>
              <w:bottom w:val="single" w:sz="8" w:color="0000FF"/>
            </w:tcBorders>
          </w:tcPr>
          <w:p>
            <w:pPr>
              <w:spacing w:after="0" w:line="182" w:lineRule="exact"/>
              <w:rPr>
                <w:rFonts w:ascii="Arial" w:cs="Arial" w:eastAsia="Arial" w:hAnsi="Arial"/>
                <w:sz w:val="18"/>
                <w:szCs w:val="18"/>
                <w:b w:val="1"/>
                <w:bCs w:val="1"/>
                <w:color w:val="0000FF"/>
                <w:w w:val="97"/>
              </w:rPr>
            </w:pPr>
            <w:hyperlink w:anchor="page27">
              <w:r>
                <w:rPr>
                  <w:rFonts w:ascii="Arial" w:cs="Arial" w:eastAsia="Arial" w:hAnsi="Arial"/>
                  <w:sz w:val="18"/>
                  <w:szCs w:val="18"/>
                  <w:b w:val="1"/>
                  <w:bCs w:val="1"/>
                  <w:color w:val="0000FF"/>
                  <w:w w:val="97"/>
                </w:rPr>
                <w:t>OPERATIONS</w:t>
              </w:r>
            </w:hyperlink>
          </w:p>
        </w:tc>
        <w:tc>
          <w:tcPr>
            <w:tcW w:w="7800" w:type="dxa"/>
            <w:vAlign w:val="bottom"/>
            <w:gridSpan w:val="2"/>
          </w:tcPr>
          <w:p>
            <w:pPr>
              <w:spacing w:after="0"/>
              <w:rPr>
                <w:sz w:val="17"/>
                <w:szCs w:val="17"/>
                <w:color w:val="auto"/>
              </w:rPr>
            </w:pPr>
          </w:p>
        </w:tc>
        <w:tc>
          <w:tcPr>
            <w:tcW w:w="1120" w:type="dxa"/>
            <w:vAlign w:val="bottom"/>
          </w:tcPr>
          <w:p>
            <w:pPr>
              <w:jc w:val="right"/>
              <w:spacing w:after="0" w:line="196" w:lineRule="exact"/>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r>
      <w:tr>
        <w:trPr>
          <w:trHeight w:val="272"/>
        </w:trPr>
        <w:tc>
          <w:tcPr>
            <w:tcW w:w="340" w:type="dxa"/>
            <w:vAlign w:val="bottom"/>
          </w:tcPr>
          <w:p>
            <w:pPr>
              <w:spacing w:after="0"/>
              <w:rPr>
                <w:sz w:val="23"/>
                <w:szCs w:val="23"/>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3. QUANTITATIVE AND QUALITATIVE DISCLOSURES ABOUT MARKET RISK</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4. CONTROLS AND PROCEDURES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r>
      <w:tr>
        <w:trPr>
          <w:trHeight w:val="279"/>
        </w:trPr>
        <w:tc>
          <w:tcPr>
            <w:tcW w:w="10060" w:type="dxa"/>
            <w:vAlign w:val="bottom"/>
            <w:gridSpan w:val="5"/>
          </w:tcPr>
          <w:p>
            <w:pPr>
              <w:ind w:left="20"/>
              <w:spacing w:after="0"/>
              <w:rPr>
                <w:rFonts w:ascii="Arial" w:cs="Arial" w:eastAsia="Arial" w:hAnsi="Arial"/>
                <w:sz w:val="18"/>
                <w:szCs w:val="18"/>
                <w:b w:val="1"/>
                <w:bCs w:val="1"/>
                <w:u w:val="single" w:color="auto"/>
                <w:color w:val="0000FF"/>
              </w:rPr>
            </w:pPr>
            <w:hyperlink w:anchor="page38">
              <w:r>
                <w:rPr>
                  <w:rFonts w:ascii="Arial" w:cs="Arial" w:eastAsia="Arial" w:hAnsi="Arial"/>
                  <w:sz w:val="18"/>
                  <w:szCs w:val="18"/>
                  <w:b w:val="1"/>
                  <w:bCs w:val="1"/>
                  <w:u w:val="single" w:color="auto"/>
                  <w:color w:val="0000FF"/>
                </w:rPr>
                <w:t>PART II.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39</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1. LEGAL PROCEEDINGS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ITEM 1A. RISK FACTORS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2. UNREGISTERED SALES OF EQUITY SECURITIES AND USE OF PROCEEDS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3. DEFAULTS UPON SENIOR SECURITIES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4. MINE SAFETY DISCLOSURES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30"/>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0">
              <w:r>
                <w:rPr>
                  <w:rFonts w:ascii="Arial" w:cs="Arial" w:eastAsia="Arial" w:hAnsi="Arial"/>
                  <w:sz w:val="18"/>
                  <w:szCs w:val="18"/>
                  <w:b w:val="1"/>
                  <w:bCs w:val="1"/>
                  <w:u w:val="single" w:color="auto"/>
                  <w:color w:val="0000FF"/>
                </w:rPr>
                <w:t>ITEM 5. OTHER INFORMATION</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40</w:t>
              </w:r>
            </w:hyperlink>
          </w:p>
        </w:tc>
      </w:tr>
      <w:tr>
        <w:trPr>
          <w:trHeight w:val="229"/>
        </w:trPr>
        <w:tc>
          <w:tcPr>
            <w:tcW w:w="340" w:type="dxa"/>
            <w:vAlign w:val="bottom"/>
          </w:tcPr>
          <w:p>
            <w:pPr>
              <w:spacing w:after="0"/>
              <w:rPr>
                <w:sz w:val="19"/>
                <w:szCs w:val="19"/>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ITEM 6. EXHIBITS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42</w:t>
              </w:r>
            </w:hyperlink>
          </w:p>
        </w:tc>
      </w:tr>
      <w:tr>
        <w:trPr>
          <w:trHeight w:val="234"/>
        </w:trPr>
        <w:tc>
          <w:tcPr>
            <w:tcW w:w="340" w:type="dxa"/>
            <w:vAlign w:val="bottom"/>
          </w:tcPr>
          <w:p>
            <w:pPr>
              <w:spacing w:after="0"/>
              <w:rPr>
                <w:sz w:val="20"/>
                <w:szCs w:val="20"/>
                <w:color w:val="auto"/>
              </w:rPr>
            </w:pPr>
          </w:p>
        </w:tc>
        <w:tc>
          <w:tcPr>
            <w:tcW w:w="9720" w:type="dxa"/>
            <w:vAlign w:val="bottom"/>
            <w:gridSpan w:val="4"/>
          </w:tcPr>
          <w:p>
            <w:pPr>
              <w:ind w:left="2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SIGNATURES</w:t>
              </w:r>
            </w:hyperlink>
          </w:p>
        </w:tc>
        <w:tc>
          <w:tcPr>
            <w:tcW w:w="112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STATEMENT ON FORWARD-LOOKING INFORMATION</w:t>
      </w:r>
    </w:p>
    <w:p>
      <w:pPr>
        <w:spacing w:after="0" w:line="25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20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65"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conditions, the real estate industry and the markets in which we operate;</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close pending acquisitions and developments on expected terms, or at all;</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74"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63" w:lineRule="exact"/>
        <w:rPr>
          <w:rFonts w:ascii="Arial" w:cs="Arial" w:eastAsia="Arial" w:hAnsi="Arial"/>
          <w:sz w:val="18"/>
          <w:szCs w:val="18"/>
          <w:color w:val="auto"/>
        </w:rPr>
      </w:pPr>
    </w:p>
    <w:p>
      <w:pPr>
        <w:ind w:left="580" w:right="280" w:hanging="329"/>
        <w:spacing w:after="0" w:line="316" w:lineRule="auto"/>
        <w:tabs>
          <w:tab w:leader="none" w:pos="5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80" w:right="2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credit and financial markets and resulting difficulties in raising capital or obtaining credit at reasonable rates or at all, which could impede our ability to grow;</w:t>
      </w:r>
    </w:p>
    <w:p>
      <w:pPr>
        <w:spacing w:after="0" w:line="8" w:lineRule="exact"/>
        <w:rPr>
          <w:rFonts w:ascii="Arial" w:cs="Arial" w:eastAsia="Arial" w:hAnsi="Arial"/>
          <w:sz w:val="18"/>
          <w:szCs w:val="18"/>
          <w:color w:val="auto"/>
        </w:rPr>
      </w:pPr>
    </w:p>
    <w:p>
      <w:pPr>
        <w:ind w:left="580" w:right="80" w:hanging="329"/>
        <w:spacing w:after="0" w:line="263"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21"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interest rates;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asset valuations and related impairment charges;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sole decision-making authority with respect to our joint venture investments;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recent or future changes to U.S. tax laws;</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maintain our REIT status for U.S. federal income tax purposes; and</w:t>
      </w:r>
    </w:p>
    <w:p>
      <w:pPr>
        <w:spacing w:after="0" w:line="63"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uncertainty due to the impact of natural disasters, war or terrorism, which could adversely affect our business plan.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0"/>
              </w:rPr>
              <w:t>June 30, 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(unaudited)</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Real estate assets,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7,673,724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7,696,864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Real estate assets - 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264,643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Investments in unconsolidated real estate entities</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344,177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338,054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65,746</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188,938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8,529,894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Noncontrolling Interests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Notes payable,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4,300,744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4,318,973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Exchangeable senior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573,154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569,513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Revolving lines of credit</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207,000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271,875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274,783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Cash distributions in unconsolidated real estate ventures</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46,100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45,264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132,257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111,382</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253,246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132,768</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5,784,376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5,610,683</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 and Equity: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Extra Space Storage Inc. stockholders' equity:</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w w:val="95"/>
              </w:rPr>
              <w:t>Preferred stock, $0.01 par value, 50,000,000 shares authorized, no shares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520"/>
              <w:spacing w:after="0" w:line="176" w:lineRule="exact"/>
              <w:rPr>
                <w:sz w:val="20"/>
                <w:szCs w:val="20"/>
                <w:color w:val="auto"/>
              </w:rPr>
            </w:pPr>
            <w:r>
              <w:rPr>
                <w:rFonts w:ascii="Arial" w:cs="Arial" w:eastAsia="Arial" w:hAnsi="Arial"/>
                <w:sz w:val="18"/>
                <w:szCs w:val="18"/>
                <w:color w:val="auto"/>
                <w:w w:val="89"/>
              </w:rPr>
              <w:t>Common stock, $0.01 par value, 500,000,000 shares authorized, 129,069,555 and 129,534,407 shares</w:t>
            </w:r>
          </w:p>
        </w:tc>
        <w:tc>
          <w:tcPr>
            <w:tcW w:w="240" w:type="dxa"/>
            <w:vAlign w:val="bottom"/>
          </w:tcPr>
          <w:p>
            <w:pPr>
              <w:spacing w:after="0"/>
              <w:rPr>
                <w:sz w:val="15"/>
                <w:szCs w:val="15"/>
                <w:color w:val="auto"/>
              </w:rPr>
            </w:pPr>
          </w:p>
        </w:tc>
        <w:tc>
          <w:tcPr>
            <w:tcW w:w="1380" w:type="dxa"/>
            <w:vAlign w:val="bottom"/>
            <w:vMerge w:val="restart"/>
          </w:tcPr>
          <w:p>
            <w:pPr>
              <w:jc w:val="right"/>
              <w:ind w:right="51"/>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ind w:right="71"/>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issued and outstanding at June 30, 2020 and December 31, 2019, respectively</w:t>
            </w:r>
          </w:p>
        </w:tc>
        <w:tc>
          <w:tcPr>
            <w:tcW w:w="24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2,884,940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2,868,681</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(119,256)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(28,966)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(301,049)</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Extra Space Storage Inc. stockholders' equity</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2,375,690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2,539,961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 represented by Preferred Operating Partnership units, net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175,948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Noncontrolling interests in Operating Partnership, net and other noncontrolling interests</w:t>
            </w:r>
          </w:p>
        </w:tc>
        <w:tc>
          <w:tcPr>
            <w:tcW w:w="2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197,286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205,785</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noncontrolling interests and equity</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2,745,518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2,921,694</w:t>
            </w:r>
          </w:p>
        </w:tc>
        <w:tc>
          <w:tcPr>
            <w:tcW w:w="0" w:type="dxa"/>
            <w:vAlign w:val="bottom"/>
          </w:tcPr>
          <w:p>
            <w:pPr>
              <w:spacing w:after="0"/>
              <w:rPr>
                <w:sz w:val="1"/>
                <w:szCs w:val="1"/>
                <w:color w:val="auto"/>
              </w:rPr>
            </w:pPr>
          </w:p>
        </w:tc>
      </w:tr>
      <w:tr>
        <w:trPr>
          <w:trHeight w:val="237"/>
        </w:trPr>
        <w:tc>
          <w:tcPr>
            <w:tcW w:w="7860" w:type="dxa"/>
            <w:vAlign w:val="bottom"/>
          </w:tcPr>
          <w:p>
            <w:pPr>
              <w:ind w:left="860"/>
              <w:spacing w:after="0"/>
              <w:rPr>
                <w:sz w:val="20"/>
                <w:szCs w:val="20"/>
                <w:color w:val="auto"/>
              </w:rPr>
            </w:pPr>
            <w:r>
              <w:rPr>
                <w:rFonts w:ascii="Arial" w:cs="Arial" w:eastAsia="Arial" w:hAnsi="Arial"/>
                <w:sz w:val="18"/>
                <w:szCs w:val="18"/>
                <w:color w:val="auto"/>
              </w:rPr>
              <w:t>Total liabilities, noncontrolling interests and equity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8,529,894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8,532,377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6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560" w:type="dxa"/>
            <w:vAlign w:val="bottom"/>
            <w:gridSpan w:val="6"/>
          </w:tcPr>
          <w:p>
            <w:pPr>
              <w:ind w:left="4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32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w w:val="93"/>
              </w:rPr>
              <w:t>For the Six Months Ended June 30,</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Property rental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279,312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279,584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566,015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550,587</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Tenant reinsurance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35,078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31,701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68,691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61,498</w:t>
            </w:r>
          </w:p>
        </w:tc>
        <w:tc>
          <w:tcPr>
            <w:tcW w:w="0" w:type="dxa"/>
            <w:vAlign w:val="bottom"/>
          </w:tcPr>
          <w:p>
            <w:pPr>
              <w:spacing w:after="0"/>
              <w:rPr>
                <w:sz w:val="1"/>
                <w:szCs w:val="1"/>
                <w:color w:val="auto"/>
              </w:rPr>
            </w:pPr>
          </w:p>
        </w:tc>
      </w:tr>
      <w:tr>
        <w:trPr>
          <w:trHeight w:val="223"/>
        </w:trPr>
        <w:tc>
          <w:tcPr>
            <w:tcW w:w="6080" w:type="dxa"/>
            <w:vAlign w:val="bottom"/>
          </w:tcPr>
          <w:p>
            <w:pPr>
              <w:ind w:left="340"/>
              <w:spacing w:after="0"/>
              <w:rPr>
                <w:sz w:val="20"/>
                <w:szCs w:val="20"/>
                <w:color w:val="auto"/>
              </w:rPr>
            </w:pPr>
            <w:r>
              <w:rPr>
                <w:rFonts w:ascii="Arial" w:cs="Arial" w:eastAsia="Arial" w:hAnsi="Arial"/>
                <w:sz w:val="16"/>
                <w:szCs w:val="16"/>
                <w:color w:val="auto"/>
              </w:rPr>
              <w:t>Management fees and other income</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24,992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23,063</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327,246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323,602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659,698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635,148</w:t>
            </w:r>
          </w:p>
        </w:tc>
        <w:tc>
          <w:tcPr>
            <w:tcW w:w="0" w:type="dxa"/>
            <w:vAlign w:val="bottom"/>
          </w:tcPr>
          <w:p>
            <w:pPr>
              <w:spacing w:after="0"/>
              <w:rPr>
                <w:sz w:val="1"/>
                <w:szCs w:val="1"/>
                <w:color w:val="auto"/>
              </w:rPr>
            </w:pPr>
          </w:p>
        </w:tc>
      </w:tr>
      <w:tr>
        <w:trPr>
          <w:trHeight w:val="203"/>
        </w:trPr>
        <w:tc>
          <w:tcPr>
            <w:tcW w:w="60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89,040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80,870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179,337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159,635</w:t>
            </w: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Tenant reinsurance</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13,536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13,949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25,337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23,351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48,348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46,029</w:t>
            </w:r>
          </w:p>
        </w:tc>
        <w:tc>
          <w:tcPr>
            <w:tcW w:w="0" w:type="dxa"/>
            <w:vAlign w:val="bottom"/>
          </w:tcPr>
          <w:p>
            <w:pPr>
              <w:spacing w:after="0"/>
              <w:rPr>
                <w:sz w:val="1"/>
                <w:szCs w:val="1"/>
                <w:color w:val="auto"/>
              </w:rPr>
            </w:pPr>
          </w:p>
        </w:tc>
      </w:tr>
      <w:tr>
        <w:trPr>
          <w:trHeight w:val="223"/>
        </w:trPr>
        <w:tc>
          <w:tcPr>
            <w:tcW w:w="60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56,018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54,406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111,293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109,065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177,253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165,609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352,514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328,678</w:t>
            </w:r>
          </w:p>
        </w:tc>
        <w:tc>
          <w:tcPr>
            <w:tcW w:w="0" w:type="dxa"/>
            <w:vAlign w:val="bottom"/>
          </w:tcPr>
          <w:p>
            <w:pPr>
              <w:spacing w:after="0"/>
              <w:rPr>
                <w:sz w:val="1"/>
                <w:szCs w:val="1"/>
                <w:color w:val="auto"/>
              </w:rPr>
            </w:pPr>
          </w:p>
        </w:tc>
      </w:tr>
      <w:tr>
        <w:trPr>
          <w:trHeight w:val="224"/>
        </w:trPr>
        <w:tc>
          <w:tcPr>
            <w:tcW w:w="608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1,205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159,198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307,184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307,675</w:t>
            </w:r>
          </w:p>
        </w:tc>
        <w:tc>
          <w:tcPr>
            <w:tcW w:w="0" w:type="dxa"/>
            <w:vAlign w:val="bottom"/>
          </w:tcPr>
          <w:p>
            <w:pPr>
              <w:spacing w:after="0"/>
              <w:rPr>
                <w:sz w:val="1"/>
                <w:szCs w:val="1"/>
                <w:color w:val="auto"/>
              </w:rPr>
            </w:pPr>
          </w:p>
        </w:tc>
      </w:tr>
      <w:tr>
        <w:trPr>
          <w:trHeight w:val="224"/>
        </w:trPr>
        <w:tc>
          <w:tcPr>
            <w:tcW w:w="6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(47,448)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(85,397)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(94,808)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Non-cash interest expense related to amortization of discount on equity component of</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exchangeable senior notes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Income before equity in earnings of unconsolidated real estate ventures and income tax</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109,390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112,283</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222,688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213,626</w:t>
            </w:r>
          </w:p>
        </w:tc>
        <w:tc>
          <w:tcPr>
            <w:tcW w:w="0" w:type="dxa"/>
            <w:vAlign w:val="bottom"/>
          </w:tcPr>
          <w:p>
            <w:pPr>
              <w:spacing w:after="0"/>
              <w:rPr>
                <w:sz w:val="1"/>
                <w:szCs w:val="1"/>
                <w:color w:val="auto"/>
              </w:rPr>
            </w:pPr>
          </w:p>
        </w:tc>
      </w:tr>
      <w:tr>
        <w:trPr>
          <w:trHeight w:val="224"/>
        </w:trPr>
        <w:tc>
          <w:tcPr>
            <w:tcW w:w="6080" w:type="dxa"/>
            <w:vAlign w:val="bottom"/>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3,121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10,087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5,751</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(4,528)</w:t>
            </w: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111,257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112,689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227,419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214,849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14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(10,079)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(8,960)</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102,911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104,828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211,090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199,598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08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number of shares</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w w:val="94"/>
              </w:rPr>
              <w:t>128,932,152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w w:val="94"/>
              </w:rPr>
              <w:t>127,585,436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w w:val="98"/>
              </w:rPr>
              <w:t>129,110,131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w w:val="96"/>
              </w:rPr>
              <w:t>127,349,299</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129,082,468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4"/>
              </w:rPr>
              <w:t>135,654,761</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8"/>
              </w:rPr>
              <w:t>129,285,675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6"/>
              </w:rPr>
              <w:t>135,166,456</w:t>
            </w:r>
          </w:p>
        </w:tc>
        <w:tc>
          <w:tcPr>
            <w:tcW w:w="0" w:type="dxa"/>
            <w:vAlign w:val="bottom"/>
          </w:tcPr>
          <w:p>
            <w:pPr>
              <w:spacing w:after="0"/>
              <w:rPr>
                <w:sz w:val="1"/>
                <w:szCs w:val="1"/>
                <w:color w:val="auto"/>
              </w:rPr>
            </w:pPr>
          </w:p>
        </w:tc>
      </w:tr>
      <w:tr>
        <w:trPr>
          <w:trHeight w:val="254"/>
        </w:trPr>
        <w:tc>
          <w:tcPr>
            <w:tcW w:w="6080" w:type="dxa"/>
            <w:vAlign w:val="bottom"/>
          </w:tcPr>
          <w:p>
            <w:pPr>
              <w:ind w:left="20"/>
              <w:spacing w:after="0"/>
              <w:rPr>
                <w:sz w:val="20"/>
                <w:szCs w:val="20"/>
                <w:color w:val="auto"/>
              </w:rPr>
            </w:pPr>
            <w:r>
              <w:rPr>
                <w:rFonts w:ascii="Arial" w:cs="Arial" w:eastAsia="Arial" w:hAnsi="Arial"/>
                <w:sz w:val="16"/>
                <w:szCs w:val="16"/>
                <w:color w:val="auto"/>
              </w:rPr>
              <w:t>Cash dividends paid per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364"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Comprehensive Income</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 in fair value of interest rate swaps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right="1460" w:firstLine="427"/>
        <w:spacing w:after="0" w:line="460" w:lineRule="auto"/>
        <w:rPr>
          <w:sz w:val="20"/>
          <w:szCs w:val="20"/>
          <w:color w:val="auto"/>
        </w:rPr>
      </w:pPr>
      <w:r>
        <w:rPr>
          <w:rFonts w:ascii="Arial" w:cs="Arial" w:eastAsia="Arial" w:hAnsi="Arial"/>
          <w:sz w:val="15"/>
          <w:szCs w:val="15"/>
          <w:color w:val="auto"/>
        </w:rPr>
        <w:t>Less: comprehensive income attributable to noncontrolling interests Comprehensive income attributable to common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For the Three Months Ended</w:t>
            </w: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w w:val="93"/>
              </w:rPr>
              <w:t>For the Six Months Ended June</w:t>
            </w:r>
          </w:p>
        </w:tc>
      </w:tr>
      <w:tr>
        <w:trPr>
          <w:trHeight w:val="192"/>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r>
      <w:tr>
        <w:trPr>
          <w:trHeight w:val="196"/>
        </w:trPr>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2019</w:t>
            </w:r>
          </w:p>
        </w:tc>
      </w:tr>
      <w:tr>
        <w:trPr>
          <w:trHeight w:val="223"/>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111,257</w:t>
            </w:r>
          </w:p>
        </w:tc>
        <w:tc>
          <w:tcPr>
            <w:tcW w:w="1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w w:val="93"/>
              </w:rPr>
              <w:t>112,689</w:t>
            </w:r>
          </w:p>
        </w:tc>
        <w:tc>
          <w:tcPr>
            <w:tcW w:w="16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227,419</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214,849</w:t>
            </w:r>
          </w:p>
        </w:tc>
      </w:tr>
      <w:tr>
        <w:trPr>
          <w:trHeight w:val="513"/>
        </w:trPr>
        <w:tc>
          <w:tcPr>
            <w:tcW w:w="100" w:type="dxa"/>
            <w:vAlign w:val="bottom"/>
          </w:tcPr>
          <w:p>
            <w:pPr>
              <w:spacing w:after="0"/>
              <w:rPr>
                <w:sz w:val="24"/>
                <w:szCs w:val="24"/>
                <w:color w:val="auto"/>
              </w:rPr>
            </w:pP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(5,728)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w w:val="97"/>
              </w:rPr>
              <w:t>(41,302)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(94,972)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(65,295)</w:t>
            </w:r>
          </w:p>
        </w:tc>
      </w:tr>
      <w:tr>
        <w:trPr>
          <w:trHeight w:val="33"/>
        </w:trPr>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spacing w:after="0"/>
              <w:rPr>
                <w:sz w:val="18"/>
                <w:szCs w:val="18"/>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105,529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71,387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132,447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149,554</w:t>
            </w:r>
          </w:p>
        </w:tc>
      </w:tr>
      <w:tr>
        <w:trPr>
          <w:trHeight w:val="256"/>
        </w:trPr>
        <w:tc>
          <w:tcPr>
            <w:tcW w:w="100" w:type="dxa"/>
            <w:vAlign w:val="bottom"/>
          </w:tcPr>
          <w:p>
            <w:pPr>
              <w:spacing w:after="0"/>
              <w:rPr>
                <w:sz w:val="22"/>
                <w:szCs w:val="22"/>
                <w:color w:val="auto"/>
              </w:rPr>
            </w:pP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8,034</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5,842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11,647</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12,082</w:t>
            </w:r>
          </w:p>
        </w:tc>
      </w:tr>
      <w:tr>
        <w:trPr>
          <w:trHeight w:val="33"/>
        </w:trPr>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97,495</w:t>
            </w:r>
          </w:p>
        </w:tc>
        <w:tc>
          <w:tcPr>
            <w:tcW w:w="1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65,545</w:t>
            </w:r>
          </w:p>
        </w:tc>
        <w:tc>
          <w:tcPr>
            <w:tcW w:w="16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120,800</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137,472</w:t>
            </w:r>
          </w:p>
        </w:tc>
      </w:tr>
      <w:tr>
        <w:trPr>
          <w:trHeight w:val="33"/>
        </w:trPr>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ectPr>
          <w:pgSz w:w="11900" w:h="16838" w:orient="portrait"/>
          <w:cols w:equalWidth="0" w:num="2">
            <w:col w:w="6300" w:space="720"/>
            <w:col w:w="4200"/>
          </w:cols>
          <w:pgMar w:left="340" w:top="121" w:right="339" w:bottom="1440" w:gutter="0" w:footer="0" w:header="0"/>
          <w:type w:val="continuous"/>
        </w:sect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unaudited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Noncontrolling Interests</w:t>
            </w:r>
          </w:p>
        </w:tc>
        <w:tc>
          <w:tcPr>
            <w:tcW w:w="920" w:type="dxa"/>
            <w:vAlign w:val="bottom"/>
          </w:tcPr>
          <w:p>
            <w:pPr>
              <w:spacing w:after="0"/>
              <w:rPr>
                <w:sz w:val="16"/>
                <w:szCs w:val="16"/>
                <w:color w:val="auto"/>
              </w:rPr>
            </w:pPr>
          </w:p>
        </w:tc>
        <w:tc>
          <w:tcPr>
            <w:tcW w:w="296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Extra Space Storage Inc. Stockholders'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060" w:type="dxa"/>
            <w:vAlign w:val="bottom"/>
          </w:tcPr>
          <w:p>
            <w:pPr>
              <w:spacing w:after="0"/>
              <w:rPr>
                <w:sz w:val="24"/>
                <w:szCs w:val="24"/>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Partnership</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$ 153,096</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$ 218,362</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$ 240</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127,103,750</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$ 1,271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$ 2,640,705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34,650</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(262,902)</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$ 2,785,422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169,021</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1,754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1,757</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grants issued</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35,022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Compensation expense related to stock-</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based awards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units for stock</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85,501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3,310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Preferred D Units in the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Partnership in conjunction</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 acquisitions</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23,447</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23,447</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3,164</w:t>
            </w:r>
          </w:p>
        </w:tc>
        <w:tc>
          <w:tcPr>
            <w:tcW w:w="8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4,235</w:t>
            </w:r>
          </w:p>
        </w:tc>
        <w:tc>
          <w:tcPr>
            <w:tcW w:w="80" w:type="dxa"/>
            <w:vAlign w:val="bottom"/>
          </w:tcPr>
          <w:p>
            <w:pPr>
              <w:spacing w:after="0"/>
              <w:rPr>
                <w:sz w:val="21"/>
                <w:szCs w:val="21"/>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94,770</w:t>
            </w:r>
          </w:p>
        </w:tc>
        <w:tc>
          <w:tcPr>
            <w:tcW w:w="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102,160</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(147)</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(22,843)</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(23,993)</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Distributions to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(3,296)</w:t>
            </w:r>
          </w:p>
        </w:tc>
        <w:tc>
          <w:tcPr>
            <w:tcW w:w="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(5,116)</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(8,412)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5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5"/>
                <w:szCs w:val="15"/>
                <w:color w:val="auto"/>
              </w:rPr>
            </w:pPr>
          </w:p>
        </w:tc>
        <w:tc>
          <w:tcPr>
            <w:tcW w:w="9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5"/>
                <w:szCs w:val="15"/>
                <w:color w:val="auto"/>
              </w:rPr>
            </w:pPr>
          </w:p>
        </w:tc>
        <w:tc>
          <w:tcPr>
            <w:tcW w:w="8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(109,523)</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(109,523)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$0.86 per share</w:t>
            </w: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w w:val="89"/>
              </w:rPr>
              <w:t>$ 176,264</w:t>
            </w:r>
          </w:p>
        </w:tc>
        <w:tc>
          <w:tcPr>
            <w:tcW w:w="8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$ 213,168</w:t>
            </w:r>
          </w:p>
        </w:tc>
        <w:tc>
          <w:tcPr>
            <w:tcW w:w="80" w:type="dxa"/>
            <w:vAlign w:val="bottom"/>
          </w:tcPr>
          <w:p>
            <w:pPr>
              <w:spacing w:after="0"/>
              <w:rPr>
                <w:sz w:val="21"/>
                <w:szCs w:val="21"/>
                <w:color w:val="auto"/>
              </w:rPr>
            </w:pPr>
          </w:p>
        </w:tc>
        <w:tc>
          <w:tcPr>
            <w:tcW w:w="520" w:type="dxa"/>
            <w:vAlign w:val="bottom"/>
          </w:tcPr>
          <w:p>
            <w:pPr>
              <w:jc w:val="right"/>
              <w:ind w:right="60"/>
              <w:spacing w:after="0"/>
              <w:rPr>
                <w:sz w:val="20"/>
                <w:szCs w:val="20"/>
                <w:color w:val="auto"/>
              </w:rPr>
            </w:pPr>
            <w:r>
              <w:rPr>
                <w:rFonts w:ascii="Arial" w:cs="Arial" w:eastAsia="Arial" w:hAnsi="Arial"/>
                <w:sz w:val="16"/>
                <w:szCs w:val="16"/>
                <w:color w:val="auto"/>
                <w:w w:val="89"/>
              </w:rPr>
              <w:t>$ 231</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2"/>
              </w:rPr>
              <w:t>127,392,050</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$ 1,274</w:t>
            </w:r>
          </w:p>
        </w:tc>
        <w:tc>
          <w:tcPr>
            <w:tcW w:w="100" w:type="dxa"/>
            <w:vAlign w:val="bottom"/>
          </w:tcPr>
          <w:p>
            <w:pPr>
              <w:spacing w:after="0"/>
              <w:rPr>
                <w:sz w:val="21"/>
                <w:szCs w:val="21"/>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w w:val="89"/>
              </w:rPr>
              <w:t>$ 2,648,723</w:t>
            </w:r>
          </w:p>
        </w:tc>
        <w:tc>
          <w:tcPr>
            <w:tcW w:w="80" w:type="dxa"/>
            <w:vAlign w:val="bottom"/>
          </w:tcPr>
          <w:p>
            <w:pPr>
              <w:spacing w:after="0"/>
              <w:rPr>
                <w:sz w:val="21"/>
                <w:szCs w:val="21"/>
                <w:color w:val="auto"/>
              </w:rPr>
            </w:pP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11,807</w:t>
            </w:r>
          </w:p>
        </w:tc>
        <w:tc>
          <w:tcPr>
            <w:tcW w:w="8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w w:val="92"/>
              </w:rPr>
              <w:t>$ (277,655)</w:t>
            </w:r>
          </w:p>
        </w:tc>
        <w:tc>
          <w:tcPr>
            <w:tcW w:w="80" w:type="dxa"/>
            <w:vAlign w:val="bottom"/>
          </w:tcPr>
          <w:p>
            <w:pPr>
              <w:spacing w:after="0"/>
              <w:rPr>
                <w:sz w:val="21"/>
                <w:szCs w:val="21"/>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w w:val="94"/>
              </w:rPr>
              <w:t>$ 2,773,812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Noncontrolling Interests</w:t>
            </w:r>
          </w:p>
        </w:tc>
        <w:tc>
          <w:tcPr>
            <w:tcW w:w="920" w:type="dxa"/>
            <w:vAlign w:val="bottom"/>
          </w:tcPr>
          <w:p>
            <w:pPr>
              <w:spacing w:after="0"/>
              <w:rPr>
                <w:sz w:val="16"/>
                <w:szCs w:val="16"/>
                <w:color w:val="auto"/>
              </w:rPr>
            </w:pPr>
          </w:p>
        </w:tc>
        <w:tc>
          <w:tcPr>
            <w:tcW w:w="296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Extra Space Storage Inc. Stockholders'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060" w:type="dxa"/>
            <w:vAlign w:val="bottom"/>
          </w:tcPr>
          <w:p>
            <w:pPr>
              <w:spacing w:after="0"/>
              <w:rPr>
                <w:sz w:val="24"/>
                <w:szCs w:val="24"/>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9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 Value</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3060" w:type="dxa"/>
            <w:vAlign w:val="bottom"/>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Partnership</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Partnership</w:t>
            </w:r>
          </w:p>
        </w:tc>
        <w:tc>
          <w:tcPr>
            <w:tcW w:w="6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2019</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$ 176,264</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$ 213,168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$ 231</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127,392,050</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$ 1,274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$ 2,648,723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11,807</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(277,655)</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$ 2,773,812</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17,042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grants issued</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53,789</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Restricted stock grants cancelled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(4,786)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 net of</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930,000</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98,787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98,796</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w w:val="93"/>
              </w:rPr>
              <w:t>Compensation expense related to stock-</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3,998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3,998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for stock</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(4,823)</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4,823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Issuance of Preferred D Units in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Operating Partnership in conjunction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with acquisitions</w:t>
            </w:r>
          </w:p>
        </w:tc>
        <w:tc>
          <w:tcPr>
            <w:tcW w:w="800" w:type="dxa"/>
            <w:vAlign w:val="bottom"/>
          </w:tcPr>
          <w:p>
            <w:pPr>
              <w:jc w:val="right"/>
              <w:ind w:right="61"/>
              <w:spacing w:after="0"/>
              <w:rPr>
                <w:sz w:val="20"/>
                <w:szCs w:val="20"/>
                <w:color w:val="auto"/>
              </w:rPr>
            </w:pPr>
            <w:r>
              <w:rPr>
                <w:rFonts w:ascii="Arial" w:cs="Arial" w:eastAsia="Arial" w:hAnsi="Arial"/>
                <w:sz w:val="16"/>
                <w:szCs w:val="16"/>
                <w:color w:val="auto"/>
              </w:rPr>
              <w:t>4,575</w:t>
            </w:r>
          </w:p>
        </w:tc>
        <w:tc>
          <w:tcPr>
            <w:tcW w:w="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4,575</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Noncontrolling interest in consolidated</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joint venture</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w w:val="99"/>
              </w:rPr>
              <w:t>Conversion of Preferred C Units in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8"/>
                <w:szCs w:val="18"/>
                <w:color w:val="auto"/>
              </w:rPr>
              <w:t>Operating Partnership for Common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Operating Partnership Units</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(4,374)</w:t>
            </w:r>
          </w:p>
        </w:tc>
        <w:tc>
          <w:tcPr>
            <w:tcW w:w="8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4,374</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3,129</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4,754</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104,828</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112,689</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(254)</w:t>
            </w:r>
          </w:p>
        </w:tc>
        <w:tc>
          <w:tcPr>
            <w:tcW w:w="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(1,765)</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(39,283)</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(41,302)</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Operating Partnership</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(3,232)</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(5,473)</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(8,705)</w:t>
            </w:r>
          </w:p>
        </w:tc>
        <w:tc>
          <w:tcPr>
            <w:tcW w:w="0" w:type="dxa"/>
            <w:vAlign w:val="bottom"/>
          </w:tcPr>
          <w:p>
            <w:pPr>
              <w:spacing w:after="0"/>
              <w:rPr>
                <w:sz w:val="1"/>
                <w:szCs w:val="1"/>
                <w:color w:val="auto"/>
              </w:rPr>
            </w:pPr>
          </w:p>
        </w:tc>
      </w:tr>
      <w:tr>
        <w:trPr>
          <w:trHeight w:val="175"/>
        </w:trPr>
        <w:tc>
          <w:tcPr>
            <w:tcW w:w="3060" w:type="dxa"/>
            <w:vAlign w:val="bottom"/>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5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(115,572)</w:t>
            </w:r>
          </w:p>
        </w:tc>
        <w:tc>
          <w:tcPr>
            <w:tcW w:w="80" w:type="dxa"/>
            <w:vAlign w:val="bottom"/>
          </w:tcPr>
          <w:p>
            <w:pPr>
              <w:spacing w:after="0"/>
              <w:rPr>
                <w:sz w:val="15"/>
                <w:szCs w:val="15"/>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color w:val="auto"/>
              </w:rPr>
              <w:t>(115,572)</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$0.90 per share</w:t>
            </w: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2019</w:t>
            </w:r>
          </w:p>
        </w:tc>
        <w:tc>
          <w:tcPr>
            <w:tcW w:w="8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$ 176,108</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$ 210,235</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$ 259</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128,513,095</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$ 1,285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$ 2,756,799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(27,476)</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(288,399)</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$ 2,828,811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Noncontrolling Interests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Noncontrolling Interest</w:t>
            </w:r>
          </w:p>
        </w:tc>
        <w:tc>
          <w:tcPr>
            <w:tcW w:w="920" w:type="dxa"/>
            <w:vAlign w:val="bottom"/>
          </w:tcPr>
          <w:p>
            <w:pPr>
              <w:spacing w:after="0"/>
              <w:rPr>
                <w:sz w:val="16"/>
                <w:szCs w:val="16"/>
                <w:color w:val="auto"/>
              </w:rPr>
            </w:pPr>
          </w:p>
        </w:tc>
        <w:tc>
          <w:tcPr>
            <w:tcW w:w="2960" w:type="dxa"/>
            <w:vAlign w:val="bottom"/>
            <w:gridSpan w:val="9"/>
          </w:tcPr>
          <w:p>
            <w:pPr>
              <w:ind w:left="40"/>
              <w:spacing w:after="0"/>
              <w:rPr>
                <w:sz w:val="20"/>
                <w:szCs w:val="20"/>
                <w:color w:val="auto"/>
              </w:rPr>
            </w:pPr>
            <w:r>
              <w:rPr>
                <w:rFonts w:ascii="Arial" w:cs="Arial" w:eastAsia="Arial" w:hAnsi="Arial"/>
                <w:sz w:val="14"/>
                <w:szCs w:val="14"/>
                <w:b w:val="1"/>
                <w:bCs w:val="1"/>
                <w:color w:val="auto"/>
                <w:w w:val="94"/>
              </w:rPr>
              <w:t>Extra Space Storage Inc. Stockholders' Equity</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29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Preferred</w:t>
            </w: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Operating</w:t>
            </w:r>
          </w:p>
        </w:tc>
        <w:tc>
          <w:tcPr>
            <w:tcW w:w="900" w:type="dxa"/>
            <w:vAlign w:val="bottom"/>
            <w:gridSpan w:val="2"/>
            <w:vMerge w:val="continue"/>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80" w:type="dxa"/>
            <w:vAlign w:val="bottom"/>
            <w:vMerge w:val="restart"/>
          </w:tcPr>
          <w:p>
            <w:pPr>
              <w:spacing w:after="0"/>
              <w:rPr>
                <w:sz w:val="12"/>
                <w:szCs w:val="12"/>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vMerge w:val="restart"/>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9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Interests and</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Partnership</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Partnership</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$ 175,948</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$ 205,419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$ 366</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129,534,407</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$ 1,295</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$ 2,868,681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(28,966)</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(301,049)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4"/>
              </w:rPr>
              <w:t>$ 2,921,694</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77,400</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Issuance of common stock in connection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share based compensation</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73,602</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2,979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Restricted stock grants cancelled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Buyback of common stock, net of</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(653,597)</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(52,197)</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(52,204)</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units for stock</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3,112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4,877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108,179</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116,162</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(563)</w:t>
            </w:r>
          </w:p>
        </w:tc>
        <w:tc>
          <w:tcPr>
            <w:tcW w:w="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(3,807)</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(84,874)</w:t>
            </w:r>
          </w:p>
        </w:tc>
        <w:tc>
          <w:tcPr>
            <w:tcW w:w="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(89,244)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to Operating Partnership</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(3,178)</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(5,327)</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(8,505)</w:t>
            </w:r>
          </w:p>
        </w:tc>
        <w:tc>
          <w:tcPr>
            <w:tcW w:w="0" w:type="dxa"/>
            <w:vAlign w:val="bottom"/>
          </w:tcPr>
          <w:p>
            <w:pPr>
              <w:spacing w:after="0"/>
              <w:rPr>
                <w:sz w:val="1"/>
                <w:szCs w:val="1"/>
                <w:color w:val="auto"/>
              </w:rPr>
            </w:pPr>
          </w:p>
        </w:tc>
      </w:tr>
      <w:tr>
        <w:trPr>
          <w:trHeight w:val="176"/>
        </w:trPr>
        <w:tc>
          <w:tcPr>
            <w:tcW w:w="3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(117,197)</w:t>
            </w:r>
          </w:p>
        </w:tc>
        <w:tc>
          <w:tcPr>
            <w:tcW w:w="80" w:type="dxa"/>
            <w:vAlign w:val="bottom"/>
          </w:tcPr>
          <w:p>
            <w:pPr>
              <w:spacing w:after="0"/>
              <w:rPr>
                <w:sz w:val="15"/>
                <w:szCs w:val="15"/>
                <w:color w:val="auto"/>
              </w:rPr>
            </w:pP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(117,197)</w:t>
            </w:r>
          </w:p>
        </w:tc>
        <w:tc>
          <w:tcPr>
            <w:tcW w:w="0" w:type="dxa"/>
            <w:vAlign w:val="bottom"/>
          </w:tcPr>
          <w:p>
            <w:pPr>
              <w:spacing w:after="0"/>
              <w:rPr>
                <w:sz w:val="1"/>
                <w:szCs w:val="1"/>
                <w:color w:val="auto"/>
              </w:rPr>
            </w:pPr>
          </w:p>
        </w:tc>
      </w:tr>
      <w:tr>
        <w:trPr>
          <w:trHeight w:val="229"/>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$0.90 per share</w:t>
            </w: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$ 175,319</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$ 200,832</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$ 360</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129,038,907</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$ 1,290</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$ 2,872,933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(113,840)</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(362,264)</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4"/>
              </w:rPr>
              <w:t>$ 2,774,630</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Issuance of common stock upon the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6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exercise of options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13,610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726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Issuance of common stock in connection</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with share based compensation</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60,032</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4,884</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Restricted stock grants cancelled</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Buyback of common stock, net of</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offering costs</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(172,600)</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(15,614)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(15,615)</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Redemption of Operating Partnership</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units for stock</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(3,675)</w:t>
            </w:r>
          </w:p>
        </w:tc>
        <w:tc>
          <w:tcPr>
            <w:tcW w:w="8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3,674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Redemption of Preferred D Units in the</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Partnership for Stock</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(2,724)</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30,495</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2,724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060" w:type="dxa"/>
            <w:vAlign w:val="bottom"/>
            <w:gridSpan w:val="2"/>
          </w:tcPr>
          <w:p>
            <w:pPr>
              <w:ind w:left="20"/>
              <w:spacing w:after="0"/>
              <w:rPr>
                <w:sz w:val="20"/>
                <w:szCs w:val="20"/>
                <w:color w:val="auto"/>
              </w:rPr>
            </w:pPr>
            <w:r>
              <w:rPr>
                <w:rFonts w:ascii="Arial" w:cs="Arial" w:eastAsia="Arial" w:hAnsi="Arial"/>
                <w:sz w:val="18"/>
                <w:szCs w:val="18"/>
                <w:color w:val="auto"/>
                <w:w w:val="99"/>
              </w:rPr>
              <w:t>Noncontrolling interest in consolidated</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joint venture</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3,139</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5,216</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102,911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111,257</w:t>
            </w:r>
          </w:p>
        </w:tc>
        <w:tc>
          <w:tcPr>
            <w:tcW w:w="0" w:type="dxa"/>
            <w:vAlign w:val="bottom"/>
          </w:tcPr>
          <w:p>
            <w:pPr>
              <w:spacing w:after="0"/>
              <w:rPr>
                <w:sz w:val="1"/>
                <w:szCs w:val="1"/>
                <w:color w:val="auto"/>
              </w:rPr>
            </w:pP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(5,416)</w:t>
            </w:r>
          </w:p>
        </w:tc>
        <w:tc>
          <w:tcPr>
            <w:tcW w:w="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Distributions to Operating Partnership</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units held by noncontrolling interests</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(3,151)</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(5,235)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(8,386)</w:t>
            </w:r>
          </w:p>
        </w:tc>
        <w:tc>
          <w:tcPr>
            <w:tcW w:w="0" w:type="dxa"/>
            <w:vAlign w:val="bottom"/>
          </w:tcPr>
          <w:p>
            <w:pPr>
              <w:spacing w:after="0"/>
              <w:rPr>
                <w:sz w:val="1"/>
                <w:szCs w:val="1"/>
                <w:color w:val="auto"/>
              </w:rPr>
            </w:pPr>
          </w:p>
        </w:tc>
      </w:tr>
      <w:tr>
        <w:trPr>
          <w:trHeight w:val="175"/>
        </w:trPr>
        <w:tc>
          <w:tcPr>
            <w:tcW w:w="30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Dividends paid on common stock at</w:t>
            </w:r>
          </w:p>
        </w:tc>
        <w:tc>
          <w:tcPr>
            <w:tcW w:w="80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5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5"/>
                <w:szCs w:val="15"/>
                <w:color w:val="auto"/>
              </w:rPr>
            </w:pPr>
          </w:p>
        </w:tc>
        <w:tc>
          <w:tcPr>
            <w:tcW w:w="920" w:type="dxa"/>
            <w:vAlign w:val="bottom"/>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ind w:left="52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5"/>
                <w:szCs w:val="15"/>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(116,318)</w:t>
            </w:r>
          </w:p>
        </w:tc>
        <w:tc>
          <w:tcPr>
            <w:tcW w:w="80" w:type="dxa"/>
            <w:vAlign w:val="bottom"/>
          </w:tcPr>
          <w:p>
            <w:pPr>
              <w:spacing w:after="0"/>
              <w:rPr>
                <w:sz w:val="15"/>
                <w:szCs w:val="15"/>
                <w:color w:val="auto"/>
              </w:rPr>
            </w:pPr>
          </w:p>
        </w:tc>
        <w:tc>
          <w:tcPr>
            <w:tcW w:w="960" w:type="dxa"/>
            <w:vAlign w:val="bottom"/>
            <w:vMerge w:val="restart"/>
          </w:tcPr>
          <w:p>
            <w:pPr>
              <w:jc w:val="right"/>
              <w:ind w:right="20"/>
              <w:spacing w:after="0"/>
              <w:rPr>
                <w:sz w:val="20"/>
                <w:szCs w:val="20"/>
                <w:color w:val="auto"/>
              </w:rPr>
            </w:pPr>
            <w:r>
              <w:rPr>
                <w:rFonts w:ascii="Arial" w:cs="Arial" w:eastAsia="Arial" w:hAnsi="Arial"/>
                <w:sz w:val="16"/>
                <w:szCs w:val="16"/>
                <w:color w:val="auto"/>
              </w:rPr>
              <w:t>(116,318)</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$0.90 per share</w:t>
            </w: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8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$ 172,542</w:t>
            </w:r>
          </w:p>
        </w:tc>
        <w:tc>
          <w:tcPr>
            <w:tcW w:w="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2"/>
              </w:rPr>
              <w:t>$ 196,867</w:t>
            </w:r>
          </w:p>
        </w:tc>
        <w:tc>
          <w:tcPr>
            <w:tcW w:w="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$ 419</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129,069,555</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$ 1,291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$ 2,884,940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(119,256)</w:t>
            </w: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 (391,285)</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4"/>
              </w:rPr>
              <w:t>$ 2,745,518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 June 30,</w:t>
            </w:r>
          </w:p>
        </w:tc>
      </w:tr>
      <w:tr>
        <w:trPr>
          <w:trHeight w:val="236"/>
        </w:trPr>
        <w:tc>
          <w:tcPr>
            <w:tcW w:w="78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2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227,419</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214,849</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111,293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109,065</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6,006</w:t>
            </w:r>
          </w:p>
        </w:tc>
      </w:tr>
      <w:tr>
        <w:trPr>
          <w:trHeight w:val="220"/>
        </w:trPr>
        <w:tc>
          <w:tcPr>
            <w:tcW w:w="7860" w:type="dxa"/>
            <w:vAlign w:val="bottom"/>
          </w:tcPr>
          <w:p>
            <w:pPr>
              <w:ind w:left="660"/>
              <w:spacing w:after="0"/>
              <w:rPr>
                <w:sz w:val="20"/>
                <w:szCs w:val="20"/>
                <w:color w:val="auto"/>
              </w:rPr>
            </w:pPr>
            <w:r>
              <w:rPr>
                <w:rFonts w:ascii="Arial" w:cs="Arial" w:eastAsia="Arial" w:hAnsi="Arial"/>
                <w:sz w:val="16"/>
                <w:szCs w:val="16"/>
                <w:color w:val="auto"/>
                <w:w w:val="94"/>
              </w:rPr>
              <w:t>Non-cash interest expense related to amortization of discount on equity component of exchangeable senior</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7860" w:type="dxa"/>
            <w:vAlign w:val="bottom"/>
          </w:tcPr>
          <w:p>
            <w:pPr>
              <w:ind w:left="660"/>
              <w:spacing w:after="0"/>
              <w:rPr>
                <w:sz w:val="20"/>
                <w:szCs w:val="20"/>
                <w:color w:val="auto"/>
              </w:rPr>
            </w:pPr>
            <w:r>
              <w:rPr>
                <w:rFonts w:ascii="Arial" w:cs="Arial" w:eastAsia="Arial" w:hAnsi="Arial"/>
                <w:sz w:val="16"/>
                <w:szCs w:val="16"/>
                <w:color w:val="auto"/>
              </w:rPr>
              <w:t>notes</w:t>
            </w:r>
          </w:p>
        </w:tc>
        <w:tc>
          <w:tcPr>
            <w:tcW w:w="340" w:type="dxa"/>
            <w:vAlign w:val="bottom"/>
          </w:tcPr>
          <w:p>
            <w:pPr>
              <w:spacing w:after="0"/>
              <w:rPr>
                <w:sz w:val="17"/>
                <w:szCs w:val="17"/>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2,442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2,347</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660"/>
              <w:spacing w:after="0"/>
              <w:rPr>
                <w:sz w:val="20"/>
                <w:szCs w:val="20"/>
                <w:color w:val="auto"/>
              </w:rPr>
            </w:pPr>
            <w:r>
              <w:rPr>
                <w:rFonts w:ascii="Arial" w:cs="Arial" w:eastAsia="Arial" w:hAnsi="Arial"/>
                <w:sz w:val="16"/>
                <w:szCs w:val="16"/>
                <w:color w:val="auto"/>
              </w:rPr>
              <w:t>Compensation expense related to stock-based awards</w:t>
            </w:r>
          </w:p>
        </w:tc>
        <w:tc>
          <w:tcPr>
            <w:tcW w:w="34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7,864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6,952</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Gain on real estate transactions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r>
      <w:tr>
        <w:trPr>
          <w:trHeight w:val="224"/>
        </w:trPr>
        <w:tc>
          <w:tcPr>
            <w:tcW w:w="7860" w:type="dxa"/>
            <w:vAlign w:val="bottom"/>
          </w:tcPr>
          <w:p>
            <w:pPr>
              <w:ind w:left="66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34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4,254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3,334</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110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(10,185)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1,890</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21,632</w:t>
            </w:r>
          </w:p>
        </w:tc>
      </w:tr>
      <w:tr>
        <w:trPr>
          <w:trHeight w:val="224"/>
        </w:trPr>
        <w:tc>
          <w:tcPr>
            <w:tcW w:w="7860" w:type="dxa"/>
            <w:vAlign w:val="bottom"/>
          </w:tcPr>
          <w:p>
            <w:pPr>
              <w:ind w:left="110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23,647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(1,463)</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392,073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363,407</w:t>
            </w: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(248,808)</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Development and redevelopment of real estate assets</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(29,991)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(20,891)</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sale of real estate assets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11,254</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entities</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(9,541)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(31,344)</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Return of investment in unconsolidated real estate ventures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3,982</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Issuance of notes receivable</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(24,325)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(152,599)</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equipment and fixtures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(2,023)</w:t>
            </w:r>
          </w:p>
        </w:tc>
      </w:tr>
      <w:tr>
        <w:trPr>
          <w:trHeight w:val="217"/>
        </w:trPr>
        <w:tc>
          <w:tcPr>
            <w:tcW w:w="7860" w:type="dxa"/>
            <w:vAlign w:val="bottom"/>
          </w:tcPr>
          <w:p>
            <w:pPr>
              <w:ind w:left="66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(111,868)</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(440,429)</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Proceeds from the sale of common stock, net of offering costs</w:t>
            </w:r>
          </w:p>
        </w:tc>
        <w:tc>
          <w:tcPr>
            <w:tcW w:w="3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98,796</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notes payable and revolving lines of credit</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594,000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757,000</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(566,689)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(524,370)</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Principal payments on notes payable to trusts</w:t>
            </w:r>
          </w:p>
        </w:tc>
        <w:tc>
          <w:tcPr>
            <w:tcW w:w="3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(30,928)</w:t>
            </w: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(587)</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proceeds from exercise of stock options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2,227</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(67,819)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Dividends paid on common stock</w:t>
            </w:r>
          </w:p>
        </w:tc>
        <w:tc>
          <w:tcPr>
            <w:tcW w:w="3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(233,515)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(225,095)</w:t>
            </w:r>
          </w:p>
        </w:tc>
      </w:tr>
      <w:tr>
        <w:trPr>
          <w:trHeight w:val="33"/>
        </w:trPr>
        <w:tc>
          <w:tcPr>
            <w:tcW w:w="7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(17,117)</w:t>
            </w:r>
          </w:p>
        </w:tc>
      </w:tr>
      <w:tr>
        <w:trPr>
          <w:trHeight w:val="217"/>
        </w:trPr>
        <w:tc>
          <w:tcPr>
            <w:tcW w:w="7860" w:type="dxa"/>
            <w:vAlign w:val="bottom"/>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(289,187)</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59,976</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(8,982)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(17,046)</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340" w:type="dxa"/>
            <w:vAlign w:val="bottom"/>
          </w:tcPr>
          <w:p>
            <w:pPr>
              <w:spacing w:after="0"/>
              <w:rPr>
                <w:sz w:val="19"/>
                <w:szCs w:val="19"/>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70,733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72,690</w:t>
            </w:r>
          </w:p>
        </w:tc>
      </w:tr>
      <w:tr>
        <w:trPr>
          <w:trHeight w:val="33"/>
        </w:trPr>
        <w:tc>
          <w:tcPr>
            <w:tcW w:w="7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61,751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55,644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For the Six Months Ended June 30,</w:t>
            </w:r>
          </w:p>
        </w:tc>
      </w:tr>
      <w:tr>
        <w:trPr>
          <w:trHeight w:val="237"/>
        </w:trPr>
        <w:tc>
          <w:tcPr>
            <w:tcW w:w="78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ind w:right="599"/>
              <w:spacing w:after="0"/>
              <w:rPr>
                <w:sz w:val="20"/>
                <w:szCs w:val="20"/>
                <w:color w:val="auto"/>
              </w:rPr>
            </w:pPr>
            <w:r>
              <w:rPr>
                <w:rFonts w:ascii="Arial" w:cs="Arial" w:eastAsia="Arial" w:hAnsi="Arial"/>
                <w:sz w:val="14"/>
                <w:szCs w:val="14"/>
                <w:b w:val="1"/>
                <w:bCs w:val="1"/>
                <w:color w:val="auto"/>
              </w:rPr>
              <w:t>2019</w:t>
            </w: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w w:val="93"/>
              </w:rPr>
              <w:t>81,950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88,455</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1,792</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4,095</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Noncontrolling interests in Operating Partnership</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(4,005)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(8,133)</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Common stock and paid-in capital</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4,005</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8,133</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Establishment of operating lease right of use assets and lease liabilities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Real estate assets - operating lease right-of-use assets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6,779</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225,017</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10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w w:val="98"/>
              </w:rPr>
              <w:t>(6,779)</w:t>
            </w:r>
          </w:p>
        </w:tc>
        <w:tc>
          <w:tcPr>
            <w:tcW w:w="4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(234,374)</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9,357</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19,937</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Notes payable assumed</w:t>
            </w:r>
          </w:p>
        </w:tc>
        <w:tc>
          <w:tcPr>
            <w:tcW w:w="10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(17,157)</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(2,780)</w:t>
            </w:r>
          </w:p>
        </w:tc>
      </w:tr>
      <w:tr>
        <w:trPr>
          <w:trHeight w:val="224"/>
        </w:trPr>
        <w:tc>
          <w:tcPr>
            <w:tcW w:w="786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912</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1,368</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4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(1,368)</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Contribution of Preferred OP Units to unconsolidated real estate venture</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Investments in unconsolidated real estate ventures</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(28,022)</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Value of Preferred Operating Partnership units issued</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28,022</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Preferred Operating Partnership units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(2,724)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0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2,724</w:t>
            </w:r>
          </w:p>
        </w:tc>
        <w:tc>
          <w:tcPr>
            <w:tcW w:w="48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340"/>
              <w:spacing w:after="0"/>
              <w:rPr>
                <w:sz w:val="20"/>
                <w:szCs w:val="20"/>
                <w:color w:val="auto"/>
              </w:rPr>
            </w:pPr>
            <w:r>
              <w:rPr>
                <w:rFonts w:ascii="Arial" w:cs="Arial" w:eastAsia="Arial" w:hAnsi="Arial"/>
                <w:sz w:val="16"/>
                <w:szCs w:val="16"/>
                <w:color w:val="auto"/>
              </w:rPr>
              <w:t>Real estate assets, net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8,514</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(8,514)</w:t>
            </w:r>
          </w:p>
        </w:tc>
        <w:tc>
          <w:tcPr>
            <w:tcW w:w="4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Conversion of Preferred OP Units to Common OP Units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
        </w:trPr>
        <w:tc>
          <w:tcPr>
            <w:tcW w:w="7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Preferred OP Units</w:t>
            </w: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(4,374)</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Common OP Units</w:t>
            </w:r>
          </w:p>
        </w:tc>
        <w:tc>
          <w:tcPr>
            <w:tcW w:w="100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(4,374)</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June 30, 2020, the Company had direct and indirect equity interests in 1,178 stores. In addition, the Company managed 700 stores for third parties, bringing the total number of stores which it owns and/or manages to 1,878. These stores are located in 40 states, Washington, D.C. and Puerto Rico. The Company also offers tenant reinsurance at its owned and managed stores that insures the value of goods in the storage units.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256"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results for the three and six months ended June 30, 2020 are not necessarily indicative of results that may be expected for the year ending December 31, 2020. The condensed consolidated balance sheet as of December 31, 2019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2019, as filed with the Securities and Exchange Commission.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(Topic 326): Measurement of Credit Losses on Financial Instruments." </w:t>
      </w:r>
      <w:r>
        <w:rPr>
          <w:rFonts w:ascii="Arial" w:cs="Arial" w:eastAsia="Arial" w:hAnsi="Arial"/>
          <w:sz w:val="16"/>
          <w:szCs w:val="16"/>
          <w:color w:val="auto"/>
        </w:rPr>
        <w:t>ASU 2016-13 changes how entities measure credit losses for most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This standard requires an entity to estimate its lifetime "expected credit loss" and record an allowance that, when deducted from the amortized cost basis of the financial asset, presents the net amount expected to be collected on the financial asset. In November 2018, the FASB issued ASU 2018-19, </w:t>
      </w:r>
      <w:r>
        <w:rPr>
          <w:rFonts w:ascii="Arial" w:cs="Arial" w:eastAsia="Arial" w:hAnsi="Arial"/>
          <w:sz w:val="16"/>
          <w:szCs w:val="16"/>
          <w:i w:val="1"/>
          <w:iCs w:val="1"/>
          <w:color w:val="auto"/>
        </w:rPr>
        <w:t xml:space="preserve">"Codification Improvements to Topic 326, Financial Instruments - Credit Losses," </w:t>
      </w:r>
      <w:r>
        <w:rPr>
          <w:rFonts w:ascii="Arial" w:cs="Arial" w:eastAsia="Arial" w:hAnsi="Arial"/>
          <w:sz w:val="16"/>
          <w:szCs w:val="16"/>
          <w:color w:val="auto"/>
        </w:rPr>
        <w:t>which clarified that receivables arising from operating leases are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the scope of the leasing standard (ASU 2016-02), and not within the scope of ASU 2016-13. This new standard became effective for the Company on January 1, 2020. The adoption of this standard by the Company did not have a material impact on the Company's consolidated financial statements.</w:t>
      </w:r>
    </w:p>
    <w:p>
      <w:pPr>
        <w:spacing w:after="0" w:line="193"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March 2020, the FASB issued ASU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ASU 2020-04 contains practical expedients for reference rate reform related activities that impact debt, leases, derivatives and other contracts. The guidance in ASU 2020-04 is optional and may be elected over time as reference rate reform activities occur.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June 30, 2020,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2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presents the Company’s assets and liabilities measured at fair value on a recurring basis as of June 30, 2020, aggregated by the level in the fair value hierarchy within which those measurements fall.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162"/>
              <w:spacing w:after="0"/>
              <w:rPr>
                <w:sz w:val="20"/>
                <w:szCs w:val="20"/>
                <w:color w:val="auto"/>
              </w:rPr>
            </w:pPr>
            <w:r>
              <w:rPr>
                <w:rFonts w:ascii="Arial" w:cs="Arial" w:eastAsia="Arial" w:hAnsi="Arial"/>
                <w:sz w:val="14"/>
                <w:szCs w:val="14"/>
                <w:b w:val="1"/>
                <w:bCs w:val="1"/>
                <w:color w:val="auto"/>
                <w:w w:val="93"/>
              </w:rPr>
              <w:t>Fair Value Measurements at Reporting Date Using</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3"/>
                <w:szCs w:val="13"/>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08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 Cash flow hedge swap agreements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liabilities - Cash flow hedge swap agreements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81"/>
              <w:spacing w:after="0"/>
              <w:rPr>
                <w:sz w:val="20"/>
                <w:szCs w:val="20"/>
                <w:color w:val="auto"/>
              </w:rPr>
            </w:pPr>
            <w:r>
              <w:rPr>
                <w:rFonts w:ascii="Arial" w:cs="Arial" w:eastAsia="Arial" w:hAnsi="Arial"/>
                <w:sz w:val="18"/>
                <w:szCs w:val="18"/>
                <w:color w:val="auto"/>
              </w:rPr>
              <w:t>119,658</w:t>
            </w:r>
          </w:p>
        </w:tc>
        <w:tc>
          <w:tcPr>
            <w:tcW w:w="100" w:type="dxa"/>
            <w:vAlign w:val="bottom"/>
          </w:tcPr>
          <w:p>
            <w:pPr>
              <w:spacing w:after="0"/>
              <w:rPr>
                <w:sz w:val="21"/>
                <w:szCs w:val="21"/>
                <w:color w:val="auto"/>
              </w:rPr>
            </w:pPr>
          </w:p>
        </w:tc>
        <w:tc>
          <w:tcPr>
            <w:tcW w:w="1080" w:type="dxa"/>
            <w:vAlign w:val="bottom"/>
          </w:tcPr>
          <w:p>
            <w:pPr>
              <w:jc w:val="right"/>
              <w:ind w:right="881"/>
              <w:spacing w:after="0"/>
              <w:rPr>
                <w:sz w:val="20"/>
                <w:szCs w:val="20"/>
                <w:color w:val="auto"/>
              </w:rPr>
            </w:pPr>
            <w:r>
              <w:rPr>
                <w:rFonts w:ascii="Arial" w:cs="Arial" w:eastAsia="Arial" w:hAnsi="Arial"/>
                <w:sz w:val="18"/>
                <w:szCs w:val="18"/>
                <w:color w:val="auto"/>
                <w:w w:val="99"/>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did not have any significant assets or liabilities that are re-measured on a recurring basis using significant unobservable inputs as of June 30, 2020 or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are presented as part of normal operations for all periods presented. As of June 30, 2020, the Company had one parcel of land classified as held for sale which is included in real estate assets, net. The estimated fair values less selling costs for these assets is greater than the carrying values of the assets, and therefore no loss has been recorded.</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June 30, 2020 and December 31, 2019 approximate fair value. Restricted cash is comprised of escrowed funds deposited with financial institutions located throughout the United States relating to earnest money deposits on potential acquisitions, real estate taxes, loan collateral, operating reserves, insurance and capital expenditures.</w:t>
      </w:r>
    </w:p>
    <w:p>
      <w:pPr>
        <w:spacing w:after="0" w:line="2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values of the Company’s notes receivable from Preferred and Common Operating Partnership unit holders,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fixed-rate assets and liabilities were as follows for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700"/>
              <w:spacing w:after="0"/>
              <w:rPr>
                <w:sz w:val="20"/>
                <w:szCs w:val="20"/>
                <w:color w:val="auto"/>
              </w:rPr>
            </w:pPr>
            <w:r>
              <w:rPr>
                <w:rFonts w:ascii="Arial" w:cs="Arial" w:eastAsia="Arial" w:hAnsi="Arial"/>
                <w:sz w:val="16"/>
                <w:szCs w:val="16"/>
                <w:b w:val="1"/>
                <w:bCs w:val="1"/>
                <w:color w:val="auto"/>
              </w:rPr>
              <w:t>June 30, 2020</w:t>
            </w:r>
          </w:p>
        </w:tc>
        <w:tc>
          <w:tcPr>
            <w:tcW w:w="320" w:type="dxa"/>
            <w:vAlign w:val="bottom"/>
          </w:tcPr>
          <w:p>
            <w:pPr>
              <w:spacing w:after="0"/>
              <w:rPr>
                <w:sz w:val="18"/>
                <w:szCs w:val="18"/>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Carrying</w:t>
            </w:r>
          </w:p>
        </w:tc>
        <w:tc>
          <w:tcPr>
            <w:tcW w:w="32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Value</w:t>
            </w:r>
          </w:p>
        </w:tc>
        <w:tc>
          <w:tcPr>
            <w:tcW w:w="3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Value</w:t>
            </w:r>
          </w:p>
        </w:tc>
        <w:tc>
          <w:tcPr>
            <w:tcW w:w="2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Notes receivable from Preferred and Common Operating Partnership</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 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119,976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116,184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118,524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Fixed rate notes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3,613,096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3,454,701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3,511,151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3,417,928</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620,281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673,831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575,000</w:t>
            </w: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COMMON SHARE</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and six months ended June 30, 2020, and 2019, there were no anti-dilutive options.</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June 30, 2020 and 2019 was $92.95 and $105.06, respectively. The average share price for the six months ended June 30, 2020 and 2019 was $98.49 and $100.63, respectively.</w:t>
      </w:r>
    </w:p>
    <w:p>
      <w:pPr>
        <w:spacing w:after="0" w:line="215" w:lineRule="exact"/>
        <w:rPr>
          <w:sz w:val="20"/>
          <w:szCs w:val="20"/>
          <w:color w:val="auto"/>
        </w:rPr>
      </w:pPr>
    </w:p>
    <w:p>
      <w:pPr>
        <w:ind w:right="820"/>
        <w:spacing w:after="0" w:line="276" w:lineRule="auto"/>
        <w:rPr>
          <w:sz w:val="20"/>
          <w:szCs w:val="20"/>
          <w:color w:val="auto"/>
        </w:rPr>
      </w:pPr>
      <w:r>
        <w:rPr>
          <w:rFonts w:ascii="Arial" w:cs="Arial" w:eastAsia="Arial" w:hAnsi="Arial"/>
          <w:sz w:val="18"/>
          <w:szCs w:val="18"/>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460" w:type="dxa"/>
            <w:vAlign w:val="bottom"/>
            <w:gridSpan w:val="4"/>
          </w:tcPr>
          <w:p>
            <w:pPr>
              <w:ind w:left="480"/>
              <w:spacing w:after="0"/>
              <w:rPr>
                <w:sz w:val="20"/>
                <w:szCs w:val="20"/>
                <w:color w:val="auto"/>
              </w:rPr>
            </w:pPr>
            <w:r>
              <w:rPr>
                <w:rFonts w:ascii="Arial" w:cs="Arial" w:eastAsia="Arial" w:hAnsi="Arial"/>
                <w:sz w:val="14"/>
                <w:szCs w:val="14"/>
                <w:b w:val="1"/>
                <w:bCs w:val="1"/>
                <w:color w:val="auto"/>
              </w:rPr>
              <w:t>For the Three Months Ended June 30,</w:t>
            </w:r>
          </w:p>
        </w:tc>
        <w:tc>
          <w:tcPr>
            <w:tcW w:w="346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32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top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52"/>
        </w:trPr>
        <w:tc>
          <w:tcPr>
            <w:tcW w:w="432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Equivalent Shares (if</w:t>
            </w:r>
          </w:p>
        </w:tc>
        <w:tc>
          <w:tcPr>
            <w:tcW w:w="176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2"/>
              </w:rPr>
              <w:t>Equivalent Shares (if</w:t>
            </w:r>
          </w:p>
        </w:tc>
        <w:tc>
          <w:tcPr>
            <w:tcW w:w="17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Equivalent Shares (if</w:t>
            </w:r>
          </w:p>
        </w:tc>
        <w:tc>
          <w:tcPr>
            <w:tcW w:w="16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Equivalent Shares (if</w:t>
            </w:r>
          </w:p>
        </w:tc>
      </w:tr>
      <w:tr>
        <w:trPr>
          <w:trHeight w:val="192"/>
        </w:trPr>
        <w:tc>
          <w:tcPr>
            <w:tcW w:w="432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converted)</w:t>
            </w: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converted)</w:t>
            </w:r>
          </w:p>
        </w:tc>
      </w:tr>
      <w:tr>
        <w:trPr>
          <w:trHeight w:val="242"/>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OP Units</w:t>
            </w:r>
          </w:p>
        </w:tc>
        <w:tc>
          <w:tcPr>
            <w:tcW w:w="1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5,876,356</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5,898,029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224"/>
        </w:trPr>
        <w:tc>
          <w:tcPr>
            <w:tcW w:w="4320" w:type="dxa"/>
            <w:vAlign w:val="bottom"/>
          </w:tcPr>
          <w:p>
            <w:pPr>
              <w:ind w:left="20"/>
              <w:spacing w:after="0"/>
              <w:rPr>
                <w:sz w:val="20"/>
                <w:szCs w:val="20"/>
                <w:color w:val="auto"/>
              </w:rPr>
            </w:pPr>
            <w:r>
              <w:rPr>
                <w:rFonts w:ascii="Arial" w:cs="Arial" w:eastAsia="Arial" w:hAnsi="Arial"/>
                <w:sz w:val="16"/>
                <w:szCs w:val="16"/>
                <w:color w:val="auto"/>
              </w:rPr>
              <w:t>Series A Units (Variable Only)</w:t>
            </w:r>
          </w:p>
        </w:tc>
        <w:tc>
          <w:tcPr>
            <w:tcW w:w="1600" w:type="dxa"/>
            <w:vAlign w:val="bottom"/>
          </w:tcPr>
          <w:p>
            <w:pPr>
              <w:jc w:val="right"/>
              <w:ind w:right="63"/>
              <w:spacing w:after="0"/>
              <w:rPr>
                <w:sz w:val="20"/>
                <w:szCs w:val="20"/>
                <w:color w:val="auto"/>
              </w:rPr>
            </w:pPr>
            <w:r>
              <w:rPr>
                <w:rFonts w:ascii="Arial" w:cs="Arial" w:eastAsia="Arial" w:hAnsi="Arial"/>
                <w:sz w:val="16"/>
                <w:szCs w:val="16"/>
                <w:color w:val="auto"/>
              </w:rPr>
              <w:t>875,480</w:t>
            </w:r>
          </w:p>
        </w:tc>
        <w:tc>
          <w:tcPr>
            <w:tcW w:w="10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83"/>
              <w:spacing w:after="0"/>
              <w:rPr>
                <w:sz w:val="20"/>
                <w:szCs w:val="20"/>
                <w:color w:val="auto"/>
              </w:rPr>
            </w:pPr>
            <w:r>
              <w:rPr>
                <w:rFonts w:ascii="Arial" w:cs="Arial" w:eastAsia="Arial" w:hAnsi="Arial"/>
                <w:sz w:val="16"/>
                <w:szCs w:val="16"/>
                <w:color w:val="auto"/>
              </w:rPr>
              <w:t>875,480</w:t>
            </w:r>
          </w:p>
        </w:tc>
        <w:tc>
          <w:tcPr>
            <w:tcW w:w="100" w:type="dxa"/>
            <w:vAlign w:val="bottom"/>
          </w:tcPr>
          <w:p>
            <w:pPr>
              <w:spacing w:after="0"/>
              <w:rPr>
                <w:sz w:val="19"/>
                <w:szCs w:val="19"/>
                <w:color w:val="auto"/>
              </w:rPr>
            </w:pP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33"/>
        </w:trPr>
        <w:tc>
          <w:tcPr>
            <w:tcW w:w="4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450,803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398,840</w:t>
            </w: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425,446</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416,398</w:t>
            </w:r>
          </w:p>
        </w:tc>
      </w:tr>
      <w:tr>
        <w:trPr>
          <w:trHeight w:val="223"/>
        </w:trPr>
        <w:tc>
          <w:tcPr>
            <w:tcW w:w="4320" w:type="dxa"/>
            <w:vAlign w:val="bottom"/>
          </w:tcPr>
          <w:p>
            <w:pPr>
              <w:ind w:left="20"/>
              <w:spacing w:after="0"/>
              <w:rPr>
                <w:sz w:val="20"/>
                <w:szCs w:val="20"/>
                <w:color w:val="auto"/>
              </w:rPr>
            </w:pPr>
            <w:r>
              <w:rPr>
                <w:rFonts w:ascii="Arial" w:cs="Arial" w:eastAsia="Arial" w:hAnsi="Arial"/>
                <w:sz w:val="16"/>
                <w:szCs w:val="16"/>
                <w:color w:val="auto"/>
              </w:rPr>
              <w:t>Series D Units</w:t>
            </w:r>
          </w:p>
        </w:tc>
        <w:tc>
          <w:tcPr>
            <w:tcW w:w="1600" w:type="dxa"/>
            <w:vAlign w:val="bottom"/>
          </w:tcPr>
          <w:p>
            <w:pPr>
              <w:jc w:val="right"/>
              <w:ind w:right="63"/>
              <w:spacing w:after="0"/>
              <w:rPr>
                <w:sz w:val="20"/>
                <w:szCs w:val="20"/>
                <w:color w:val="auto"/>
              </w:rPr>
            </w:pPr>
            <w:r>
              <w:rPr>
                <w:rFonts w:ascii="Arial" w:cs="Arial" w:eastAsia="Arial" w:hAnsi="Arial"/>
                <w:sz w:val="16"/>
                <w:szCs w:val="16"/>
                <w:color w:val="auto"/>
              </w:rPr>
              <w:t>1,282,322</w:t>
            </w:r>
          </w:p>
        </w:tc>
        <w:tc>
          <w:tcPr>
            <w:tcW w:w="100" w:type="dxa"/>
            <w:vAlign w:val="bottom"/>
          </w:tcPr>
          <w:p>
            <w:pPr>
              <w:spacing w:after="0"/>
              <w:rPr>
                <w:sz w:val="19"/>
                <w:szCs w:val="19"/>
                <w:color w:val="auto"/>
              </w:rPr>
            </w:pP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1,109,048</w:t>
            </w:r>
          </w:p>
        </w:tc>
        <w:tc>
          <w:tcPr>
            <w:tcW w:w="180" w:type="dxa"/>
            <w:vAlign w:val="bottom"/>
          </w:tcPr>
          <w:p>
            <w:pPr>
              <w:spacing w:after="0"/>
              <w:rPr>
                <w:sz w:val="19"/>
                <w:szCs w:val="19"/>
                <w:color w:val="auto"/>
              </w:rPr>
            </w:pPr>
          </w:p>
        </w:tc>
        <w:tc>
          <w:tcPr>
            <w:tcW w:w="1680" w:type="dxa"/>
            <w:vAlign w:val="bottom"/>
          </w:tcPr>
          <w:p>
            <w:pPr>
              <w:jc w:val="right"/>
              <w:ind w:right="83"/>
              <w:spacing w:after="0"/>
              <w:rPr>
                <w:sz w:val="20"/>
                <w:szCs w:val="20"/>
                <w:color w:val="auto"/>
              </w:rPr>
            </w:pPr>
            <w:r>
              <w:rPr>
                <w:rFonts w:ascii="Arial" w:cs="Arial" w:eastAsia="Arial" w:hAnsi="Arial"/>
                <w:sz w:val="16"/>
                <w:szCs w:val="16"/>
                <w:color w:val="auto"/>
              </w:rPr>
              <w:t>1,214,732</w:t>
            </w:r>
          </w:p>
        </w:tc>
        <w:tc>
          <w:tcPr>
            <w:tcW w:w="100" w:type="dxa"/>
            <w:vAlign w:val="bottom"/>
          </w:tcPr>
          <w:p>
            <w:pPr>
              <w:spacing w:after="0"/>
              <w:rPr>
                <w:sz w:val="19"/>
                <w:szCs w:val="19"/>
                <w:color w:val="auto"/>
              </w:rPr>
            </w:pPr>
          </w:p>
        </w:tc>
        <w:tc>
          <w:tcPr>
            <w:tcW w:w="1680" w:type="dxa"/>
            <w:vAlign w:val="bottom"/>
          </w:tcPr>
          <w:p>
            <w:pPr>
              <w:jc w:val="right"/>
              <w:ind w:right="62"/>
              <w:spacing w:after="0"/>
              <w:rPr>
                <w:sz w:val="20"/>
                <w:szCs w:val="20"/>
                <w:color w:val="auto"/>
              </w:rPr>
            </w:pPr>
            <w:r>
              <w:rPr>
                <w:rFonts w:ascii="Arial" w:cs="Arial" w:eastAsia="Arial" w:hAnsi="Arial"/>
                <w:sz w:val="16"/>
                <w:szCs w:val="16"/>
                <w:color w:val="auto"/>
              </w:rPr>
              <w:t>1,096,259</w:t>
            </w:r>
          </w:p>
        </w:tc>
      </w:tr>
      <w:tr>
        <w:trPr>
          <w:trHeight w:val="33"/>
        </w:trPr>
        <w:tc>
          <w:tcPr>
            <w:tcW w:w="4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8,484,961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1,507,888</w:t>
            </w: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8,413,687</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1,512,657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Operating Partnership had $575,000 of its 3.125% Exchangeable Senior Notes due 2035 (the “2015 Notes”) issued and outstanding as of June 30, 2020.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$91.16 per share as of June 30, 2020,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2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Although the Company has retained the right to satisfy the exchange obligation in excess of the accreted principal amount of the 2015 Notes in cash and/or common stock, Accounting Standards Codification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 diluted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earnings per share computation. For the three and six months ended June 30, 2020 and 2019, 121,283 and 757,811 shares, respectively, related to the 2015 Notes were included in the computation for diluted earnings per share.</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common share is as follows for the periods presented:</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2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102,911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104,828</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211,090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199,598</w:t>
            </w:r>
          </w:p>
        </w:tc>
        <w:tc>
          <w:tcPr>
            <w:tcW w:w="0" w:type="dxa"/>
            <w:vAlign w:val="bottom"/>
          </w:tcPr>
          <w:p>
            <w:pPr>
              <w:spacing w:after="0"/>
              <w:rPr>
                <w:sz w:val="1"/>
                <w:szCs w:val="1"/>
                <w:color w:val="auto"/>
              </w:rPr>
            </w:pPr>
          </w:p>
        </w:tc>
      </w:tr>
      <w:tr>
        <w:trPr>
          <w:trHeight w:val="224"/>
        </w:trPr>
        <w:tc>
          <w:tcPr>
            <w:tcW w:w="5960" w:type="dxa"/>
            <w:vAlign w:val="bottom"/>
          </w:tcPr>
          <w:p>
            <w:pPr>
              <w:ind w:left="480"/>
              <w:spacing w:after="0"/>
              <w:rPr>
                <w:sz w:val="20"/>
                <w:szCs w:val="20"/>
                <w:color w:val="auto"/>
              </w:rPr>
            </w:pPr>
            <w:r>
              <w:rPr>
                <w:rFonts w:ascii="Arial" w:cs="Arial" w:eastAsia="Arial" w:hAnsi="Arial"/>
                <w:sz w:val="16"/>
                <w:szCs w:val="16"/>
                <w:color w:val="auto"/>
              </w:rPr>
              <w:t>Earnings and dividends allocated to participating securities</w:t>
            </w:r>
          </w:p>
        </w:tc>
        <w:tc>
          <w:tcPr>
            <w:tcW w:w="1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102,738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104,652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210,754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199,255</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6"/>
                <w:szCs w:val="16"/>
                <w:color w:val="auto"/>
              </w:rPr>
              <w:t>Earnings and dividends allocated to participating securities</w:t>
            </w: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96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3"/>
              </w:rPr>
              <w:t>Income allocated to noncontrolling interest - Preferred Operating Partnership Units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and Operating Partnership Units</w:t>
            </w: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6,010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11,439</w:t>
            </w:r>
          </w:p>
        </w:tc>
        <w:tc>
          <w:tcPr>
            <w:tcW w:w="0" w:type="dxa"/>
            <w:vAlign w:val="bottom"/>
          </w:tcPr>
          <w:p>
            <w:pPr>
              <w:spacing w:after="0"/>
              <w:rPr>
                <w:sz w:val="1"/>
                <w:szCs w:val="1"/>
                <w:color w:val="auto"/>
              </w:rPr>
            </w:pPr>
          </w:p>
        </w:tc>
      </w:tr>
      <w:tr>
        <w:trPr>
          <w:trHeight w:val="220"/>
        </w:trPr>
        <w:tc>
          <w:tcPr>
            <w:tcW w:w="5960" w:type="dxa"/>
            <w:vAlign w:val="bottom"/>
          </w:tcPr>
          <w:p>
            <w:pPr>
              <w:ind w:left="480"/>
              <w:spacing w:after="0"/>
              <w:rPr>
                <w:sz w:val="20"/>
                <w:szCs w:val="20"/>
                <w:color w:val="auto"/>
              </w:rPr>
            </w:pPr>
            <w:r>
              <w:rPr>
                <w:rFonts w:ascii="Arial" w:cs="Arial" w:eastAsia="Arial" w:hAnsi="Arial"/>
                <w:sz w:val="16"/>
                <w:szCs w:val="16"/>
                <w:color w:val="auto"/>
              </w:rPr>
              <w:t>Fixed component of income allocated to noncontrolling interest - Preferred</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480"/>
              <w:spacing w:after="0"/>
              <w:rPr>
                <w:sz w:val="20"/>
                <w:szCs w:val="20"/>
                <w:color w:val="auto"/>
              </w:rPr>
            </w:pPr>
            <w:r>
              <w:rPr>
                <w:rFonts w:ascii="Arial" w:cs="Arial" w:eastAsia="Arial" w:hAnsi="Arial"/>
                <w:sz w:val="16"/>
                <w:szCs w:val="16"/>
                <w:color w:val="auto"/>
              </w:rPr>
              <w:t>Operating Partnership (Series A Units)</w:t>
            </w:r>
          </w:p>
        </w:tc>
        <w:tc>
          <w:tcPr>
            <w:tcW w:w="16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(572)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for diluted computations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102,738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110,266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210,754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209,550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Weighted 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6"/>
                <w:szCs w:val="16"/>
                <w:color w:val="auto"/>
              </w:rPr>
              <w:t>Average number of common shares outstanding - basic</w:t>
            </w:r>
          </w:p>
        </w:tc>
        <w:tc>
          <w:tcPr>
            <w:tcW w:w="160" w:type="dxa"/>
            <w:vAlign w:val="bottom"/>
          </w:tcPr>
          <w:p>
            <w:pPr>
              <w:spacing w:after="0"/>
              <w:rPr>
                <w:sz w:val="19"/>
                <w:szCs w:val="19"/>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w w:val="96"/>
              </w:rPr>
              <w:t>128,932,152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w w:val="94"/>
              </w:rPr>
              <w:t>127,585,436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w w:val="94"/>
              </w:rPr>
              <w:t>129,110,131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w w:val="94"/>
              </w:rPr>
              <w:t>127,349,299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OP Units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6,085,976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6,023,822</w:t>
            </w:r>
          </w:p>
        </w:tc>
        <w:tc>
          <w:tcPr>
            <w:tcW w:w="0" w:type="dxa"/>
            <w:vAlign w:val="bottom"/>
          </w:tcPr>
          <w:p>
            <w:pPr>
              <w:spacing w:after="0"/>
              <w:rPr>
                <w:sz w:val="1"/>
                <w:szCs w:val="1"/>
                <w:color w:val="auto"/>
              </w:rPr>
            </w:pPr>
          </w:p>
        </w:tc>
      </w:tr>
      <w:tr>
        <w:trPr>
          <w:trHeight w:val="224"/>
        </w:trPr>
        <w:tc>
          <w:tcPr>
            <w:tcW w:w="5960" w:type="dxa"/>
            <w:vAlign w:val="bottom"/>
          </w:tcPr>
          <w:p>
            <w:pPr>
              <w:ind w:left="480"/>
              <w:spacing w:after="0"/>
              <w:rPr>
                <w:sz w:val="20"/>
                <w:szCs w:val="20"/>
                <w:color w:val="auto"/>
              </w:rPr>
            </w:pPr>
            <w:r>
              <w:rPr>
                <w:rFonts w:ascii="Arial" w:cs="Arial" w:eastAsia="Arial" w:hAnsi="Arial"/>
                <w:sz w:val="16"/>
                <w:szCs w:val="16"/>
                <w:color w:val="auto"/>
              </w:rPr>
              <w:t>Series A Units</w:t>
            </w:r>
          </w:p>
        </w:tc>
        <w:tc>
          <w:tcPr>
            <w:tcW w:w="1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875,480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875,480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Unvested restricted stock awards included for treasury stock method</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218,686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960" w:type="dxa"/>
            <w:vAlign w:val="bottom"/>
          </w:tcPr>
          <w:p>
            <w:pPr>
              <w:ind w:left="480"/>
              <w:spacing w:after="0"/>
              <w:rPr>
                <w:sz w:val="20"/>
                <w:szCs w:val="20"/>
                <w:color w:val="auto"/>
              </w:rPr>
            </w:pPr>
            <w:r>
              <w:rPr>
                <w:rFonts w:ascii="Arial" w:cs="Arial" w:eastAsia="Arial" w:hAnsi="Arial"/>
                <w:sz w:val="16"/>
                <w:szCs w:val="16"/>
                <w:color w:val="auto"/>
              </w:rPr>
              <w:t>Shares related to exchangeable senior notes and dilutive stock options</w:t>
            </w:r>
          </w:p>
        </w:tc>
        <w:tc>
          <w:tcPr>
            <w:tcW w:w="160" w:type="dxa"/>
            <w:vAlign w:val="bottom"/>
          </w:tcPr>
          <w:p>
            <w:pPr>
              <w:spacing w:after="0"/>
              <w:rPr>
                <w:sz w:val="19"/>
                <w:szCs w:val="19"/>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150,316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889,183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175,544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917,855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6"/>
              </w:rPr>
              <w:t>129,082,468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4"/>
              </w:rPr>
              <w:t>135,654,761</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129,285,675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4"/>
              </w:rPr>
              <w:t>135,166,456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6"/>
                <w:szCs w:val="16"/>
                <w:color w:val="auto"/>
              </w:rPr>
              <w:t>Earnings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23"/>
        </w:trPr>
        <w:tc>
          <w:tcPr>
            <w:tcW w:w="5960" w:type="dxa"/>
            <w:vAlign w:val="bottom"/>
          </w:tcPr>
          <w:p>
            <w:pPr>
              <w:ind w:left="480"/>
              <w:spacing w:after="0"/>
              <w:rPr>
                <w:sz w:val="20"/>
                <w:szCs w:val="20"/>
                <w:color w:val="auto"/>
              </w:rPr>
            </w:pPr>
            <w:r>
              <w:rPr>
                <w:rFonts w:ascii="Arial" w:cs="Arial" w:eastAsia="Arial" w:hAnsi="Arial"/>
                <w:sz w:val="16"/>
                <w:szCs w:val="16"/>
                <w:color w:val="auto"/>
              </w:rPr>
              <w:t>Diluted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0.81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1.63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17" w:name="page18"/>
    <w:bookmarkEnd w:id="17"/>
    <w:p>
      <w:pPr>
        <w:ind w:left="73"/>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5. STORE ACQUISITIONS</w:t>
      </w:r>
    </w:p>
    <w:p>
      <w:pPr>
        <w:spacing w:after="0" w:line="256"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The following table shows the Company’s acquisitions of stores for the three and six months ended June 30, 2020 and 2019. The table excludes purchases of raw land and improvements made to existing assets. All acquisitions are considered asset acquisitions under ASU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Clarifying the Definition of a Business</w:t>
      </w:r>
      <w:r>
        <w:rPr>
          <w:rFonts w:ascii="Arial" w:cs="Arial" w:eastAsia="Arial" w:hAnsi="Arial"/>
          <w:sz w:val="18"/>
          <w:szCs w:val="18"/>
          <w:color w:val="auto"/>
        </w:rPr>
        <w:t>."</w:t>
      </w:r>
    </w:p>
    <w:p>
      <w:pPr>
        <w:spacing w:after="0" w:line="13" w:lineRule="exact"/>
        <w:rPr>
          <w:sz w:val="20"/>
          <w:szCs w:val="20"/>
          <w:color w:val="auto"/>
        </w:rPr>
      </w:pPr>
    </w:p>
    <w:tbl>
      <w:tblPr>
        <w:tblLayout w:type="fixed"/>
        <w:tblInd w:w="73"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862"/>
              <w:spacing w:after="0"/>
              <w:rPr>
                <w:sz w:val="20"/>
                <w:szCs w:val="20"/>
                <w:color w:val="auto"/>
              </w:rPr>
            </w:pPr>
            <w:r>
              <w:rPr>
                <w:rFonts w:ascii="Arial" w:cs="Arial" w:eastAsia="Arial" w:hAnsi="Arial"/>
                <w:sz w:val="14"/>
                <w:szCs w:val="14"/>
                <w:b w:val="1"/>
                <w:bCs w:val="1"/>
                <w:color w:val="auto"/>
                <w:w w:val="92"/>
              </w:rPr>
              <w:t>Consideration Paid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2"/>
        </w:trPr>
        <w:tc>
          <w:tcPr>
            <w:tcW w:w="37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Loan</w:t>
            </w:r>
          </w:p>
        </w:tc>
        <w:tc>
          <w:tcPr>
            <w:tcW w:w="160" w:type="dxa"/>
            <w:vAlign w:val="bottom"/>
          </w:tcPr>
          <w:p>
            <w:pPr>
              <w:spacing w:after="0"/>
              <w:rPr>
                <w:sz w:val="13"/>
                <w:szCs w:val="13"/>
                <w:color w:val="auto"/>
              </w:rPr>
            </w:pP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Investments in</w:t>
            </w:r>
          </w:p>
        </w:tc>
        <w:tc>
          <w:tcPr>
            <w:tcW w:w="114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4"/>
              </w:rPr>
              <w:t>Net Liabilities/</w:t>
            </w:r>
          </w:p>
        </w:tc>
        <w:tc>
          <w:tcPr>
            <w:tcW w:w="120" w:type="dxa"/>
            <w:vAlign w:val="bottom"/>
          </w:tcPr>
          <w:p>
            <w:pPr>
              <w:spacing w:after="0"/>
              <w:rPr>
                <w:sz w:val="13"/>
                <w:szCs w:val="13"/>
                <w:color w:val="auto"/>
              </w:rPr>
            </w:pPr>
          </w:p>
        </w:tc>
        <w:tc>
          <w:tcPr>
            <w:tcW w:w="8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48"/>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Cash Paid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 Estate</w:t>
            </w:r>
          </w:p>
        </w:tc>
        <w:tc>
          <w:tcPr>
            <w:tcW w:w="2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(Assets)</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88"/>
              </w:rPr>
              <w:t>Assumed</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Ventures</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8"/>
              </w:rPr>
              <w:t>Assumed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Q2 2020</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6"/>
                <w:szCs w:val="16"/>
                <w:color w:val="auto"/>
              </w:rPr>
              <w:t>Q1 2020</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19,399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19,399</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19,399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19,354</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19,399</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Q2 2019</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8,424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224"/>
        </w:trPr>
        <w:tc>
          <w:tcPr>
            <w:tcW w:w="3720" w:type="dxa"/>
            <w:vAlign w:val="bottom"/>
          </w:tcPr>
          <w:p>
            <w:pPr>
              <w:ind w:left="20"/>
              <w:spacing w:after="0"/>
              <w:rPr>
                <w:sz w:val="20"/>
                <w:szCs w:val="20"/>
                <w:color w:val="auto"/>
              </w:rPr>
            </w:pPr>
            <w:r>
              <w:rPr>
                <w:rFonts w:ascii="Arial" w:cs="Arial" w:eastAsia="Arial" w:hAnsi="Arial"/>
                <w:sz w:val="16"/>
                <w:szCs w:val="16"/>
                <w:color w:val="auto"/>
              </w:rPr>
              <w:t>Q1 2019</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223,740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202,890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17,157</w:t>
            </w:r>
          </w:p>
        </w:tc>
        <w:tc>
          <w:tcPr>
            <w:tcW w:w="160" w:type="dxa"/>
            <w:vAlign w:val="bottom"/>
          </w:tcPr>
          <w:p>
            <w:pPr>
              <w:spacing w:after="0"/>
              <w:rPr>
                <w:sz w:val="19"/>
                <w:szCs w:val="19"/>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2,780</w:t>
            </w:r>
          </w:p>
        </w:tc>
        <w:tc>
          <w:tcPr>
            <w:tcW w:w="200" w:type="dxa"/>
            <w:vAlign w:val="bottom"/>
          </w:tcPr>
          <w:p>
            <w:pPr>
              <w:spacing w:after="0"/>
              <w:rPr>
                <w:sz w:val="19"/>
                <w:szCs w:val="19"/>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223,740</w:t>
            </w:r>
          </w:p>
        </w:tc>
        <w:tc>
          <w:tcPr>
            <w:tcW w:w="0" w:type="dxa"/>
            <w:vAlign w:val="bottom"/>
          </w:tcPr>
          <w:p>
            <w:pPr>
              <w:spacing w:after="0"/>
              <w:rPr>
                <w:sz w:val="1"/>
                <w:szCs w:val="1"/>
                <w:color w:val="auto"/>
              </w:rPr>
            </w:pPr>
          </w:p>
        </w:tc>
      </w:tr>
      <w:tr>
        <w:trPr>
          <w:trHeight w:val="33"/>
        </w:trPr>
        <w:tc>
          <w:tcPr>
            <w:tcW w:w="37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15</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232,164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211,314</w:t>
            </w: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17,157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2,780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913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232,164</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33" w:right="80" w:hanging="333"/>
        <w:spacing w:after="0" w:line="249" w:lineRule="auto"/>
        <w:tabs>
          <w:tab w:leader="none" w:pos="19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Store acquisitions during the three months ended March 31, 2019 include the acquisition of 12 stores previously held in joint ventures where the Company held a noncontrolling interest. The Company purchased its partners' remaining equity interests in the joint ventures, and the properties owned by the joint ventures became wholly owned by the Company. No gain or loss was recognized as a result of these acquisitions.</w:t>
      </w:r>
    </w:p>
    <w:p>
      <w:pPr>
        <w:spacing w:after="0" w:line="299" w:lineRule="exact"/>
        <w:rPr>
          <w:rFonts w:ascii="Arial" w:cs="Arial" w:eastAsia="Arial" w:hAnsi="Arial"/>
          <w:sz w:val="22"/>
          <w:szCs w:val="22"/>
          <w:color w:val="auto"/>
          <w:vertAlign w:val="superscript"/>
        </w:rPr>
      </w:pPr>
    </w:p>
    <w:p>
      <w:pPr>
        <w:ind w:left="253" w:hanging="172"/>
        <w:spacing w:after="0"/>
        <w:tabs>
          <w:tab w:leader="none" w:pos="253"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REAL ESTATE ENTITIES</w:t>
      </w:r>
    </w:p>
    <w:p>
      <w:pPr>
        <w:spacing w:after="0" w:line="229" w:lineRule="exact"/>
        <w:rPr>
          <w:sz w:val="20"/>
          <w:szCs w:val="20"/>
          <w:color w:val="auto"/>
        </w:rPr>
      </w:pPr>
    </w:p>
    <w:p>
      <w:pPr>
        <w:ind w:left="73" w:right="20"/>
        <w:spacing w:after="0" w:line="273"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8" w:lineRule="exact"/>
        <w:rPr>
          <w:sz w:val="20"/>
          <w:szCs w:val="20"/>
          <w:color w:val="auto"/>
        </w:rPr>
      </w:pPr>
    </w:p>
    <w:p>
      <w:pPr>
        <w:ind w:left="73" w:right="140"/>
        <w:spacing w:after="0" w:line="263" w:lineRule="auto"/>
        <w:rPr>
          <w:sz w:val="20"/>
          <w:szCs w:val="20"/>
          <w:color w:val="auto"/>
        </w:rPr>
      </w:pPr>
      <w:r>
        <w:rPr>
          <w:rFonts w:ascii="Arial" w:cs="Arial" w:eastAsia="Arial" w:hAnsi="Arial"/>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211" w:lineRule="exact"/>
        <w:rPr>
          <w:sz w:val="20"/>
          <w:szCs w:val="20"/>
          <w:color w:val="auto"/>
        </w:rPr>
      </w:pPr>
    </w:p>
    <w:p>
      <w:pPr>
        <w:ind w:left="73" w:right="80"/>
        <w:spacing w:after="0" w:line="301"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184" w:lineRule="exact"/>
        <w:rPr>
          <w:sz w:val="20"/>
          <w:szCs w:val="20"/>
          <w:color w:val="auto"/>
        </w:rPr>
      </w:pPr>
    </w:p>
    <w:p>
      <w:pPr>
        <w:ind w:left="73" w:right="400"/>
        <w:spacing w:after="0" w:line="277" w:lineRule="auto"/>
        <w:rPr>
          <w:sz w:val="20"/>
          <w:szCs w:val="20"/>
          <w:color w:val="auto"/>
        </w:rPr>
      </w:pPr>
      <w:r>
        <w:rPr>
          <w:rFonts w:ascii="Arial" w:cs="Arial" w:eastAsia="Arial" w:hAnsi="Arial"/>
          <w:sz w:val="18"/>
          <w:szCs w:val="18"/>
          <w:color w:val="auto"/>
        </w:rPr>
        <w:t>During the six months ended June 30, 2020, the Company contributed a total of $9,541 to its joint ventures for the purchase of one operating store and three stores acquired at the issuance of certificate of occupancy.</w:t>
      </w:r>
    </w:p>
    <w:p>
      <w:pPr>
        <w:spacing w:after="0" w:line="200" w:lineRule="exact"/>
        <w:rPr>
          <w:sz w:val="20"/>
          <w:szCs w:val="20"/>
          <w:color w:val="auto"/>
        </w:rPr>
      </w:pPr>
    </w:p>
    <w:p>
      <w:pPr>
        <w:spacing w:after="0" w:line="348"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13"/>
          </w:cols>
          <w:pgMar w:left="247" w:top="36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Net investments in unconsolidated real estate ventures and cash distributions in unconsolidated real estate ventures consist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Excess Profit %</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7"/>
                <w:szCs w:val="17"/>
                <w:color w:val="auto"/>
              </w:rPr>
            </w:pPr>
          </w:p>
        </w:tc>
        <w:tc>
          <w:tcPr>
            <w:tcW w:w="10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Stores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Ownership %</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 EXR Self Storage,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58,921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WICNN JV LLC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36,291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36,552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VRS Self Storage,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17,639</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ESS-NYFL JV LP</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12,470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GFN JV,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12,168</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PRISA Self Storage LLC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85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9,133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Alan Jathoo JV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9</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7,870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7,977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Storage Portfolio III JV LLC</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5,799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ESS Bristol Investments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Extra Space Northern Properties Six LLC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Storage Portfolio II JV LLC</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1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Storage Portfolio I LLC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16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34%</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(38,698)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(38,345)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minority owned stores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1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10-50%</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25,381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24,832</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SmartStop Self Storage REIT, Inc. Preferred Stock (2)</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n/a</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2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Investments in and Cash distributions in unconsolidated real</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245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298,077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292,790</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estate entities</w:t>
            </w:r>
          </w:p>
        </w:tc>
        <w:tc>
          <w:tcPr>
            <w:tcW w:w="10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vMerge w:val="continue"/>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pro-rata equity ownership share and promoted interest.</w:t>
      </w:r>
    </w:p>
    <w:p>
      <w:pPr>
        <w:spacing w:after="0" w:line="225" w:lineRule="exact"/>
        <w:rPr>
          <w:rFonts w:ascii="Arial" w:cs="Arial" w:eastAsia="Arial" w:hAnsi="Arial"/>
          <w:sz w:val="18"/>
          <w:szCs w:val="18"/>
          <w:color w:val="auto"/>
        </w:rPr>
      </w:pPr>
    </w:p>
    <w:p>
      <w:pPr>
        <w:ind w:left="340" w:right="60" w:hanging="332"/>
        <w:spacing w:after="0" w:line="275" w:lineRule="auto"/>
        <w:tabs>
          <w:tab w:leader="none" w:pos="27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October 2019, the Company invested $150,000 in shares of newly issued convertible preferred stock of SmartStop,with an additional commitment to purchase up to $50,000 of the preferred shares over the 12 months after the original purchase.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VARIABLE INTERESTS</w:t>
      </w:r>
    </w:p>
    <w:p>
      <w:pPr>
        <w:spacing w:after="0" w:line="25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Operating Partnership had three wholly-owned unconsolidated subsidiaries (“Trust,” “Trust II” and “Trust III,” together, the “Trusts”) that had issued trust preferred securities to third parties and common securities to the Operating Partnership during 2005. The proceeds from the sale of the preferred and common securities were loaned in the form of notes to the Operating Partnership. The Trusts were variable interest entities ("VIEs") because the holders of the equity investment at risk (the trust preferred securities) did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was not considered an equity investment at risk. The Operating Partnership’s investment in the Trusts was not a variable interest because equity interests are variable interests only to the extent that the investment is considered to be at risk, and therefore the Operating Partnership cannot be the primary beneficiary of the Trusts. Since the Company was not the primary beneficiary of the Trusts, they were not consolidated. A debt obligation was recorded in the form of notes for the proceeds as discussed above, which were owed to the Trusts. The Company had also included its investment in the Trusts’ common securities in other assets on the condensed consolidated balance sheets.</w:t>
      </w:r>
    </w:p>
    <w:p>
      <w:pPr>
        <w:spacing w:after="0" w:line="20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 Company repaid a total principal amount of $88,662, representing all of the notes payable to Trust III, all of the notes payable to Trust II, and all but $30,928 of the notes payable to Trust. The Trusts used the proceeds from these repayments to redeem their preferred and common securities. In January 2019, the Company repaid the remaining balance of $30,928 of notes payable to Trust.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time they were outstanding, the Company did not provide financing or other support during the periods presented to the Trusts that it was not previously contractually obligated to provide. The Company’s maximum exposure to loss as a result of its involvement with the Trusts was equal to the total amount of the notes discussed above less the amounts of the Company’s investments in the Trusts’ common securities. The net amount was equal to the notes payable that the Trusts owed to third parties for their investments in the Trusts’ preferred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consolidated VIEs during the three and six months ended June 30,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1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and six months ended June 30, 2020 and 2019, such derivatives were used to hedge the variable cash flows associated with existing variable-rate debt. In the coming 12 months, the Company estimates that $35,790 will be reclassified and increase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25 derivative financial instruments which had a total combined notional amount of $2,391,806 as of June 30,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Derivative Instruments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presents the fair value of the Company’s derivative financial instruments as well as their classification on the condensed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Asset / Liability Derivatives</w:t>
            </w:r>
          </w:p>
        </w:tc>
      </w:tr>
      <w:tr>
        <w:trPr>
          <w:trHeight w:val="196"/>
        </w:trPr>
        <w:tc>
          <w:tcPr>
            <w:tcW w:w="7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40" w:type="dxa"/>
            <w:vAlign w:val="bottom"/>
          </w:tcPr>
          <w:p>
            <w:pPr>
              <w:spacing w:after="0"/>
              <w:rPr>
                <w:sz w:val="19"/>
                <w:szCs w:val="19"/>
                <w:color w:val="auto"/>
              </w:rPr>
            </w:pPr>
          </w:p>
        </w:tc>
        <w:tc>
          <w:tcPr>
            <w:tcW w:w="3060" w:type="dxa"/>
            <w:vAlign w:val="bottom"/>
            <w:gridSpan w:val="3"/>
          </w:tcPr>
          <w:p>
            <w:pPr>
              <w:jc w:val="right"/>
              <w:ind w:right="1196"/>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6,214</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9"/>
              <w:spacing w:after="0"/>
              <w:rPr>
                <w:sz w:val="20"/>
                <w:szCs w:val="20"/>
                <w:color w:val="auto"/>
              </w:rPr>
            </w:pPr>
            <w:r>
              <w:rPr>
                <w:rFonts w:ascii="Arial" w:cs="Arial" w:eastAsia="Arial" w:hAnsi="Arial"/>
                <w:sz w:val="18"/>
                <w:szCs w:val="18"/>
                <w:color w:val="auto"/>
              </w:rPr>
              <w:t>119,658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31,400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Derivative Instruments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5"/>
          </w:tcPr>
          <w:p>
            <w:pPr>
              <w:jc w:val="center"/>
              <w:ind w:right="99"/>
              <w:spacing w:after="0"/>
              <w:rPr>
                <w:sz w:val="20"/>
                <w:szCs w:val="20"/>
                <w:color w:val="auto"/>
              </w:rPr>
            </w:pPr>
            <w:r>
              <w:rPr>
                <w:rFonts w:ascii="Arial" w:cs="Arial" w:eastAsia="Arial" w:hAnsi="Arial"/>
                <w:sz w:val="14"/>
                <w:szCs w:val="14"/>
                <w:b w:val="1"/>
                <w:bCs w:val="1"/>
                <w:color w:val="auto"/>
                <w:w w:val="94"/>
              </w:rPr>
              <w:t>Gain (loss) recognized in OCI For the Three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Location of amounts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00" w:type="dxa"/>
            <w:vAlign w:val="bottom"/>
            <w:gridSpan w:val="5"/>
          </w:tcPr>
          <w:p>
            <w:pPr>
              <w:jc w:val="right"/>
              <w:ind w:right="79"/>
              <w:spacing w:after="0"/>
              <w:rPr>
                <w:sz w:val="20"/>
                <w:szCs w:val="20"/>
                <w:color w:val="auto"/>
              </w:rPr>
            </w:pPr>
            <w:r>
              <w:rPr>
                <w:rFonts w:ascii="Arial" w:cs="Arial" w:eastAsia="Arial" w:hAnsi="Arial"/>
                <w:sz w:val="14"/>
                <w:szCs w:val="14"/>
                <w:b w:val="1"/>
                <w:bCs w:val="1"/>
                <w:color w:val="auto"/>
                <w:w w:val="94"/>
              </w:rPr>
              <w:t>Gain (loss) reclassified from OCI For the Three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20" w:type="dxa"/>
            <w:vAlign w:val="bottom"/>
            <w:gridSpan w:val="5"/>
            <w:vMerge w:val="restart"/>
          </w:tcPr>
          <w:p>
            <w:pPr>
              <w:jc w:val="center"/>
              <w:ind w:right="119"/>
              <w:spacing w:after="0"/>
              <w:rPr>
                <w:sz w:val="20"/>
                <w:szCs w:val="20"/>
                <w:color w:val="auto"/>
              </w:rPr>
            </w:pPr>
            <w:r>
              <w:rPr>
                <w:rFonts w:ascii="Arial" w:cs="Arial" w:eastAsia="Arial" w:hAnsi="Arial"/>
                <w:sz w:val="14"/>
                <w:szCs w:val="14"/>
                <w:b w:val="1"/>
                <w:bCs w:val="1"/>
                <w:color w:val="auto"/>
                <w:w w:val="93"/>
              </w:rPr>
              <w:t>Months Ended June 30,</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Months Ended June 30,</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5"/>
              </w:rPr>
              <w:t>reclassified from OCI</w:t>
            </w: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Type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into income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ind w:right="6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jc w:val="right"/>
              <w:ind w:right="519"/>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20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(13,350)</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(36,294)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Interest expense</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(7,639)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Gain (loss) recognized in OCI For the Six Months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amounts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jc w:val="right"/>
              <w:ind w:right="59"/>
              <w:spacing w:after="0"/>
              <w:rPr>
                <w:sz w:val="20"/>
                <w:szCs w:val="20"/>
                <w:color w:val="auto"/>
              </w:rPr>
            </w:pPr>
            <w:r>
              <w:rPr>
                <w:rFonts w:ascii="Arial" w:cs="Arial" w:eastAsia="Arial" w:hAnsi="Arial"/>
                <w:sz w:val="14"/>
                <w:szCs w:val="14"/>
                <w:b w:val="1"/>
                <w:bCs w:val="1"/>
                <w:color w:val="auto"/>
                <w:w w:val="94"/>
              </w:rPr>
              <w:t>Gain (loss) reclassified from OCI For the Six</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4"/>
          </w:tcPr>
          <w:p>
            <w:pPr>
              <w:jc w:val="center"/>
              <w:ind w:left="783"/>
              <w:spacing w:after="0" w:line="145" w:lineRule="exact"/>
              <w:rPr>
                <w:sz w:val="20"/>
                <w:szCs w:val="20"/>
                <w:color w:val="auto"/>
              </w:rPr>
            </w:pPr>
            <w:r>
              <w:rPr>
                <w:rFonts w:ascii="Arial" w:cs="Arial" w:eastAsia="Arial" w:hAnsi="Arial"/>
                <w:sz w:val="14"/>
                <w:szCs w:val="14"/>
                <w:b w:val="1"/>
                <w:bCs w:val="1"/>
                <w:color w:val="auto"/>
                <w:w w:val="93"/>
              </w:rPr>
              <w:t>Ended June 30,</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4"/>
          </w:tcPr>
          <w:p>
            <w:pPr>
              <w:jc w:val="right"/>
              <w:ind w:right="699"/>
              <w:spacing w:after="0" w:line="145" w:lineRule="exact"/>
              <w:rPr>
                <w:sz w:val="20"/>
                <w:szCs w:val="20"/>
                <w:color w:val="auto"/>
              </w:rPr>
            </w:pPr>
            <w:r>
              <w:rPr>
                <w:rFonts w:ascii="Arial" w:cs="Arial" w:eastAsia="Arial" w:hAnsi="Arial"/>
                <w:sz w:val="14"/>
                <w:szCs w:val="14"/>
                <w:b w:val="1"/>
                <w:bCs w:val="1"/>
                <w:color w:val="auto"/>
              </w:rPr>
              <w:t>Months Ended 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Type</w:t>
            </w:r>
          </w:p>
        </w:tc>
        <w:tc>
          <w:tcPr>
            <w:tcW w:w="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680" w:type="dxa"/>
            <w:vAlign w:val="bottom"/>
            <w:gridSpan w:val="2"/>
            <w:vMerge w:val="restart"/>
          </w:tcPr>
          <w:p>
            <w:pPr>
              <w:jc w:val="center"/>
              <w:spacing w:after="0" w:line="126" w:lineRule="exact"/>
              <w:rPr>
                <w:sz w:val="20"/>
                <w:szCs w:val="20"/>
                <w:color w:val="auto"/>
              </w:rPr>
            </w:pPr>
            <w:r>
              <w:rPr>
                <w:rFonts w:ascii="Arial" w:cs="Arial" w:eastAsia="Arial" w:hAnsi="Arial"/>
                <w:sz w:val="14"/>
                <w:szCs w:val="14"/>
                <w:b w:val="1"/>
                <w:bCs w:val="1"/>
                <w:color w:val="auto"/>
                <w:w w:val="93"/>
              </w:rPr>
              <w:t>reclassified from OCI into</w:t>
            </w: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vMerge w:val="restart"/>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0" w:type="dxa"/>
            <w:vAlign w:val="bottom"/>
            <w:vMerge w:val="restart"/>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vMerge w:val="restart"/>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20" w:type="dxa"/>
            <w:vAlign w:val="bottom"/>
            <w:shd w:val="clear" w:color="auto" w:fill="CCEEFF"/>
          </w:tcPr>
          <w:p>
            <w:pPr>
              <w:spacing w:after="0"/>
              <w:rPr>
                <w:sz w:val="24"/>
                <w:szCs w:val="24"/>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Swap Agreements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(103,060)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(8,202)</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21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June 30, 2020, the fair value of derivatives in a net liability position, which includes accrued interest but excludes any adjustment for nonperformance risk, related to these agreements was $123,251. As of June 30, 2020, the Company had not posted any collateral related to these agreements. If the Company had breached any of these provisions as of June 30, 2020, it could have been required to cash settle its obligations under the agreements at their termination value of $123,251, including accrued interest.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EXCHANGEABLE SENIOR NOTES</w:t>
      </w:r>
    </w:p>
    <w:p>
      <w:pPr>
        <w:spacing w:after="0" w:line="2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condensed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2015 Notes bear interest at 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June 30, 2020 was approximately 10.97 shares of the Company’s common stock per $1,000 principal amount of the 2015 Notes.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did not exceed 130% of the exchange price for the required time period for the 2015 Notes during the quarter ended June 30, 2020.</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components of the 2015 Notes separately. The equity components are included in paid-in capital in stockholders’ equity in the condensed consolidated balance sheets, and the value of the equity components are treated as original issue discount for purposes of accounting for the debt components. The discounts are amortized as interest expense over the remaining period of the debt through its first redemption date of October 1, 2020. The effective interest rate on the liability components of the 2015 Notes is 4.0%, which approximated the market rate of interest of similar debt without exchange features (i.e. nonconvertible debt) at the time of issuance.</w:t>
      </w:r>
    </w:p>
    <w:p>
      <w:pPr>
        <w:spacing w:after="0" w:line="204" w:lineRule="exact"/>
        <w:rPr>
          <w:sz w:val="20"/>
          <w:szCs w:val="20"/>
          <w:color w:val="auto"/>
        </w:rPr>
      </w:pPr>
    </w:p>
    <w:p>
      <w:pPr>
        <w:ind w:right="860"/>
        <w:spacing w:after="0" w:line="276" w:lineRule="auto"/>
        <w:rPr>
          <w:sz w:val="20"/>
          <w:szCs w:val="20"/>
          <w:color w:val="auto"/>
        </w:rPr>
      </w:pPr>
      <w:r>
        <w:rPr>
          <w:rFonts w:ascii="Arial" w:cs="Arial" w:eastAsia="Arial" w:hAnsi="Arial"/>
          <w:sz w:val="18"/>
          <w:szCs w:val="18"/>
          <w:color w:val="auto"/>
        </w:rPr>
        <w:t>Information about the Company’s 2015 Notes, including the total carrying amount of the equity component, the principal amount of the liability component, the unamortized discount and the net carrying amount was as follows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Carrying amount of equity component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22,597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22,597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Principal amount of liability component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575,000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575,000</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Unamortized discount - equity component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(1,812)</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carrying amount of liability component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573,154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569,513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amount of interest cost recognized relating to the contractual interest rate and the amortization of the discount on the liability component of the Notes were as follows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240" w:type="dxa"/>
            <w:vAlign w:val="bottom"/>
            <w:gridSpan w:val="6"/>
          </w:tcPr>
          <w:p>
            <w:pPr>
              <w:ind w:left="340"/>
              <w:spacing w:after="0"/>
              <w:rPr>
                <w:sz w:val="20"/>
                <w:szCs w:val="20"/>
                <w:color w:val="auto"/>
              </w:rPr>
            </w:pPr>
            <w:r>
              <w:rPr>
                <w:rFonts w:ascii="Arial" w:cs="Arial" w:eastAsia="Arial" w:hAnsi="Arial"/>
                <w:sz w:val="14"/>
                <w:szCs w:val="14"/>
                <w:b w:val="1"/>
                <w:bCs w:val="1"/>
                <w:color w:val="auto"/>
              </w:rPr>
              <w:t>For the Three Months Ended June 30,</w:t>
            </w:r>
          </w:p>
        </w:tc>
        <w:tc>
          <w:tcPr>
            <w:tcW w:w="280" w:type="dxa"/>
            <w:vAlign w:val="bottom"/>
          </w:tcPr>
          <w:p>
            <w:pPr>
              <w:spacing w:after="0"/>
              <w:rPr>
                <w:sz w:val="16"/>
                <w:szCs w:val="16"/>
                <w:color w:val="auto"/>
              </w:rPr>
            </w:pPr>
          </w:p>
        </w:tc>
        <w:tc>
          <w:tcPr>
            <w:tcW w:w="282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For the Six Months Ended June 30,</w:t>
            </w:r>
          </w:p>
        </w:tc>
      </w:tr>
      <w:tr>
        <w:trPr>
          <w:trHeight w:val="196"/>
        </w:trPr>
        <w:tc>
          <w:tcPr>
            <w:tcW w:w="49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interest</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4,492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4,492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8,984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Amortization of discount</w:t>
            </w:r>
          </w:p>
        </w:tc>
        <w:tc>
          <w:tcPr>
            <w:tcW w:w="8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1,233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1,185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2,347</w:t>
            </w:r>
          </w:p>
        </w:tc>
      </w:tr>
      <w:tr>
        <w:trPr>
          <w:trHeight w:val="27"/>
        </w:trPr>
        <w:tc>
          <w:tcPr>
            <w:tcW w:w="4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 recognized</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5,725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5,677</w:t>
            </w: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11,426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11,331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May 15, 2019, the Company filed its $500,000 "at the market" equity program with the Securities and Exchange Commission using a shelf registration statement on Form S-3, and entered into separate equity distribution agreements with nine sales agents.</w:t>
      </w:r>
    </w:p>
    <w:p>
      <w:pPr>
        <w:spacing w:after="0" w:line="19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six months ended June 30, 2020, the Company sold no shares of common stock under its "at the market" equity program and had $298,621 available for issuance under the equity distribution agreements.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November 8, 2017, the Company's board of directors authorized a three-year share repurchase program to allow for the repurchase of shares with an aggregate value up to $400,000. During the six months ended June 30, 2020, the Company repurchased 826,197 shares at an average price of $82.09 per share, paying a total of $67,819. As of June 30, 2020, the Company had remaining authorization to repurchase shares with an aggregate value up to $332,181.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Classification of Noncontrolling Interests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At June 30, 2020 and December 31, 2019,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June 30, 2020 and December 31, 2019, noncontrolling interests in Preferred OP Units were presented net of notes receivable from Preferred OP Unit holders of $100,000 as more fully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Participating Redeemable Preferred Units</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1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receivable is also the holder of the Series A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Series B Units were issued in 2013 and 2014 and have a liquidation value of $25.00 per unit for a fixed liquidation value of $41,902, which represents 1,676,087 Series B Units. Holders of the Series B Units receive distributions at an annual rate of 6.0%. These distributions are cumulative. The Series B Units became redeemable at the option of the holder on the first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anniversary of the date of issuance, which redemption obligation may be satisfied at the Company’s option in cash or shares of its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Convertible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C Units were issued in 2013 and 2014 and had a liquidation value of $42.10 per unit. The Series C Units became redeemable at the option of the holder one year from the date of issuance, which redemption obligation could be satisfied at the Company’s option in cash or shares of its common stock. The Series C Units were convertible into OP Units at the option of the holder at a rate of 0.9145 OP Units per Series C Unit converted. This conversion option expired upon the fifth anniversary of the date of issuance.</w:t>
      </w:r>
    </w:p>
    <w:p>
      <w:pPr>
        <w:spacing w:after="0" w:line="21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December 2014, the Operating Partnership loaned certain holders of the Series C Units $20,230. The loan receivable, which was collateralized by the Series C Units, bears interest at 5.0% per annum and matures on December 15, 2024. The Series C Units were shown on the balance sheet net of the loan balance because the borrower under the loan receivable was also the holder of the Series C Units.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 2018, certain holders of the Series C Units converted their Series C Units into OP Units, with a total of 407,996 Series C Units being converted into a total of 373,113 OP Units. On April 25, 2019, the remaining 296,020 Series C Units were converted into 270,709 OP Units. The remaining outstanding balance of the loan receivable of $18,524 is shown as a reduction of the noncontrolling interests related to the OP Units as of December 31, 2019 and June 30, 2020. See footnote 12 for further discussion of noncontrolling interests.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Redeemable Preferred Units</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Series D Units have been issued at various times from 2014 to 2019. During the six months ended June 30, 2019, the Operating Partnership issued 1,120,924 Series D Units valued at $28,022 in conjunction with joint venture acquisitions.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Series D Units have a liquidation value of $25.00 per unit, for a fixed liquidation value of $117,362, which represents 4,694,485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2020, 108,960 Series D Units were redeemed for 30,495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 in Operating Partnership</w:t>
      </w:r>
    </w:p>
    <w:p>
      <w:pPr>
        <w:spacing w:after="0" w:line="25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Company’s interest in its stores is held through the Operating Partnership. Between its general partner and limited partner interests, the Company held a 93.9% ownership interest in the Operating Partnership as of June 30, 2020. The remaining ownership interests in the Operating Partnership (including Preferred OP Units) of 6.1% are held by certain former owners of assets acquired by the Operating Partnership. As of June 30, 2020 and December 31, 2019, the noncontrolling interests in the Operating Partnership are shown on the balance sheet net of notes receivable of $18,524 because the borrowers under the loan receivable are also holders of OP Units (Note 11). This loan receivable bears interest at 5.0% per annum and matures on December 15, 2024.</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June 30, 2020, the ten-day average closing price of the Company's common stock was $92.75 and there were 5,815,916 OP Units outstanding. Assuming that all of the OP Unit holders exercised their right to redeem all of their OP Units on June 30, 2020 and the Company elected to pay the OP Unit holders cash, the Company would have paid $539,426 in cash consideration to redeem the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OP Unit activity is summarized as follows for the periods presented: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20" w:type="dxa"/>
            <w:vAlign w:val="bottom"/>
          </w:tcPr>
          <w:p>
            <w:pPr>
              <w:spacing w:after="0"/>
              <w:rPr>
                <w:sz w:val="18"/>
                <w:szCs w:val="18"/>
                <w:color w:val="auto"/>
              </w:rPr>
            </w:pPr>
          </w:p>
        </w:tc>
        <w:tc>
          <w:tcPr>
            <w:tcW w:w="3780" w:type="dxa"/>
            <w:vAlign w:val="bottom"/>
            <w:gridSpan w:val="3"/>
          </w:tcPr>
          <w:p>
            <w:pPr>
              <w:ind w:left="660"/>
              <w:spacing w:after="0"/>
              <w:rPr>
                <w:sz w:val="20"/>
                <w:szCs w:val="20"/>
                <w:color w:val="auto"/>
              </w:rPr>
            </w:pPr>
            <w:r>
              <w:rPr>
                <w:rFonts w:ascii="Arial" w:cs="Arial" w:eastAsia="Arial" w:hAnsi="Arial"/>
                <w:sz w:val="16"/>
                <w:szCs w:val="16"/>
                <w:b w:val="1"/>
                <w:bCs w:val="1"/>
                <w:color w:val="auto"/>
              </w:rPr>
              <w:t>For the Six Months Ended June 30,</w:t>
            </w:r>
          </w:p>
        </w:tc>
      </w:tr>
      <w:tr>
        <w:trPr>
          <w:trHeight w:val="33"/>
        </w:trPr>
        <w:tc>
          <w:tcPr>
            <w:tcW w:w="74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7420" w:type="dxa"/>
            <w:vAlign w:val="bottom"/>
          </w:tcPr>
          <w:p>
            <w:pPr>
              <w:spacing w:after="0"/>
              <w:rPr>
                <w:sz w:val="18"/>
                <w:szCs w:val="18"/>
                <w:color w:val="auto"/>
              </w:rPr>
            </w:pPr>
          </w:p>
        </w:tc>
        <w:tc>
          <w:tcPr>
            <w:tcW w:w="1340" w:type="dxa"/>
            <w:vAlign w:val="bottom"/>
          </w:tcPr>
          <w:p>
            <w:pPr>
              <w:jc w:val="right"/>
              <w:ind w:right="176"/>
              <w:spacing w:after="0"/>
              <w:rPr>
                <w:sz w:val="20"/>
                <w:szCs w:val="20"/>
                <w:color w:val="auto"/>
              </w:rPr>
            </w:pPr>
            <w:r>
              <w:rPr>
                <w:rFonts w:ascii="Arial" w:cs="Arial" w:eastAsia="Arial" w:hAnsi="Arial"/>
                <w:sz w:val="16"/>
                <w:szCs w:val="16"/>
                <w:b w:val="1"/>
                <w:bCs w:val="1"/>
                <w:color w:val="auto"/>
              </w:rPr>
              <w:t>2020</w:t>
            </w:r>
          </w:p>
        </w:tc>
        <w:tc>
          <w:tcPr>
            <w:tcW w:w="780" w:type="dxa"/>
            <w:vAlign w:val="bottom"/>
          </w:tcPr>
          <w:p>
            <w:pPr>
              <w:spacing w:after="0"/>
              <w:rPr>
                <w:sz w:val="18"/>
                <w:szCs w:val="18"/>
                <w:color w:val="auto"/>
              </w:rPr>
            </w:pPr>
          </w:p>
        </w:tc>
        <w:tc>
          <w:tcPr>
            <w:tcW w:w="166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7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 Units redeemed for common stock</w:t>
            </w: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108,862</w:t>
            </w:r>
          </w:p>
        </w:tc>
        <w:tc>
          <w:tcPr>
            <w:tcW w:w="7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210,501</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OP Units issued upon redemption of Series C Units</w:t>
            </w:r>
          </w:p>
        </w:tc>
        <w:tc>
          <w:tcPr>
            <w:tcW w:w="134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93"/>
              <w:spacing w:after="0"/>
              <w:rPr>
                <w:sz w:val="20"/>
                <w:szCs w:val="20"/>
                <w:color w:val="auto"/>
              </w:rPr>
            </w:pPr>
            <w:r>
              <w:rPr>
                <w:rFonts w:ascii="Arial" w:cs="Arial" w:eastAsia="Arial" w:hAnsi="Arial"/>
                <w:sz w:val="18"/>
                <w:szCs w:val="18"/>
                <w:color w:val="auto"/>
                <w:w w:val="92"/>
              </w:rPr>
              <w:t>270,709</w:t>
            </w:r>
          </w:p>
        </w:tc>
      </w:tr>
    </w:tbl>
    <w:p>
      <w:pPr>
        <w:spacing w:after="0" w:line="36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Noncontrolling Interests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noncontrolling interests represent the ownership interests of third parties in two consolidated joint ventures as of June 30, 2020. One joint venture owns four operating stores, and the other joint venture owns two operating stores.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the Company's self-storage operations represents total property revenue less direct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operating expenses. NOI for the Company's tenant reinsurance segment represents tenant reinsurance revenues less tenant reinsurance expense.</w:t>
      </w:r>
    </w:p>
    <w:p>
      <w:pPr>
        <w:spacing w:after="0" w:line="2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64" w:right="339" w:bottom="1440" w:gutter="0" w:footer="0" w:header="0"/>
        </w:sectPr>
      </w:pPr>
    </w:p>
    <w:bookmarkStart w:id="25" w:name="page26"/>
    <w:bookmarkEnd w:id="25"/>
    <w:p>
      <w:pPr>
        <w:jc w:val="center"/>
        <w:ind w:left="4320"/>
        <w:spacing w:after="0"/>
        <w:rPr>
          <w:sz w:val="20"/>
          <w:szCs w:val="20"/>
          <w:color w:val="auto"/>
        </w:rPr>
      </w:pPr>
      <w:r>
        <w:rPr>
          <w:rFonts w:ascii="Arial" w:cs="Arial" w:eastAsia="Arial" w:hAnsi="Arial"/>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52070</wp:posOffset>
            </wp:positionV>
            <wp:extent cx="2143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9" w:lineRule="exact"/>
        <w:rPr>
          <w:sz w:val="20"/>
          <w:szCs w:val="20"/>
          <w:color w:val="auto"/>
        </w:rPr>
      </w:pPr>
    </w:p>
    <w:p>
      <w:pPr>
        <w:ind w:left="4960"/>
        <w:spacing w:after="0"/>
        <w:tabs>
          <w:tab w:leader="none" w:pos="66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52070</wp:posOffset>
            </wp:positionV>
            <wp:extent cx="2151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89" w:lineRule="exact"/>
        <w:rPr>
          <w:sz w:val="20"/>
          <w:szCs w:val="20"/>
          <w:color w:val="auto"/>
        </w:rPr>
      </w:pPr>
    </w:p>
    <w:p>
      <w:pPr>
        <w:ind w:left="220"/>
        <w:spacing w:after="0"/>
        <w:tabs>
          <w:tab w:leader="none" w:pos="18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39" w:lineRule="exact"/>
        <w:rPr>
          <w:sz w:val="20"/>
          <w:szCs w:val="20"/>
          <w:color w:val="auto"/>
        </w:rPr>
      </w:pPr>
    </w:p>
    <w:p>
      <w:pPr>
        <w:sectPr>
          <w:pgSz w:w="11900" w:h="16838" w:orient="portrait"/>
          <w:cols w:equalWidth="0" w:num="2">
            <w:col w:w="7600" w:space="720"/>
            <w:col w:w="2920"/>
          </w:cols>
          <w:pgMar w:left="320" w:top="180" w:right="339" w:bottom="1440" w:gutter="0" w:footer="0" w:header="0"/>
        </w:sectPr>
      </w:pPr>
    </w:p>
    <w:tbl>
      <w:tblPr>
        <w:tblLayout w:type="fixed"/>
        <w:tblInd w:w="0" w:type="dxa"/>
        <w:tblCellMar>
          <w:top w:w="0" w:type="dxa"/>
          <w:left w:w="0" w:type="dxa"/>
          <w:bottom w:w="0" w:type="dxa"/>
          <w:right w:w="0" w:type="dxa"/>
        </w:tblCellMar>
      </w:tblPr>
      <w:tr>
        <w:trPr>
          <w:trHeight w:val="260"/>
        </w:trPr>
        <w:tc>
          <w:tcPr>
            <w:tcW w:w="4280" w:type="dxa"/>
            <w:vAlign w:val="bottom"/>
          </w:tcPr>
          <w:p>
            <w:pPr>
              <w:ind w:left="20"/>
              <w:spacing w:after="0"/>
              <w:rPr>
                <w:sz w:val="20"/>
                <w:szCs w:val="20"/>
                <w:color w:val="auto"/>
              </w:rPr>
            </w:pPr>
            <w:r>
              <w:rPr>
                <w:rFonts w:ascii="Arial" w:cs="Arial" w:eastAsia="Arial" w:hAnsi="Arial"/>
                <w:sz w:val="18"/>
                <w:szCs w:val="18"/>
                <w:color w:val="auto"/>
              </w:rPr>
              <w:t>Revenues:</w:t>
            </w:r>
          </w:p>
        </w:tc>
        <w:tc>
          <w:tcPr>
            <w:tcW w:w="5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6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279,312</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279,584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566,015</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550,587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Tenant Reinsurance</w:t>
            </w: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35,078</w:t>
            </w:r>
          </w:p>
        </w:tc>
        <w:tc>
          <w:tcPr>
            <w:tcW w:w="5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31,701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68,691</w:t>
            </w:r>
          </w:p>
        </w:tc>
        <w:tc>
          <w:tcPr>
            <w:tcW w:w="5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61,498</w:t>
            </w:r>
          </w:p>
        </w:tc>
      </w:tr>
      <w:tr>
        <w:trPr>
          <w:trHeight w:val="27"/>
        </w:trPr>
        <w:tc>
          <w:tcPr>
            <w:tcW w:w="4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revenues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314,390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311,285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634,706</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612,085</w:t>
            </w:r>
          </w:p>
        </w:tc>
      </w:tr>
      <w:tr>
        <w:trPr>
          <w:trHeight w:val="250"/>
        </w:trPr>
        <w:tc>
          <w:tcPr>
            <w:tcW w:w="42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Self-Storage Operations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89,040</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80,870</w:t>
            </w:r>
          </w:p>
        </w:tc>
        <w:tc>
          <w:tcPr>
            <w:tcW w:w="2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179,337</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159,635</w:t>
            </w: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Reinsurance</w:t>
            </w:r>
          </w:p>
        </w:tc>
        <w:tc>
          <w:tcPr>
            <w:tcW w:w="5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6,858</w:t>
            </w: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6,982</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13,536</w:t>
            </w:r>
          </w:p>
        </w:tc>
        <w:tc>
          <w:tcPr>
            <w:tcW w:w="5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13,949</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Total segment operating expenses</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95,898</w:t>
            </w:r>
          </w:p>
        </w:tc>
        <w:tc>
          <w:tcPr>
            <w:tcW w:w="5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87,852</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192,873</w:t>
            </w:r>
          </w:p>
        </w:tc>
        <w:tc>
          <w:tcPr>
            <w:tcW w:w="5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173,584</w:t>
            </w:r>
          </w:p>
        </w:tc>
      </w:tr>
      <w:tr>
        <w:trPr>
          <w:trHeight w:val="27"/>
        </w:trPr>
        <w:tc>
          <w:tcPr>
            <w:tcW w:w="4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4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Self-Storage Operations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190,272</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198,714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386,678</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390,952</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Tenant Reinsurance</w:t>
            </w: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28,220</w:t>
            </w:r>
          </w:p>
        </w:tc>
        <w:tc>
          <w:tcPr>
            <w:tcW w:w="5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24,719</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55,155</w:t>
            </w:r>
          </w:p>
        </w:tc>
        <w:tc>
          <w:tcPr>
            <w:tcW w:w="5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47,549</w:t>
            </w:r>
          </w:p>
        </w:tc>
      </w:tr>
      <w:tr>
        <w:trPr>
          <w:trHeight w:val="27"/>
        </w:trPr>
        <w:tc>
          <w:tcPr>
            <w:tcW w:w="4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segment net operating income: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218,492</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223,433</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441,833</w:t>
            </w:r>
          </w:p>
        </w:tc>
        <w:tc>
          <w:tcPr>
            <w:tcW w:w="5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438,501</w:t>
            </w:r>
          </w:p>
        </w:tc>
      </w:tr>
      <w:tr>
        <w:trPr>
          <w:trHeight w:val="250"/>
        </w:trPr>
        <w:tc>
          <w:tcPr>
            <w:tcW w:w="428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components of net income (loss):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Management fees and other income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12,856</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12,317</w:t>
            </w:r>
          </w:p>
        </w:tc>
        <w:tc>
          <w:tcPr>
            <w:tcW w:w="2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24,992</w:t>
            </w:r>
          </w:p>
        </w:tc>
        <w:tc>
          <w:tcPr>
            <w:tcW w:w="5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23,063</w:t>
            </w: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(25,337)</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(48,348)</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(46,029)</w:t>
            </w: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(56,018)</w:t>
            </w: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(54,406)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(111,293)</w:t>
            </w:r>
          </w:p>
        </w:tc>
        <w:tc>
          <w:tcPr>
            <w:tcW w:w="5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(109,065)</w:t>
            </w: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5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1,205</w:t>
            </w: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(41,039)</w:t>
            </w: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(47,448)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(85,397)</w:t>
            </w:r>
          </w:p>
        </w:tc>
        <w:tc>
          <w:tcPr>
            <w:tcW w:w="5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(94,808)</w:t>
            </w: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Non-cash interest expense related to amortization of</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discount on equity component of exchangeable senior</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notes</w:t>
            </w: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5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58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3,343</w:t>
            </w:r>
          </w:p>
        </w:tc>
        <w:tc>
          <w:tcPr>
            <w:tcW w:w="5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3,106</w:t>
            </w:r>
          </w:p>
        </w:tc>
      </w:tr>
      <w:tr>
        <w:trPr>
          <w:trHeight w:val="27"/>
        </w:trPr>
        <w:tc>
          <w:tcPr>
            <w:tcW w:w="4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earnings and dividend income from</w:t>
            </w: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unconsolidated real estate entities</w:t>
            </w:r>
          </w:p>
        </w:tc>
        <w:tc>
          <w:tcPr>
            <w:tcW w:w="5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w:t>
            </w: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3,121</w:t>
            </w: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10,087</w:t>
            </w:r>
          </w:p>
        </w:tc>
        <w:tc>
          <w:tcPr>
            <w:tcW w:w="5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5,751</w:t>
            </w:r>
          </w:p>
        </w:tc>
      </w:tr>
      <w:tr>
        <w:trPr>
          <w:trHeight w:val="243"/>
        </w:trPr>
        <w:tc>
          <w:tcPr>
            <w:tcW w:w="42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(3,177)</w:t>
            </w:r>
          </w:p>
        </w:tc>
        <w:tc>
          <w:tcPr>
            <w:tcW w:w="5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(2,715)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(5,356)</w:t>
            </w:r>
          </w:p>
        </w:tc>
        <w:tc>
          <w:tcPr>
            <w:tcW w:w="5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(4,528)</w:t>
            </w:r>
          </w:p>
        </w:tc>
      </w:tr>
      <w:tr>
        <w:trPr>
          <w:trHeight w:val="27"/>
        </w:trPr>
        <w:tc>
          <w:tcPr>
            <w:tcW w:w="42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111,257</w:t>
            </w:r>
          </w:p>
        </w:tc>
        <w:tc>
          <w:tcPr>
            <w:tcW w:w="5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112,689</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227,419</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214,849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EXTRA SPACE STORAGE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June 30, 2020,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9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As of June 30, 2020, the Company was under agreement to acquire ten stores at a total purchase price of $105,250. Nine stores are scheduled to close in 2020 and the remaining store is expected to close in 2021. Additionally, the Company is under agreement to acquire three stores with joint venture partners, for a total investment of $11,393. Two of these stores are scheduled to close in 2020 and the remaining store is expected to close in 2021.</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July 2020, the Company purchased a senior mezzanine note receivable with a principal amount of $103,000. The note receivable bears interest at 5.5%, and matures in December 2023. The Company paid cash of $101,000 for the loan receivable.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Subsequent to June 30, 2020, the Company purchased one store located in Texas for a total purchase price of $10,500. This acquisition is included in the amounts shown in the commitments and contingencies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in thousands, except store and share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5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following discussion and analysis should be read in conjunction with our unaudited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Condensed Consolidated Financial Statements (unaudited)” </w:t>
      </w:r>
      <w:r>
        <w:rPr>
          <w:rFonts w:ascii="Arial" w:cs="Arial" w:eastAsia="Arial" w:hAnsi="Arial"/>
          <w:sz w:val="16"/>
          <w:szCs w:val="16"/>
          <w:color w:val="auto"/>
        </w:rPr>
        <w:t>appearing elsewhere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w:t>
      </w:r>
    </w:p>
    <w:p>
      <w:pPr>
        <w:spacing w:after="0" w:line="2"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Form 10-K for the year ended December 31, 2019.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8"/>
          <w:szCs w:val="18"/>
          <w:i w:val="1"/>
          <w:iCs w:val="1"/>
          <w:color w:val="auto"/>
        </w:rPr>
        <w:t>Statement on Forward-Looking Information</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2019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 – THE COVID-19 PANDEMIC</w:t>
      </w:r>
    </w:p>
    <w:p>
      <w:pPr>
        <w:spacing w:after="0" w:line="243"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The United States and other countries around the world are experiencing a major health pandemic related to COVID-19, which has created considerable instability and disruption in the U.S. and world economies. Governmental authorities in impacted regions are taking increasingly dramatic action in an effort to slow the spread of COVID-19. Federal, state and local jurisdictions have issued varying forms of states of emergency orders. We are working to comply within the framework of local, county, state and federal laws as they evolve. In that regard,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We have transitioned many of our interactions between customers and leasing and support staff to on-line and telephonic communications. Due to the COVID-19 pandemic, our customers may be impacted, including through unemployment, which may impact their ability to pay rent or renew their leases.</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Our business has been impacted by COVID-19 in several ways, including reductions in new rentals and vacates due to stay-at-home orders and other restrictions, lower achieved rental rates from new customers, fewer existing customer rent increases, reduced late fee collection and impaired ability to hold auctions resulting in higher accounts receivable and bad debt. We have continued operations at all of our properties and have installed plexiglass partitions</w:t>
      </w:r>
    </w:p>
    <w:p>
      <w:pPr>
        <w:spacing w:after="0" w:line="1"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in all of our offices, and have also implemented no-contact rental processes. We also experienced limited rental office closures for temporary staffing adjustments or to satisfy local government orders.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8" w:name="page29"/>
    <w:bookmarkEnd w:id="28"/>
    <w:p>
      <w:pPr>
        <w:ind w:right="40"/>
        <w:spacing w:after="0" w:line="243" w:lineRule="auto"/>
        <w:rPr>
          <w:sz w:val="20"/>
          <w:szCs w:val="20"/>
          <w:color w:val="auto"/>
        </w:rPr>
      </w:pPr>
      <w:r>
        <w:rPr>
          <w:rFonts w:ascii="Arial" w:cs="Arial" w:eastAsia="Arial" w:hAnsi="Arial"/>
          <w:sz w:val="18"/>
          <w:szCs w:val="18"/>
          <w:color w:val="auto"/>
        </w:rPr>
        <w:t>Although the self-storage has historically been resilient to ordinary market downturns, the impact of the COVID-19 pandemic on the U.S. and world economies generally, and on our future results in particular, could be significant and will largely depend on future developments, which are highly uncertain and cannot be predicted. This includes new information which may emerge concerning the severity of COVID-19, the success of actions taken to contain or treat COVID-19 and reactions by consumers, companies, governmental entities and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of June 30, 2020, we owned or had ownership interests in 1,178 operating stores. Of these stores, 927 are wholly-owned, six are in consolidated joint ventures, and 245 are in unconsolidated joint ventures. In addition, we managed an additional 700 stores for third parties bringing the total number of stores which we own and/or manage to 1,878. These stores are located in 40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of June 30, 2020, approximately 1,095,000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June 30, 2020, the average length of stay was approximately 15.5 months.</w:t>
      </w:r>
    </w:p>
    <w:p>
      <w:pPr>
        <w:spacing w:after="0" w:line="2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average annual rent per square foot for our existing customers at stabilized stores, net of discounts and bad debt, was $15.97 for the three months ended June 30, 2020, compared to $16.27 for the three months ended June 30, 2019. Average annual rent per square foot for new leases was $13.11 for the three months ended June 30, 2020, compared to $15.70 for the three months ended June 30, 2019. The average discounts, as a percentage of rental revenues, at all stabilized properties during these periods were 3.1% and 3.8%,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29" w:name="page30"/>
    <w:bookmarkEnd w:id="29"/>
    <w:p>
      <w:pPr>
        <w:jc w:val="both"/>
        <w:ind w:right="160"/>
        <w:spacing w:after="0" w:line="263" w:lineRule="auto"/>
        <w:rPr>
          <w:sz w:val="20"/>
          <w:szCs w:val="20"/>
          <w:color w:val="auto"/>
        </w:rPr>
      </w:pPr>
      <w:r>
        <w:rPr>
          <w:rFonts w:ascii="Arial" w:cs="Arial" w:eastAsia="Arial" w:hAnsi="Arial"/>
          <w:sz w:val="18"/>
          <w:szCs w:val="18"/>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regarding net rentable square feet and the number of stores by state.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8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 2020</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240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2400" w:type="dxa"/>
            <w:vAlign w:val="bottom"/>
          </w:tcPr>
          <w:p>
            <w:pPr>
              <w:spacing w:after="0"/>
              <w:rPr>
                <w:sz w:val="18"/>
                <w:szCs w:val="18"/>
                <w:color w:val="auto"/>
              </w:rPr>
            </w:pPr>
          </w:p>
        </w:tc>
        <w:tc>
          <w:tcPr>
            <w:tcW w:w="2280" w:type="dxa"/>
            <w:vAlign w:val="bottom"/>
            <w:gridSpan w:val="2"/>
          </w:tcPr>
          <w:p>
            <w:pPr>
              <w:jc w:val="right"/>
              <w:ind w:right="599"/>
              <w:spacing w:after="0"/>
              <w:rPr>
                <w:sz w:val="20"/>
                <w:szCs w:val="20"/>
                <w:color w:val="auto"/>
              </w:rPr>
            </w:pPr>
            <w:r>
              <w:rPr>
                <w:rFonts w:ascii="Arial" w:cs="Arial" w:eastAsia="Arial" w:hAnsi="Arial"/>
                <w:sz w:val="16"/>
                <w:szCs w:val="16"/>
                <w:b w:val="1"/>
                <w:bCs w:val="1"/>
                <w:color w:val="auto"/>
              </w:rPr>
              <w:t>REIT Owned</w:t>
            </w:r>
          </w:p>
        </w:tc>
        <w:tc>
          <w:tcPr>
            <w:tcW w:w="220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Joint Venture Owned</w:t>
            </w:r>
          </w:p>
        </w:tc>
        <w:tc>
          <w:tcPr>
            <w:tcW w:w="2180" w:type="dxa"/>
            <w:vAlign w:val="bottom"/>
            <w:gridSpan w:val="2"/>
          </w:tcPr>
          <w:p>
            <w:pPr>
              <w:jc w:val="right"/>
              <w:ind w:right="699"/>
              <w:spacing w:after="0"/>
              <w:rPr>
                <w:sz w:val="20"/>
                <w:szCs w:val="20"/>
                <w:color w:val="auto"/>
              </w:rPr>
            </w:pPr>
            <w:r>
              <w:rPr>
                <w:rFonts w:ascii="Arial" w:cs="Arial" w:eastAsia="Arial" w:hAnsi="Arial"/>
                <w:sz w:val="16"/>
                <w:szCs w:val="16"/>
                <w:b w:val="1"/>
                <w:bCs w:val="1"/>
                <w:color w:val="auto"/>
              </w:rPr>
              <w:t>Managed</w:t>
            </w:r>
          </w:p>
        </w:tc>
        <w:tc>
          <w:tcPr>
            <w:tcW w:w="860" w:type="dxa"/>
            <w:vAlign w:val="bottom"/>
          </w:tcPr>
          <w:p>
            <w:pPr>
              <w:spacing w:after="0"/>
              <w:rPr>
                <w:sz w:val="18"/>
                <w:szCs w:val="18"/>
                <w:color w:val="auto"/>
              </w:rPr>
            </w:pPr>
          </w:p>
        </w:tc>
        <w:tc>
          <w:tcPr>
            <w:tcW w:w="1320" w:type="dxa"/>
            <w:vAlign w:val="bottom"/>
          </w:tcPr>
          <w:p>
            <w:pPr>
              <w:jc w:val="right"/>
              <w:ind w:right="8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24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7"/>
        </w:trPr>
        <w:tc>
          <w:tcPr>
            <w:tcW w:w="240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Property</w:t>
            </w:r>
          </w:p>
        </w:tc>
        <w:tc>
          <w:tcPr>
            <w:tcW w:w="1260" w:type="dxa"/>
            <w:vAlign w:val="bottom"/>
          </w:tcPr>
          <w:p>
            <w:pPr>
              <w:jc w:val="right"/>
              <w:ind w:right="119"/>
              <w:spacing w:after="0"/>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Property</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Property</w:t>
            </w: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Property</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Net Rentable</w:t>
            </w:r>
          </w:p>
        </w:tc>
      </w:tr>
      <w:tr>
        <w:trPr>
          <w:trHeight w:val="225"/>
        </w:trPr>
        <w:tc>
          <w:tcPr>
            <w:tcW w:w="240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rPr>
              <w:t>Location</w:t>
            </w:r>
          </w:p>
        </w:tc>
        <w:tc>
          <w:tcPr>
            <w:tcW w:w="1020" w:type="dxa"/>
            <w:vAlign w:val="bottom"/>
            <w:tcBorders>
              <w:bottom w:val="single" w:sz="8" w:color="auto"/>
            </w:tcBorders>
          </w:tcPr>
          <w:p>
            <w:pPr>
              <w:jc w:val="right"/>
              <w:ind w:right="159"/>
              <w:spacing w:after="0" w:line="225"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1"/>
                <w:szCs w:val="21"/>
                <w:b w:val="1"/>
                <w:bCs w:val="1"/>
                <w:color w:val="auto"/>
                <w:vertAlign w:val="superscript"/>
              </w:rPr>
              <w:t>(1)</w:t>
            </w:r>
          </w:p>
        </w:tc>
        <w:tc>
          <w:tcPr>
            <w:tcW w:w="12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Count</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Count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Square Feet</w:t>
            </w:r>
          </w:p>
        </w:tc>
      </w:tr>
      <w:tr>
        <w:trPr>
          <w:trHeight w:val="23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557,478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75,811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1,057,032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1,690,321</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Arizona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1,623,306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468,027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1,474,777</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3,566,110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12,710,988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3,009,314</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6,385,924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22,106,226</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1,154,356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186,258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1,739,419</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3,080,033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531,445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629,955</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356,969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1,518,369</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76,645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137,618</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214,263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91</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6,984,896</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2,659,491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7,499,948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17,144,335</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Georgia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4,870,029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511,067</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1,725,793</w:t>
            </w: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7,106,889</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848,098</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211,634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1,059,732</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Idaho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712,786</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712,786</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2,809,563</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568,672</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1,990,521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5,368,756</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Indiana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950,671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58,166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803,501</w:t>
            </w:r>
          </w:p>
        </w:tc>
        <w:tc>
          <w:tcPr>
            <w:tcW w:w="860" w:type="dxa"/>
            <w:vAlign w:val="bottom"/>
          </w:tcPr>
          <w:p>
            <w:pPr>
              <w:jc w:val="right"/>
              <w:spacing w:after="0"/>
              <w:rPr>
                <w:sz w:val="20"/>
                <w:szCs w:val="20"/>
                <w:color w:val="auto"/>
              </w:rPr>
            </w:pPr>
            <w:r>
              <w:rPr>
                <w:rFonts w:ascii="Arial" w:cs="Arial" w:eastAsia="Arial" w:hAnsi="Arial"/>
                <w:sz w:val="16"/>
                <w:szCs w:val="16"/>
                <w:color w:val="auto"/>
              </w:rPr>
              <w:t>30</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1,812,338</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83,011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108,860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223,250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415,121</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930,058</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51,118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339,723</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1,320,899</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142,525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470,590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613,115</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Maryland</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2,591,242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618,458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2,201,633</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5,411,333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Massachusetts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2,973,595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641,219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543,304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4,158,118</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Michigan</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563,417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313,376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248,329</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1,125,122</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Minnesota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382,697</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150,661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752,792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1,286,150</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Mississippi</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219,822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205,750</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425,572</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332,765</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119,275</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539,626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991,666</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Nebraska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307,333</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307,333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Nevada</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1,039,969</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473,641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533,545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2,047,155</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New Hampshire</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135,835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84,165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61,490</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281,490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Jersey</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4,741,837</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1,247,203</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1,099,204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7,088,244</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New Mexico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721,690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350,960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893,160</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1,965,810</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1,969,524</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1,514,281</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1,188,871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4,672,676</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North Carolina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1,409,644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373,784</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1,355,295</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3,138,723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1,315,091</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325,963</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493,967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2,135,021</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Oklahoma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1,733,798</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1,733,798</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Oregon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400,153</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281,674</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971,654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1,653,481</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Pennsylvania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1,351,315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513,058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1,847,853</w:t>
            </w: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3,712,226</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Rhode Island</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134,616</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166,511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301,127</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South Carolina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1,843,740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497,708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1,349,535</w:t>
            </w:r>
          </w:p>
        </w:tc>
        <w:tc>
          <w:tcPr>
            <w:tcW w:w="860" w:type="dxa"/>
            <w:vAlign w:val="bottom"/>
          </w:tcPr>
          <w:p>
            <w:pPr>
              <w:jc w:val="right"/>
              <w:spacing w:after="0"/>
              <w:rPr>
                <w:sz w:val="20"/>
                <w:szCs w:val="20"/>
                <w:color w:val="auto"/>
              </w:rPr>
            </w:pPr>
            <w:r>
              <w:rPr>
                <w:rFonts w:ascii="Arial" w:cs="Arial" w:eastAsia="Arial" w:hAnsi="Arial"/>
                <w:sz w:val="16"/>
                <w:szCs w:val="16"/>
                <w:color w:val="auto"/>
              </w:rPr>
              <w:t>48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3,690,983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Tennessee</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1,445,166</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803,176</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1,227,376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3,475,718</w:t>
            </w:r>
          </w:p>
        </w:tc>
      </w:tr>
      <w:tr>
        <w:trPr>
          <w:trHeight w:val="224"/>
        </w:trPr>
        <w:tc>
          <w:tcPr>
            <w:tcW w:w="2400" w:type="dxa"/>
            <w:vAlign w:val="bottom"/>
          </w:tcPr>
          <w:p>
            <w:pPr>
              <w:ind w:left="20"/>
              <w:spacing w:after="0"/>
              <w:rPr>
                <w:sz w:val="20"/>
                <w:szCs w:val="20"/>
                <w:color w:val="auto"/>
              </w:rPr>
            </w:pPr>
            <w:r>
              <w:rPr>
                <w:rFonts w:ascii="Arial" w:cs="Arial" w:eastAsia="Arial" w:hAnsi="Arial"/>
                <w:sz w:val="16"/>
                <w:szCs w:val="16"/>
                <w:color w:val="auto"/>
              </w:rPr>
              <w:t>Texas</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8,603,489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708,200</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6,751,845</w:t>
            </w: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16,063,534</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Utah</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710,357</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1,615,741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2,326,098</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Virginia</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3,689,066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566,703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1,365,607</w:t>
            </w: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5,621,376</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Washington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590,030</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57,390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846,098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1,493,518</w:t>
            </w:r>
          </w:p>
        </w:tc>
      </w:tr>
      <w:tr>
        <w:trPr>
          <w:trHeight w:val="223"/>
        </w:trPr>
        <w:tc>
          <w:tcPr>
            <w:tcW w:w="2400" w:type="dxa"/>
            <w:vAlign w:val="bottom"/>
          </w:tcPr>
          <w:p>
            <w:pPr>
              <w:ind w:left="20"/>
              <w:spacing w:after="0"/>
              <w:rPr>
                <w:sz w:val="20"/>
                <w:szCs w:val="20"/>
                <w:color w:val="auto"/>
              </w:rPr>
            </w:pPr>
            <w:r>
              <w:rPr>
                <w:rFonts w:ascii="Arial" w:cs="Arial" w:eastAsia="Arial" w:hAnsi="Arial"/>
                <w:sz w:val="16"/>
                <w:szCs w:val="16"/>
                <w:color w:val="auto"/>
              </w:rPr>
              <w:t>Washington, DC</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100,039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103,766</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483,028</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686,833</w:t>
            </w: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Wisconsin</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520,845</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428,480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949,325</w:t>
            </w:r>
          </w:p>
        </w:tc>
      </w:tr>
      <w:tr>
        <w:trPr>
          <w:trHeight w:val="224"/>
        </w:trPr>
        <w:tc>
          <w:tcPr>
            <w:tcW w:w="2400" w:type="dxa"/>
            <w:vAlign w:val="bottom"/>
          </w:tcPr>
          <w:p>
            <w:pPr>
              <w:ind w:left="60"/>
              <w:spacing w:after="0"/>
              <w:rPr>
                <w:sz w:val="20"/>
                <w:szCs w:val="20"/>
                <w:color w:val="auto"/>
              </w:rPr>
            </w:pPr>
            <w:r>
              <w:rPr>
                <w:rFonts w:ascii="Arial" w:cs="Arial" w:eastAsia="Arial" w:hAnsi="Arial"/>
                <w:sz w:val="16"/>
                <w:szCs w:val="16"/>
                <w:color w:val="auto"/>
              </w:rPr>
              <w:t>Puerto Rico</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917,129</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917,129</w:t>
            </w:r>
          </w:p>
        </w:tc>
      </w:tr>
      <w:tr>
        <w:trPr>
          <w:trHeight w:val="33"/>
        </w:trPr>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933</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71,461,523</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18,668,890</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55,258,439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145,388,852</w:t>
            </w: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21"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color w:val="auto"/>
        </w:rPr>
        <w:t>(1) Includes six consolidated joint venture stores.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2020 and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Results for the three and six months ended June 30, 2020 included the operations of 1,178 stores (927 wholly-owned, six in consolidated joint ventures, and 245 in joint ventures accounted for using the equity method) compared to the results for the three and six months ended June 30, 2019, which included the operations of 1,157 stores (914 wholly-owned, four in consolidated joint ventures, and 239 in joint ventures accounted for using the equity method).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revenues earned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Six Months Ended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760" w:type="dxa"/>
            <w:vAlign w:val="bottom"/>
          </w:tcPr>
          <w:p>
            <w:pPr>
              <w:jc w:val="right"/>
              <w:ind w:right="2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r>
      <w:tr>
        <w:trPr>
          <w:trHeight w:val="236"/>
        </w:trPr>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820" w:type="dxa"/>
            <w:vAlign w:val="bottom"/>
          </w:tcPr>
          <w:p>
            <w:pPr>
              <w:ind w:left="340"/>
              <w:spacing w:after="0"/>
              <w:rPr>
                <w:sz w:val="20"/>
                <w:szCs w:val="20"/>
                <w:color w:val="auto"/>
              </w:rPr>
            </w:pPr>
            <w:r>
              <w:rPr>
                <w:rFonts w:ascii="Arial" w:cs="Arial" w:eastAsia="Arial" w:hAnsi="Arial"/>
                <w:sz w:val="18"/>
                <w:szCs w:val="18"/>
                <w:color w:val="auto"/>
              </w:rPr>
              <w:t>Property rental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279,312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61"/>
              <w:spacing w:after="0"/>
              <w:rPr>
                <w:sz w:val="20"/>
                <w:szCs w:val="20"/>
                <w:color w:val="auto"/>
              </w:rPr>
            </w:pPr>
            <w:r>
              <w:rPr>
                <w:rFonts w:ascii="Arial" w:cs="Arial" w:eastAsia="Arial" w:hAnsi="Arial"/>
                <w:sz w:val="16"/>
                <w:szCs w:val="16"/>
                <w:color w:val="auto"/>
                <w:w w:val="96"/>
              </w:rPr>
              <w:t>279,584</w:t>
            </w:r>
          </w:p>
        </w:tc>
        <w:tc>
          <w:tcPr>
            <w:tcW w:w="100" w:type="dxa"/>
            <w:vAlign w:val="bottom"/>
          </w:tcPr>
          <w:p>
            <w:pPr>
              <w:spacing w:after="0"/>
              <w:rPr>
                <w:sz w:val="21"/>
                <w:szCs w:val="21"/>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3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566,015</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w w:val="89"/>
              </w:rPr>
              <w:t>550,587</w:t>
            </w:r>
          </w:p>
        </w:tc>
        <w:tc>
          <w:tcPr>
            <w:tcW w:w="120" w:type="dxa"/>
            <w:vAlign w:val="bottom"/>
          </w:tcPr>
          <w:p>
            <w:pPr>
              <w:spacing w:after="0"/>
              <w:rPr>
                <w:sz w:val="21"/>
                <w:szCs w:val="21"/>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81"/>
              <w:spacing w:after="0"/>
              <w:rPr>
                <w:sz w:val="20"/>
                <w:szCs w:val="20"/>
                <w:color w:val="auto"/>
              </w:rPr>
            </w:pPr>
            <w:r>
              <w:rPr>
                <w:rFonts w:ascii="Arial" w:cs="Arial" w:eastAsia="Arial" w:hAnsi="Arial"/>
                <w:sz w:val="16"/>
                <w:szCs w:val="16"/>
                <w:color w:val="auto"/>
                <w:w w:val="98"/>
              </w:rPr>
              <w:t>15,428</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7"/>
        </w:trPr>
        <w:tc>
          <w:tcPr>
            <w:tcW w:w="2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35,078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31,701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68,691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7,193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9"/>
        </w:trPr>
        <w:tc>
          <w:tcPr>
            <w:tcW w:w="2820" w:type="dxa"/>
            <w:vAlign w:val="bottom"/>
          </w:tcPr>
          <w:p>
            <w:pPr>
              <w:ind w:left="380"/>
              <w:spacing w:after="0"/>
              <w:rPr>
                <w:sz w:val="20"/>
                <w:szCs w:val="20"/>
                <w:color w:val="auto"/>
              </w:rPr>
            </w:pPr>
            <w:r>
              <w:rPr>
                <w:rFonts w:ascii="Arial" w:cs="Arial" w:eastAsia="Arial" w:hAnsi="Arial"/>
                <w:sz w:val="18"/>
                <w:szCs w:val="18"/>
                <w:color w:val="auto"/>
              </w:rPr>
              <w:t>Management fees and other</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2820" w:type="dxa"/>
            <w:vAlign w:val="bottom"/>
          </w:tcPr>
          <w:p>
            <w:pPr>
              <w:ind w:left="380"/>
              <w:spacing w:after="0"/>
              <w:rPr>
                <w:sz w:val="20"/>
                <w:szCs w:val="20"/>
                <w:color w:val="auto"/>
              </w:rPr>
            </w:pPr>
            <w:r>
              <w:rPr>
                <w:rFonts w:ascii="Arial" w:cs="Arial" w:eastAsia="Arial" w:hAnsi="Arial"/>
                <w:sz w:val="18"/>
                <w:szCs w:val="18"/>
                <w:color w:val="auto"/>
              </w:rPr>
              <w:t>income</w:t>
            </w:r>
          </w:p>
        </w:tc>
        <w:tc>
          <w:tcPr>
            <w:tcW w:w="120" w:type="dxa"/>
            <w:vAlign w:val="bottom"/>
          </w:tcPr>
          <w:p>
            <w:pPr>
              <w:spacing w:after="0"/>
              <w:rPr>
                <w:sz w:val="20"/>
                <w:szCs w:val="20"/>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12,856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12,317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61"/>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24,992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23,063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7"/>
        </w:trPr>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327,246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6"/>
              </w:rPr>
              <w:t>323,602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3,644</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659,698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635,148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98"/>
              </w:rPr>
              <w:t>24,550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decrease in property rental revenues for the three months ended June 30, 2020 was primarily the result of an increase of $7,496</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store acquisitions completed in 2020 and 2019 which was offset by a decrease of $8,420 related to decreases in rental rates and other fee income at our stabilized stores. We acquired two wholly-owned stores and added one leased property during the six months ended June 30, 2020. We acquired 21 stores and added 27 leased properties (as part of a new net lease agreement) during the year ended December 31, 2019. The increase in property rental revenues for the six months ended June 30, 2020 was due to increases of $17,150 attributable to store acquisitions completed in 2020 and 2019 and $1,892 attributable to revenue increases at our lease-up stores. These increases were offset by a decrease of $3,386 related to decreases in rental rates and other fee income at our stabilized stores.</w:t>
      </w:r>
    </w:p>
    <w:p>
      <w:pPr>
        <w:spacing w:after="0" w:line="19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The increase in our tenant reinsurance revenues was due primarily to an increase in the number of stores operated. We operated</w:t>
      </w:r>
      <w:r>
        <w:rPr>
          <w:rFonts w:ascii="Arial" w:cs="Arial" w:eastAsia="Arial" w:hAnsi="Arial"/>
          <w:sz w:val="18"/>
          <w:szCs w:val="18"/>
          <w:b w:val="1"/>
          <w:bCs w:val="1"/>
          <w:color w:val="auto"/>
        </w:rPr>
        <w:t xml:space="preserve"> </w:t>
      </w:r>
      <w:r>
        <w:rPr>
          <w:rFonts w:ascii="Arial" w:cs="Arial" w:eastAsia="Arial" w:hAnsi="Arial"/>
          <w:sz w:val="18"/>
          <w:szCs w:val="18"/>
          <w:color w:val="auto"/>
        </w:rPr>
        <w:t>1,878 stores at June 30, 2020 compared to 1,752 stores at June 30, 2019.</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Management Fees and Other Income—</w:t>
      </w:r>
      <w:r>
        <w:rPr>
          <w:rFonts w:ascii="Arial" w:cs="Arial" w:eastAsia="Arial" w:hAnsi="Arial"/>
          <w:sz w:val="18"/>
          <w:szCs w:val="18"/>
          <w:color w:val="auto"/>
        </w:rPr>
        <w:t>Management fees and other income primarily represent the fee collected for our management of stores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and unconsolidated joint ventures and other transaction fee income. The increase for the three and six months ended June 30, 2020 was primarily due to an increase in the number of stores managed. As of June 30, 2020, we managed 951 stores for joint ventures and third parties, compared to 838 stores as of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expenses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7"/>
          </w:tcPr>
          <w:p>
            <w:pPr>
              <w:ind w:left="40"/>
              <w:spacing w:after="0"/>
              <w:rPr>
                <w:sz w:val="20"/>
                <w:szCs w:val="20"/>
                <w:color w:val="auto"/>
              </w:rPr>
            </w:pPr>
            <w:r>
              <w:rPr>
                <w:rFonts w:ascii="Arial" w:cs="Arial" w:eastAsia="Arial" w:hAnsi="Arial"/>
                <w:sz w:val="14"/>
                <w:szCs w:val="14"/>
                <w:b w:val="1"/>
                <w:bCs w:val="1"/>
                <w:color w:val="auto"/>
                <w:w w:val="98"/>
              </w:rPr>
              <w:t>For the Six Months Ended June</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2"/>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r>
      <w:tr>
        <w:trPr>
          <w:trHeight w:val="236"/>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880" w:type="dxa"/>
            <w:vAlign w:val="bottom"/>
          </w:tcPr>
          <w:p>
            <w:pPr>
              <w:ind w:left="340"/>
              <w:spacing w:after="0"/>
              <w:rPr>
                <w:sz w:val="20"/>
                <w:szCs w:val="20"/>
                <w:color w:val="auto"/>
              </w:rPr>
            </w:pPr>
            <w:r>
              <w:rPr>
                <w:rFonts w:ascii="Arial" w:cs="Arial" w:eastAsia="Arial" w:hAnsi="Arial"/>
                <w:sz w:val="18"/>
                <w:szCs w:val="18"/>
                <w:color w:val="auto"/>
              </w:rPr>
              <w:t>Property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89,040</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80,870</w:t>
            </w:r>
          </w:p>
        </w:tc>
        <w:tc>
          <w:tcPr>
            <w:tcW w:w="120" w:type="dxa"/>
            <w:vAlign w:val="bottom"/>
          </w:tcPr>
          <w:p>
            <w:pPr>
              <w:spacing w:after="0"/>
              <w:rPr>
                <w:sz w:val="21"/>
                <w:szCs w:val="21"/>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8,170</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179,337</w:t>
            </w: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159,635</w:t>
            </w:r>
          </w:p>
        </w:tc>
        <w:tc>
          <w:tcPr>
            <w:tcW w:w="120" w:type="dxa"/>
            <w:vAlign w:val="bottom"/>
          </w:tcPr>
          <w:p>
            <w:pPr>
              <w:spacing w:after="0"/>
              <w:rPr>
                <w:sz w:val="21"/>
                <w:szCs w:val="21"/>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81"/>
              <w:spacing w:after="0"/>
              <w:rPr>
                <w:sz w:val="20"/>
                <w:szCs w:val="20"/>
                <w:color w:val="auto"/>
              </w:rPr>
            </w:pPr>
            <w:r>
              <w:rPr>
                <w:rFonts w:ascii="Arial" w:cs="Arial" w:eastAsia="Arial" w:hAnsi="Arial"/>
                <w:sz w:val="16"/>
                <w:szCs w:val="16"/>
                <w:color w:val="auto"/>
              </w:rPr>
              <w:t>19,702</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Tenant reinsurance</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6,858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6,982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43"/>
        </w:trPr>
        <w:tc>
          <w:tcPr>
            <w:tcW w:w="28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25,337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23,351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48,348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61"/>
              <w:spacing w:after="0"/>
              <w:rPr>
                <w:sz w:val="20"/>
                <w:szCs w:val="20"/>
                <w:color w:val="auto"/>
              </w:rPr>
            </w:pPr>
            <w:r>
              <w:rPr>
                <w:rFonts w:ascii="Arial" w:cs="Arial" w:eastAsia="Arial" w:hAnsi="Arial"/>
                <w:sz w:val="16"/>
                <w:szCs w:val="16"/>
                <w:color w:val="auto"/>
              </w:rPr>
              <w:t>46,029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56,018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54,406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1,612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111,293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109,065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2,228</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288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177,253</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3"/>
              </w:rPr>
              <w:t>165,609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3"/>
              </w:rPr>
              <w:t>11,644</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6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352,514</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328,678</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23,836</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7"/>
        </w:trPr>
        <w:tc>
          <w:tcPr>
            <w:tcW w:w="2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Property Operations—</w:t>
      </w:r>
      <w:r>
        <w:rPr>
          <w:rFonts w:ascii="Arial" w:cs="Arial" w:eastAsia="Arial" w:hAnsi="Arial"/>
          <w:sz w:val="17"/>
          <w:szCs w:val="17"/>
          <w:color w:val="auto"/>
        </w:rPr>
        <w:t>The increase in property operations expense during the three and six months ended June 30, 2020 was due primarily to increases of</w:t>
      </w:r>
      <w:r>
        <w:rPr>
          <w:rFonts w:ascii="Arial" w:cs="Arial" w:eastAsia="Arial" w:hAnsi="Arial"/>
          <w:sz w:val="17"/>
          <w:szCs w:val="17"/>
          <w:b w:val="1"/>
          <w:bCs w:val="1"/>
          <w:color w:val="auto"/>
        </w:rPr>
        <w:t xml:space="preserve"> </w:t>
      </w:r>
      <w:r>
        <w:rPr>
          <w:rFonts w:ascii="Arial" w:cs="Arial" w:eastAsia="Arial" w:hAnsi="Arial"/>
          <w:sz w:val="17"/>
          <w:szCs w:val="17"/>
          <w:color w:val="auto"/>
        </w:rPr>
        <w:t>$6,817 and $15,793, respectively, attributable to store acquisitions completed in 2020 and 2019. We acquired two wholly-owned stores and added one leased store during the six months ended June 30, 2020. We acquired 21 stores and added 27 leased properties (as part of a new net lease agreement) during the year ended December 31, 2019. Additional increases of $1,210 and $3,584 for the three and six months ended June 30, 2020, respectively were related to an increase in expenses from property taxes, payroll and benefits, and marketing at our stabilized stores.</w:t>
      </w:r>
    </w:p>
    <w:p>
      <w:pPr>
        <w:spacing w:after="0" w:line="19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Tenant Reinsurance—</w:t>
      </w:r>
      <w:r>
        <w:rPr>
          <w:rFonts w:ascii="Arial" w:cs="Arial" w:eastAsia="Arial" w:hAnsi="Arial"/>
          <w:sz w:val="18"/>
          <w:szCs w:val="18"/>
          <w:color w:val="auto"/>
        </w:rPr>
        <w:t>Tenant reinsurance expense represents the costs that are incurred to provide tenant reinsurance. The decrease in tenant reinsurance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the three and six months ended June 30, 2020 was due primarily to a reduction in the number of claims as well as a decrease in the overall average payout on individual claims when compared to the three and six months ended June 30, 2019.</w:t>
      </w:r>
    </w:p>
    <w:p>
      <w:pPr>
        <w:spacing w:after="0" w:line="203"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General and Administrative—</w:t>
      </w:r>
      <w:r>
        <w:rPr>
          <w:rFonts w:ascii="Arial" w:cs="Arial" w:eastAsia="Arial" w:hAnsi="Arial"/>
          <w:sz w:val="16"/>
          <w:szCs w:val="16"/>
          <w:color w:val="auto"/>
        </w:rPr>
        <w:t>General and administrative expenses primarily include all expenses not directly related to our stores, including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payroll, office expense, office rent, travel and professional fees. During the three months ended June 30, 2020, we recorded an additional $1,823 in compensation expense as a result of modifications to the terms of the stock-based awards related to the retirement of an executive in June 2020. We did not observe any other material trends in specific payroll, travel or other expenses apart from the increase due to the management of additional stores.</w:t>
      </w:r>
    </w:p>
    <w:p>
      <w:pPr>
        <w:spacing w:after="0" w:line="17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Depreciation and Amortization—</w:t>
      </w:r>
      <w:r>
        <w:rPr>
          <w:rFonts w:ascii="Arial" w:cs="Arial" w:eastAsia="Arial" w:hAnsi="Arial"/>
          <w:sz w:val="18"/>
          <w:szCs w:val="18"/>
          <w:color w:val="auto"/>
        </w:rPr>
        <w:t>Depreciation and amortization expense increased as a result of the acquisition of new stores. We acquired two stores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six months ended June 30, 2020. We acquired 21 stores during the year ended December 31,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Revenues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other revenues and expenses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For the Six Months Ended June</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92"/>
        </w:trPr>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7"/>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6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7"/>
                <w:szCs w:val="17"/>
                <w:color w:val="auto"/>
              </w:rPr>
            </w:pPr>
          </w:p>
        </w:tc>
      </w:tr>
      <w:tr>
        <w:trPr>
          <w:trHeight w:val="236"/>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(41,039)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(47,448)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(85,397)</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20"/>
        </w:trPr>
        <w:tc>
          <w:tcPr>
            <w:tcW w:w="2920" w:type="dxa"/>
            <w:vAlign w:val="bottom"/>
          </w:tcPr>
          <w:p>
            <w:pPr>
              <w:ind w:left="20"/>
              <w:spacing w:after="0"/>
              <w:rPr>
                <w:sz w:val="20"/>
                <w:szCs w:val="20"/>
                <w:color w:val="auto"/>
              </w:rPr>
            </w:pPr>
            <w:r>
              <w:rPr>
                <w:rFonts w:ascii="Arial" w:cs="Arial" w:eastAsia="Arial" w:hAnsi="Arial"/>
                <w:sz w:val="16"/>
                <w:szCs w:val="16"/>
                <w:color w:val="auto"/>
              </w:rPr>
              <w:t>Non-cash interest expense related to</w:t>
            </w:r>
          </w:p>
        </w:tc>
        <w:tc>
          <w:tcPr>
            <w:tcW w:w="120" w:type="dxa"/>
            <w:vAlign w:val="bottom"/>
          </w:tcPr>
          <w:p>
            <w:pPr>
              <w:spacing w:after="0"/>
              <w:rPr>
                <w:sz w:val="19"/>
                <w:szCs w:val="19"/>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(1,233)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20"/>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color w:val="auto"/>
              </w:rPr>
              <w:t>amortization of discount on equity</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color w:val="auto"/>
                <w:w w:val="98"/>
              </w:rPr>
              <w:t>component of exchangeable senior notes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1,669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1,718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0"/>
        </w:trPr>
        <w:tc>
          <w:tcPr>
            <w:tcW w:w="2920" w:type="dxa"/>
            <w:vAlign w:val="bottom"/>
          </w:tcPr>
          <w:p>
            <w:pPr>
              <w:ind w:left="20"/>
              <w:spacing w:after="0"/>
              <w:rPr>
                <w:sz w:val="20"/>
                <w:szCs w:val="20"/>
                <w:color w:val="auto"/>
              </w:rPr>
            </w:pPr>
            <w:r>
              <w:rPr>
                <w:rFonts w:ascii="Arial" w:cs="Arial" w:eastAsia="Arial" w:hAnsi="Arial"/>
                <w:sz w:val="16"/>
                <w:szCs w:val="16"/>
                <w:color w:val="auto"/>
              </w:rPr>
              <w:t>Equity in earnings and dividend income</w:t>
            </w:r>
          </w:p>
        </w:tc>
        <w:tc>
          <w:tcPr>
            <w:tcW w:w="120" w:type="dxa"/>
            <w:vAlign w:val="bottom"/>
          </w:tcPr>
          <w:p>
            <w:pPr>
              <w:spacing w:after="0"/>
              <w:rPr>
                <w:sz w:val="19"/>
                <w:szCs w:val="19"/>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5,044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3,121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ind w:right="80"/>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5,751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4,336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color w:val="auto"/>
              </w:rPr>
              <w:t>from unconsolidated real estate entities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3"/>
        </w:trPr>
        <w:tc>
          <w:tcPr>
            <w:tcW w:w="2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(5,356)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17"/>
        </w:trPr>
        <w:tc>
          <w:tcPr>
            <w:tcW w:w="29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(38,736)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7"/>
              </w:rPr>
              <w:t>(45,304)</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6,568</w:t>
            </w:r>
          </w:p>
        </w:tc>
        <w:tc>
          <w:tcPr>
            <w:tcW w:w="10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(79,765)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(91,621)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3"/>
              </w:rPr>
              <w:t>11,856</w:t>
            </w:r>
          </w:p>
        </w:tc>
        <w:tc>
          <w:tcPr>
            <w:tcW w:w="10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(12.9) %</w:t>
            </w:r>
          </w:p>
        </w:tc>
      </w:tr>
      <w:tr>
        <w:trPr>
          <w:trHeight w:val="33"/>
        </w:trPr>
        <w:tc>
          <w:tcPr>
            <w:tcW w:w="2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ind w:right="6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color w:val="auto"/>
        </w:rPr>
        <w:t>The decrease in interest expense during the three and six months ended June 30, 2020 was primarily the result of a lower average</w:t>
      </w:r>
      <w:r>
        <w:rPr>
          <w:rFonts w:ascii="Arial" w:cs="Arial" w:eastAsia="Arial" w:hAnsi="Arial"/>
          <w:sz w:val="18"/>
          <w:szCs w:val="18"/>
          <w:b w:val="1"/>
          <w:bCs w:val="1"/>
          <w:color w:val="auto"/>
        </w:rPr>
        <w:t xml:space="preserve"> </w:t>
      </w:r>
      <w:r>
        <w:rPr>
          <w:rFonts w:ascii="Arial" w:cs="Arial" w:eastAsia="Arial" w:hAnsi="Arial"/>
          <w:sz w:val="18"/>
          <w:szCs w:val="18"/>
          <w:color w:val="auto"/>
        </w:rPr>
        <w:t>variable interest rates compared to the same period in the prior year. The average variable interest rate for the three months ended June 30, 2020 was 1.7%, compared to an average variable interest rate of 3.7% for the three months ended June 30, 2019.</w:t>
      </w:r>
    </w:p>
    <w:p>
      <w:pPr>
        <w:spacing w:after="0" w:line="20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Non-cash Interest Expense Related to Amortization of Discount on Equity Component of Exchangeable Senior Notes—</w:t>
      </w:r>
      <w:r>
        <w:rPr>
          <w:rFonts w:ascii="Arial" w:cs="Arial" w:eastAsia="Arial" w:hAnsi="Arial"/>
          <w:sz w:val="18"/>
          <w:szCs w:val="18"/>
          <w:color w:val="auto"/>
        </w:rPr>
        <w:t>Represents the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discounts related to the equity components of the exchangeable senior notes issued by our Operating Partnership. The 2015 Notes had an effective interest rate of 4.0% relative to the carrying amount of the liability.</w:t>
      </w:r>
    </w:p>
    <w:p>
      <w:pPr>
        <w:spacing w:after="0" w:line="20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Interest Income—</w:t>
      </w:r>
      <w:r>
        <w:rPr>
          <w:rFonts w:ascii="Arial" w:cs="Arial" w:eastAsia="Arial" w:hAnsi="Arial"/>
          <w:sz w:val="18"/>
          <w:szCs w:val="18"/>
          <w:color w:val="auto"/>
        </w:rPr>
        <w:t>Interest income represents amounts earned on cash and cash equivalents deposited with financial institutions, interest earned on bridge</w:t>
      </w:r>
      <w:r>
        <w:rPr>
          <w:rFonts w:ascii="Arial" w:cs="Arial" w:eastAsia="Arial" w:hAnsi="Arial"/>
          <w:sz w:val="18"/>
          <w:szCs w:val="18"/>
          <w:b w:val="1"/>
          <w:bCs w:val="1"/>
          <w:color w:val="auto"/>
        </w:rPr>
        <w:t xml:space="preserve"> </w:t>
      </w:r>
      <w:r>
        <w:rPr>
          <w:rFonts w:ascii="Arial" w:cs="Arial" w:eastAsia="Arial" w:hAnsi="Arial"/>
          <w:sz w:val="18"/>
          <w:szCs w:val="18"/>
          <w:color w:val="auto"/>
        </w:rPr>
        <w:t>loans and income earned on notes receivable from Common and Preferred Operating Partnership unit holders. The increase in interest income during the six months ended June 30, 2020 was primarily the result of higher average balances for bridge loans receivable. During the six months ended June 30, 2020, issued $26,050 principal in new bridge loans. The decrease for the three months ended June 30, 2020 was primarily the result of lower interest rates on these variable-rate bridge loans.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Equity in Earnings and Dividend Income from Unconsolidated Real Estate Entities—</w:t>
      </w:r>
      <w:r>
        <w:rPr>
          <w:rFonts w:ascii="Arial" w:cs="Arial" w:eastAsia="Arial" w:hAnsi="Arial"/>
          <w:sz w:val="18"/>
          <w:szCs w:val="18"/>
          <w:color w:val="auto"/>
        </w:rPr>
        <w:t>Equity in earnings of unconsolidated real estate entities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The increase for the three and six months ended June 30, 2020 related primarily to the dividend income related to the SmartStop preferred stock.</w:t>
      </w:r>
    </w:p>
    <w:p>
      <w:pPr>
        <w:spacing w:after="0" w:line="21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Income Tax Expense</w:t>
      </w:r>
      <w:r>
        <w:rPr>
          <w:rFonts w:ascii="Arial" w:cs="Arial" w:eastAsia="Arial" w:hAnsi="Arial"/>
          <w:sz w:val="18"/>
          <w:szCs w:val="18"/>
          <w:color w:val="auto"/>
        </w:rPr>
        <w:t>—For the three and six months ended June 30, 2020, the increase in income tax expense was the result of an increase in income</w:t>
      </w:r>
      <w:r>
        <w:rPr>
          <w:rFonts w:ascii="Arial" w:cs="Arial" w:eastAsia="Arial" w:hAnsi="Arial"/>
          <w:sz w:val="18"/>
          <w:szCs w:val="18"/>
          <w:b w:val="1"/>
          <w:bCs w:val="1"/>
          <w:color w:val="auto"/>
        </w:rPr>
        <w:t xml:space="preserve"> </w:t>
      </w:r>
      <w:r>
        <w:rPr>
          <w:rFonts w:ascii="Arial" w:cs="Arial" w:eastAsia="Arial" w:hAnsi="Arial"/>
          <w:sz w:val="18"/>
          <w:szCs w:val="18"/>
          <w:color w:val="auto"/>
        </w:rPr>
        <w:t>earned by our taxable REIT subsidiary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25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presents the calculation of FFO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For the Three Months Ended June 30,</w:t>
            </w:r>
          </w:p>
        </w:tc>
        <w:tc>
          <w:tcPr>
            <w:tcW w:w="100" w:type="dxa"/>
            <w:vAlign w:val="bottom"/>
          </w:tcPr>
          <w:p>
            <w:pPr>
              <w:spacing w:after="0"/>
              <w:rPr>
                <w:sz w:val="16"/>
                <w:szCs w:val="16"/>
                <w:color w:val="auto"/>
              </w:rPr>
            </w:pPr>
          </w:p>
        </w:tc>
        <w:tc>
          <w:tcPr>
            <w:tcW w:w="22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96"/>
        </w:trPr>
        <w:tc>
          <w:tcPr>
            <w:tcW w:w="6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102,911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104,828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211,090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199,598</w:t>
            </w:r>
          </w:p>
        </w:tc>
      </w:tr>
      <w:tr>
        <w:trPr>
          <w:trHeight w:val="256"/>
        </w:trPr>
        <w:tc>
          <w:tcPr>
            <w:tcW w:w="6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Real estate depreciation</w:t>
            </w: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53,367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51,144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106,293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101,917</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4,097</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Gain on real estate transactions</w:t>
            </w:r>
          </w:p>
        </w:tc>
        <w:tc>
          <w:tcPr>
            <w:tcW w:w="26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(1,205)</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Unconsolidated joint venture real estate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3,784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Distributions paid on Series A Preferred Operating Partnership units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(1,144)</w:t>
            </w:r>
          </w:p>
        </w:tc>
      </w:tr>
      <w:tr>
        <w:trPr>
          <w:trHeight w:val="27"/>
        </w:trPr>
        <w:tc>
          <w:tcPr>
            <w:tcW w:w="6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allocated to Operating Partnership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16,329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15,251</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w w:val="94"/>
              </w:rPr>
              <w:t>Funds from operations attributable to common stockholders and unit holders</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166,814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165,777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338,111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322,298</w:t>
            </w:r>
          </w:p>
        </w:tc>
      </w:tr>
      <w:tr>
        <w:trPr>
          <w:trHeight w:val="21"/>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SAME-STORE RESULTS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same-store pool for the periods presented consists of 863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For the Three Months Ended</w:t>
            </w: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2160" w:type="dxa"/>
            <w:vAlign w:val="bottom"/>
            <w:gridSpan w:val="7"/>
          </w:tcPr>
          <w:p>
            <w:pPr>
              <w:ind w:left="40"/>
              <w:spacing w:after="0" w:line="155" w:lineRule="exact"/>
              <w:rPr>
                <w:sz w:val="20"/>
                <w:szCs w:val="20"/>
                <w:color w:val="auto"/>
              </w:rPr>
            </w:pPr>
            <w:r>
              <w:rPr>
                <w:rFonts w:ascii="Arial" w:cs="Arial" w:eastAsia="Arial" w:hAnsi="Arial"/>
                <w:sz w:val="14"/>
                <w:szCs w:val="14"/>
                <w:b w:val="1"/>
                <w:bCs w:val="1"/>
                <w:color w:val="auto"/>
              </w:rPr>
              <w:t>For the Six Months Ended June</w:t>
            </w:r>
          </w:p>
        </w:tc>
        <w:tc>
          <w:tcPr>
            <w:tcW w:w="11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rental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262,690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89"/>
              </w:rPr>
              <w:t>271,178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532,752</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536,083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740" w:type="dxa"/>
            <w:vAlign w:val="bottom"/>
          </w:tcPr>
          <w:p>
            <w:pPr>
              <w:ind w:left="180"/>
              <w:spacing w:after="0"/>
              <w:rPr>
                <w:sz w:val="20"/>
                <w:szCs w:val="20"/>
                <w:color w:val="auto"/>
              </w:rPr>
            </w:pPr>
            <w:r>
              <w:rPr>
                <w:rFonts w:ascii="Arial" w:cs="Arial" w:eastAsia="Arial" w:hAnsi="Arial"/>
                <w:sz w:val="18"/>
                <w:szCs w:val="18"/>
                <w:color w:val="auto"/>
              </w:rPr>
              <w:t>Same-store operating expenses</w:t>
            </w:r>
          </w:p>
        </w:tc>
        <w:tc>
          <w:tcPr>
            <w:tcW w:w="12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77,162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76,633</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155,565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152,132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Same-store net operating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185,528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89"/>
              </w:rPr>
              <w:t>194,545</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377,187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383,951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40" w:type="dxa"/>
            <w:vAlign w:val="bottom"/>
          </w:tcPr>
          <w:p>
            <w:pPr>
              <w:ind w:left="180"/>
              <w:spacing w:after="0"/>
              <w:rPr>
                <w:sz w:val="20"/>
                <w:szCs w:val="20"/>
                <w:color w:val="auto"/>
              </w:rPr>
            </w:pPr>
            <w:r>
              <w:rPr>
                <w:rFonts w:ascii="Arial" w:cs="Arial" w:eastAsia="Arial" w:hAnsi="Arial"/>
                <w:sz w:val="18"/>
                <w:szCs w:val="18"/>
                <w:color w:val="auto"/>
              </w:rPr>
              <w:t>Same-store square foot occupancy as of quarter end</w:t>
            </w:r>
          </w:p>
        </w:tc>
        <w:tc>
          <w:tcPr>
            <w:tcW w:w="120" w:type="dxa"/>
            <w:vAlign w:val="bottom"/>
          </w:tcPr>
          <w:p>
            <w:pPr>
              <w:spacing w:after="0"/>
              <w:rPr>
                <w:sz w:val="18"/>
                <w:szCs w:val="18"/>
                <w:color w:val="auto"/>
              </w:rPr>
            </w:pPr>
          </w:p>
        </w:tc>
        <w:tc>
          <w:tcPr>
            <w:tcW w:w="840" w:type="dxa"/>
            <w:vAlign w:val="bottom"/>
          </w:tcPr>
          <w:p>
            <w:pPr>
              <w:jc w:val="center"/>
              <w:ind w:right="37"/>
              <w:spacing w:after="0"/>
              <w:rPr>
                <w:sz w:val="20"/>
                <w:szCs w:val="20"/>
                <w:color w:val="auto"/>
              </w:rPr>
            </w:pPr>
            <w:r>
              <w:rPr>
                <w:rFonts w:ascii="Arial" w:cs="Arial" w:eastAsia="Arial" w:hAnsi="Arial"/>
                <w:sz w:val="18"/>
                <w:szCs w:val="18"/>
                <w:color w:val="auto"/>
                <w:w w:val="93"/>
              </w:rPr>
              <w:t>94.5%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ind w:right="133"/>
              <w:spacing w:after="0"/>
              <w:rPr>
                <w:sz w:val="20"/>
                <w:szCs w:val="20"/>
                <w:color w:val="auto"/>
              </w:rPr>
            </w:pPr>
            <w:r>
              <w:rPr>
                <w:rFonts w:ascii="Arial" w:cs="Arial" w:eastAsia="Arial" w:hAnsi="Arial"/>
                <w:sz w:val="18"/>
                <w:szCs w:val="18"/>
                <w:color w:val="auto"/>
                <w:w w:val="93"/>
              </w:rPr>
              <w:t>93.5%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93"/>
              <w:spacing w:after="0"/>
              <w:rPr>
                <w:sz w:val="20"/>
                <w:szCs w:val="20"/>
                <w:color w:val="auto"/>
              </w:rPr>
            </w:pPr>
            <w:r>
              <w:rPr>
                <w:rFonts w:ascii="Arial" w:cs="Arial" w:eastAsia="Arial" w:hAnsi="Arial"/>
                <w:sz w:val="18"/>
                <w:szCs w:val="18"/>
                <w:color w:val="auto"/>
                <w:w w:val="90"/>
              </w:rPr>
              <w:t>93.5%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Properties included in same-store</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center"/>
              <w:ind w:right="37"/>
              <w:spacing w:after="0"/>
              <w:rPr>
                <w:sz w:val="20"/>
                <w:szCs w:val="20"/>
                <w:color w:val="auto"/>
              </w:rPr>
            </w:pPr>
            <w:r>
              <w:rPr>
                <w:rFonts w:ascii="Arial" w:cs="Arial" w:eastAsia="Arial" w:hAnsi="Arial"/>
                <w:sz w:val="18"/>
                <w:szCs w:val="18"/>
                <w:color w:val="auto"/>
                <w:w w:val="93"/>
              </w:rPr>
              <w:t>863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3"/>
              </w:rPr>
              <w:t>863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863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86"/>
              </w:rPr>
              <w:t>863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Same-store revenues for the three and six months ended June 30, 2020 decreased due to lower net rental rates for customers, lower late fees collected and higher bad debt expense related to non-paying tenants. Same-store expenses were higher for the three months ended June 30, 2020 primarily due to increases in payroll and property taxes. Same-store expenses were higher for the six months ended June 30, 2020 primarily due to increases in payroll, marketing expenses and property taxes. Expenses in both periods were partially offset by reduced utilities and auction fees.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ind w:right="220"/>
        <w:spacing w:after="0" w:line="276" w:lineRule="auto"/>
        <w:rPr>
          <w:sz w:val="20"/>
          <w:szCs w:val="20"/>
          <w:color w:val="auto"/>
        </w:rPr>
      </w:pPr>
      <w:r>
        <w:rPr>
          <w:rFonts w:ascii="Arial" w:cs="Arial" w:eastAsia="Arial" w:hAnsi="Arial"/>
          <w:sz w:val="18"/>
          <w:szCs w:val="18"/>
          <w:color w:val="auto"/>
        </w:rPr>
        <w:t>The following table presents a reconciliation of same-store net operating income to net income as presented on our condensed consolidated statements of operations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June 30,</w:t>
            </w:r>
          </w:p>
        </w:tc>
        <w:tc>
          <w:tcPr>
            <w:tcW w:w="120" w:type="dxa"/>
            <w:vAlign w:val="bottom"/>
          </w:tcPr>
          <w:p>
            <w:pPr>
              <w:spacing w:after="0"/>
              <w:rPr>
                <w:sz w:val="16"/>
                <w:szCs w:val="16"/>
                <w:color w:val="auto"/>
              </w:rPr>
            </w:pPr>
          </w:p>
        </w:tc>
        <w:tc>
          <w:tcPr>
            <w:tcW w:w="232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For the Six Months Ended June 30,</w:t>
            </w:r>
          </w:p>
        </w:tc>
      </w:tr>
      <w:tr>
        <w:trPr>
          <w:trHeight w:val="196"/>
        </w:trPr>
        <w:tc>
          <w:tcPr>
            <w:tcW w:w="6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111,257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227,419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214,849</w:t>
            </w:r>
          </w:p>
        </w:tc>
      </w:tr>
      <w:tr>
        <w:trPr>
          <w:trHeight w:val="243"/>
        </w:trPr>
        <w:tc>
          <w:tcPr>
            <w:tcW w:w="6100" w:type="dxa"/>
            <w:vAlign w:val="bottom"/>
          </w:tcPr>
          <w:p>
            <w:pPr>
              <w:ind w:left="120"/>
              <w:spacing w:after="0"/>
              <w:rPr>
                <w:sz w:val="20"/>
                <w:szCs w:val="20"/>
                <w:color w:val="auto"/>
              </w:rPr>
            </w:pPr>
            <w:r>
              <w:rPr>
                <w:rFonts w:ascii="Arial" w:cs="Arial" w:eastAsia="Arial" w:hAnsi="Arial"/>
                <w:sz w:val="18"/>
                <w:szCs w:val="18"/>
                <w:color w:val="auto"/>
              </w:rPr>
              <w:t>Adjusted to exclude:</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Gain on real estate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Equity in earnings of unconsolidated joint ventures</w:t>
            </w:r>
          </w:p>
        </w:tc>
        <w:tc>
          <w:tcPr>
            <w:tcW w:w="1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(10,087)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(5,751)</w:t>
            </w: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42,272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87,839</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97,155</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56,018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54,406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111,293</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109,065</w:t>
            </w: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3,177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5,356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4,528</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25,337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23,351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48,348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46,029</w:t>
            </w: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fees, other income and 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(28,335)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(26,169)</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Net tenant insurance</w:t>
            </w:r>
          </w:p>
        </w:tc>
        <w:tc>
          <w:tcPr>
            <w:tcW w:w="1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(28,220)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(24,719)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(55,155)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(47,549)</w:t>
            </w:r>
          </w:p>
        </w:tc>
      </w:tr>
      <w:tr>
        <w:trPr>
          <w:trHeight w:val="27"/>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Non-same store rental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(33,263)</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(14,504)</w:t>
            </w:r>
          </w:p>
        </w:tc>
      </w:tr>
      <w:tr>
        <w:trPr>
          <w:trHeight w:val="243"/>
        </w:trPr>
        <w:tc>
          <w:tcPr>
            <w:tcW w:w="6100" w:type="dxa"/>
            <w:vAlign w:val="bottom"/>
          </w:tcPr>
          <w:p>
            <w:pPr>
              <w:ind w:left="220"/>
              <w:spacing w:after="0"/>
              <w:rPr>
                <w:sz w:val="20"/>
                <w:szCs w:val="20"/>
                <w:color w:val="auto"/>
              </w:rPr>
            </w:pPr>
            <w:r>
              <w:rPr>
                <w:rFonts w:ascii="Arial" w:cs="Arial" w:eastAsia="Arial" w:hAnsi="Arial"/>
                <w:sz w:val="18"/>
                <w:szCs w:val="18"/>
                <w:color w:val="auto"/>
              </w:rPr>
              <w:t>Non-same store operating expense</w:t>
            </w:r>
          </w:p>
        </w:tc>
        <w:tc>
          <w:tcPr>
            <w:tcW w:w="1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11,878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4,237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23,772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7,503</w:t>
            </w:r>
          </w:p>
        </w:tc>
      </w:tr>
      <w:tr>
        <w:trPr>
          <w:trHeight w:val="27"/>
        </w:trPr>
        <w:tc>
          <w:tcPr>
            <w:tcW w:w="6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Same-store net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185,528</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194,545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377,187</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383,951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rental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262,690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532,752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536,083</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Same-store operating expenses</w:t>
            </w:r>
          </w:p>
        </w:tc>
        <w:tc>
          <w:tcPr>
            <w:tcW w:w="1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77,162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76,633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155,565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152,132</w:t>
            </w:r>
          </w:p>
        </w:tc>
      </w:tr>
      <w:tr>
        <w:trPr>
          <w:trHeight w:val="27"/>
        </w:trPr>
        <w:tc>
          <w:tcPr>
            <w:tcW w:w="6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Same-store net operating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185,528</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194,545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377,187</w:t>
            </w:r>
          </w:p>
        </w:tc>
        <w:tc>
          <w:tcPr>
            <w:tcW w:w="2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383,951</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flows from operating activities increased as a result of our continued revenue growth. This growth was due to an increase in the number of stores we own and operate.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For the Six Months Ended June 30,</w:t>
            </w:r>
          </w:p>
        </w:tc>
      </w:tr>
      <w:tr>
        <w:trPr>
          <w:trHeight w:val="196"/>
        </w:trPr>
        <w:tc>
          <w:tcPr>
            <w:tcW w:w="8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392,073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363,407</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(111,868)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(440,429)</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59,976</w:t>
            </w:r>
          </w:p>
        </w:tc>
      </w:tr>
      <w:tr>
        <w:trPr>
          <w:trHeight w:val="270"/>
        </w:trPr>
        <w:tc>
          <w:tcPr>
            <w:tcW w:w="8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Significant components of net cash flow included: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227,419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214,849</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Acquisition and development of real estate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(269,699)</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(152,599)</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8380" w:type="dxa"/>
            <w:vAlign w:val="bottom"/>
          </w:tcPr>
          <w:p>
            <w:pPr>
              <w:ind w:left="220"/>
              <w:spacing w:after="0"/>
              <w:rPr>
                <w:sz w:val="20"/>
                <w:szCs w:val="20"/>
                <w:color w:val="auto"/>
              </w:rPr>
            </w:pPr>
            <w:r>
              <w:rPr>
                <w:rFonts w:ascii="Arial" w:cs="Arial" w:eastAsia="Arial" w:hAnsi="Arial"/>
                <w:sz w:val="18"/>
                <w:szCs w:val="18"/>
                <w:color w:val="auto"/>
              </w:rPr>
              <w:t>Proceeds from the sale of common stock, net of offering costs</w:t>
            </w:r>
          </w:p>
        </w:tc>
        <w:tc>
          <w:tcPr>
            <w:tcW w:w="2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98,796</w:t>
            </w:r>
          </w:p>
        </w:tc>
      </w:tr>
      <w:tr>
        <w:trPr>
          <w:trHeight w:val="27"/>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 from debt financing</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27,311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201,702</w:t>
            </w:r>
          </w:p>
        </w:tc>
      </w:tr>
      <w:tr>
        <w:trPr>
          <w:trHeight w:val="27"/>
        </w:trPr>
        <w:tc>
          <w:tcPr>
            <w:tcW w:w="8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w:t>
      </w: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35" w:name="page36"/>
    <w:bookmarkEnd w:id="35"/>
    <w:p>
      <w:pPr>
        <w:ind w:right="280"/>
        <w:spacing w:after="0" w:line="277" w:lineRule="auto"/>
        <w:rPr>
          <w:sz w:val="20"/>
          <w:szCs w:val="20"/>
          <w:color w:val="auto"/>
        </w:rPr>
      </w:pPr>
      <w:r>
        <w:rPr>
          <w:rFonts w:ascii="Arial" w:cs="Arial" w:eastAsia="Arial" w:hAnsi="Arial"/>
          <w:sz w:val="18"/>
          <w:szCs w:val="18"/>
          <w:color w:val="auto"/>
        </w:rPr>
        <w:t>capital expenditures, acquisitions, redevelopments and expansions, distributions to unit holders and dividends to stockholders necessary to maintain our REIT qualification.</w:t>
      </w:r>
    </w:p>
    <w:p>
      <w:pPr>
        <w:spacing w:after="0" w:line="19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expect to generate positive cash flow from operations in 2020,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2020, we had $56,397 available in cash and cash equivalents. Our cash and cash equivalents are held in accounts managed by third party financial institutions and consist of invested cash and cash in our operating accounts. During 2020 and 2019, we experienced no loss or lack of access to our cash or cash equivalents; however, there can be no assurance that access to our cash and cash equivalents will not be impacted by adverse conditions in the financial markets.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2020, we had $5,103,812 face value of debt, resulting in a debt to total enterprise value ratio of 30.0%. As of June 30, 2020, the ratio of total fixed-rate debt and other instruments to total debt was 79.0% (including $2,328,715 on which we have interest rate swaps that have been included as fixed-rate debt). The weighted average interest rate of the total of fixed- and variable-rate debt at June 30, 2020 was 3.0%. Certain of our real estate assets are pledged as collateral for our debt. We are subject to certain restrictive covenants relating to our outstanding debt. We were in compliance with all financial covenants at June 30, 2020.</w:t>
      </w:r>
    </w:p>
    <w:p>
      <w:pPr>
        <w:spacing w:after="0" w:line="215" w:lineRule="exact"/>
        <w:rPr>
          <w:sz w:val="20"/>
          <w:szCs w:val="20"/>
          <w:color w:val="auto"/>
        </w:rPr>
      </w:pPr>
    </w:p>
    <w:p>
      <w:pPr>
        <w:ind w:right="500"/>
        <w:spacing w:after="0" w:line="311" w:lineRule="auto"/>
        <w:rPr>
          <w:sz w:val="20"/>
          <w:szCs w:val="20"/>
          <w:color w:val="auto"/>
        </w:rPr>
      </w:pPr>
      <w:r>
        <w:rPr>
          <w:rFonts w:ascii="Arial" w:cs="Arial" w:eastAsia="Arial" w:hAnsi="Arial"/>
          <w:sz w:val="16"/>
          <w:szCs w:val="16"/>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our highest level of occupancy has been at the end of July, while our lowest level of occupancy has been in late February and early March.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Results for any quarter may not be indicative of the results that may be achieved for the full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June 30, 2020, we had approximately $5.1 billion in total face value of debt, of which approximately $1.1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$10.7 million annually.</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7" w:name="page38"/>
    <w:bookmarkEnd w:id="37"/>
    <w:p>
      <w:pPr>
        <w:ind w:left="640" w:hanging="632"/>
        <w:spacing w:after="0"/>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417" w:right="5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2019, which could materially affect our business, financial condition and results of operations. There have been no material changes to the risk factors described in the “Risk Factors” section in our Annual Report on Form 10-K for the year ended December 31, 2019 other than previously disclosed in our Quarterly Report on Form 10-Q for the quarter ended March 31, 2020. The risks described in our Annual Report on Form 10-K and prior Quarterly Report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2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current COVID-19 pandemic, or the future outbreak of other highly infectious or contagious diseases, could materially and adversely affect our financial condition, operating results and cash flows.</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outbreak of COVID-19, which has rapidly spread to a growing number of countries, including the United States and the specific regions in which our stores are located, has created considerable instability and disruption in the U.S. and world economies. Considerable uncertainty still surrounds COVID-19 and its potential effects, as well as the extent of and effectiveness of any responses taken on a national and local level. However, measures taken to limit the impact of COVID-19, including “social distancing” and other restrictions on travel, congregation and business operations have already resulted in significant negative economic impacts. The long-term impact of COVID-19 on the U.S. and world economies remains uncertain, but is likely to result in a world-wide economic downturn, the duration and scope of which cannot currently be predicted. Our business has been impacted by COVID-19 in several ways, including reductions in new rentals and vacates due to stay-at-home orders and other restrictions, lower achieved rental rates from new customers, fewer existing customer rent increases, reduced late fee collection and impaired ability to hold auctions resulting in higher accounts receivable and bad debt. The extent to which our financial condition or reoperating results will continue to be affected by the COVID-19 pandemic will largely depend on future developments, which are highly uncertain and cannot be accurately predicted.</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operating results depend, in large part, on revenues derived from the demand for self-storage space. If the outbreak causes further weakness in national, regional and local economies that negatively impacts the demand for self-storage space, our financial condition, operating results and cash flows could be adversely impacted. The spread of COVID-19 could also result in further increases in unemployment, and customers that experience deteriorating financing conditions as a result of the pandemic may be unwilling or unable to pay rent on a timely basis, or at all. Additionally, certain states and cities, including where we own or operate stores, have reacted to the COVID-19 pandemic by instituting quarantines, restrictions on travel, “stay-at-home” orders and business shutdowns, which could result in the Company being required to close access at some stores to customers. Certain states have also put into effect state of emergency orders which may restrict our ability to increase rent or evict delinquent tenants. In addition, we typically conduct many aspects of our leasing activity on-site at our stores, as well as offer various ancillary products, including moving and packing supplies, and other services, such as</w:t>
      </w:r>
    </w:p>
    <w:p>
      <w:pPr>
        <w:spacing w:after="0" w:line="4"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tenant reinsurance. Accordingly, reductions in the ability and willingness of customers to visit our facilities due to the COVID-19 pandemic could reduce rental revenue and ancillary operating revenue produced by our facilities. Concerns relating to the COVID-19 pandemic could also cause our on-site personnel to avoid reporting for work at our facilities, which could adversely affect our ability to adequately manage our facilities. Such restrictions may reduce demand for self-storage facilities which could negatively impact occupancy and rental rates and therefore our results of operations and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Additionally, market fluctuations as a result of the COVID-19 pandemic may affect our ability to obtain necessary funds for our operations from current lenders or new borrowings. We may be unable to obtain financing for the acquisition of investments on satisfactory terms, or at all. In addition, moratoriums on construction and macro-economic factors may cause construction contractors to be unable to perform, which may delay the start or</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completion of certain development projects by us or our joint venture partners. Further, while we carry comprehensive property and casualty insurance along with other insurance policies that may provide some coverage for any losses or costs incurred in connection with the COVID-19 pandemic, given the novelty of the issue and the scale of losses incurred throughout the world, there can be no assurance that we will be able to recover all or any portion of our losses and costs under these policies. The occurrence of any of the foregoing events or any other related matters could have a material adverse effect on our business, financial condition, results of operations or cash flows.</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global impact of the COVID-19 pandemic continues to evolve rapidly, and the extent of its effect on our operational and financial performance will depend on future developments, which are highly uncertain and cannot be predicted with confidence, including the duration, scope and severity of the pandemic, the actions taken to contain or mitigate its impact, and the direct and indirect economic effects of the pandemic and related containment measures, among others. Accordingly, the COVID-19 pandemic presents material uncertainty and risk with respect to our financial condition, operating results and cash flows. Moreover, to the extent any of these risks and uncertainties adversely impact us in the ways described above or otherwise, they may also have the effect of heightening many of the other risks set forth in our Annual Report on Form 10-K for the year ended December 31, 2019. In addition, if in the future there is an outbreak of another highly infectious or contagious disease or other health concern, we and our properties may be subject to similar risks as posed by COVID-19.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 xml:space="preserve">During the three months ended June 30, 2020, we repurchased 172,600 shares of common stock for approximately $15.6 million under our stock repurchase program approved by our board of directors.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to the Condensed Consolidated Financial Statements contained in Part I, Item 1 of this report for additional details.</w:t>
      </w:r>
    </w:p>
    <w:p>
      <w:pPr>
        <w:spacing w:after="0" w:line="209"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following table presents information regarding repurchases by us of common stock during the three months ended June 30, 2020 under the stock repurchase program.</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Total Number of Shares</w:t>
            </w:r>
          </w:p>
        </w:tc>
        <w:tc>
          <w:tcPr>
            <w:tcW w:w="140" w:type="dxa"/>
            <w:vAlign w:val="bottom"/>
          </w:tcPr>
          <w:p>
            <w:pPr>
              <w:spacing w:after="0"/>
              <w:rPr>
                <w:sz w:val="14"/>
                <w:szCs w:val="14"/>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Maximum Dollar Value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 Number of</w:t>
            </w:r>
          </w:p>
        </w:tc>
        <w:tc>
          <w:tcPr>
            <w:tcW w:w="15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Average Price Paid</w:t>
            </w: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2"/>
              </w:rPr>
              <w:t>Purchased Under the Program</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 Purchase</w:t>
            </w:r>
          </w:p>
        </w:tc>
        <w:tc>
          <w:tcPr>
            <w:tcW w:w="2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Per Share</w:t>
            </w: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6"/>
                <w:szCs w:val="16"/>
                <w:color w:val="auto"/>
              </w:rPr>
            </w:pPr>
          </w:p>
        </w:tc>
        <w:tc>
          <w:tcPr>
            <w:tcW w:w="180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April 30, 2020</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347,796</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May 1 – May 31, 2020</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78"/>
              <w:spacing w:after="0"/>
              <w:rPr>
                <w:sz w:val="20"/>
                <w:szCs w:val="20"/>
                <w:color w:val="auto"/>
              </w:rPr>
            </w:pPr>
            <w:r>
              <w:rPr>
                <w:rFonts w:ascii="Arial" w:cs="Arial" w:eastAsia="Arial" w:hAnsi="Arial"/>
                <w:sz w:val="18"/>
                <w:szCs w:val="18"/>
                <w:color w:val="auto"/>
              </w:rPr>
              <w:t>347,796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 June 30,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172,600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172,600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332,181</w:t>
            </w: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172,600</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90.47</w:t>
            </w:r>
          </w:p>
        </w:tc>
        <w:tc>
          <w:tcPr>
            <w:tcW w:w="2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172,600</w:t>
            </w:r>
          </w:p>
        </w:tc>
        <w:tc>
          <w:tcPr>
            <w:tcW w:w="2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332,181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44">
        <w:r>
          <w:rPr>
            <w:rFonts w:ascii="Arial" w:cs="Arial" w:eastAsia="Arial" w:hAnsi="Arial"/>
            <w:sz w:val="18"/>
            <w:szCs w:val="18"/>
            <w:u w:val="single" w:color="auto"/>
            <w:color w:val="0000FF"/>
          </w:rPr>
          <w:t>Certification of Chief Executive Officer pursuant to Section 302 of the Sarbanes-Oxley Act of 2002.</w:t>
        </w:r>
      </w:hyperlink>
    </w:p>
    <w:p>
      <w:pPr>
        <w:spacing w:after="0" w:line="171" w:lineRule="exact"/>
        <w:rPr>
          <w:sz w:val="20"/>
          <w:szCs w:val="20"/>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45">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171" w:lineRule="exact"/>
        <w:rPr>
          <w:sz w:val="20"/>
          <w:szCs w:val="20"/>
          <w:color w:val="auto"/>
        </w:rPr>
      </w:pPr>
    </w:p>
    <w:p>
      <w:pPr>
        <w:ind w:left="740" w:hanging="566"/>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46">
        <w:r>
          <w:rPr>
            <w:rFonts w:ascii="Arial" w:cs="Arial" w:eastAsia="Arial" w:hAnsi="Arial"/>
            <w:sz w:val="18"/>
            <w:szCs w:val="18"/>
            <w:u w:val="single" w:color="auto"/>
            <w:color w:val="0000FF"/>
          </w:rPr>
          <w:t>Certifications of the Chief Executive Officer and Chief Financial Officer pursuant to 18 U.S.C. Section 1350, as adopted pursuant to Section 906 of</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FF"/>
          </w:rPr>
          <w:t>the Sarbanes-Oxley Act of 2002.</w:t>
        </w:r>
      </w:hyperlink>
    </w:p>
    <w:p>
      <w:pPr>
        <w:spacing w:after="0" w:line="116" w:lineRule="exact"/>
        <w:rPr>
          <w:sz w:val="20"/>
          <w:szCs w:val="20"/>
          <w:color w:val="auto"/>
        </w:rPr>
      </w:pPr>
    </w:p>
    <w:p>
      <w:pPr>
        <w:ind w:left="740" w:right="60" w:hanging="570"/>
        <w:spacing w:after="0" w:line="301" w:lineRule="auto"/>
        <w:tabs>
          <w:tab w:leader="none" w:pos="53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June 30, 2020,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6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EXTRA SPACE STORAGE INC.</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Registrant</w:t>
      </w:r>
    </w:p>
    <w:p>
      <w:pPr>
        <w:spacing w:after="0" w:line="333"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6"/>
          <w:szCs w:val="16"/>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30346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Joseph D. Margolis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5"/>
          <w:szCs w:val="15"/>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31750</wp:posOffset>
            </wp:positionV>
            <wp:extent cx="30346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 Scott Stubbs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17" w:right="3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Date: August 6, 2020</w:t>
            </w:r>
          </w:p>
        </w:tc>
        <w:tc>
          <w:tcPr>
            <w:tcW w:w="24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Joseph D. Margolis</w:t>
            </w:r>
          </w:p>
        </w:tc>
      </w:tr>
      <w:tr>
        <w:trPr>
          <w:trHeight w:val="27"/>
        </w:trPr>
        <w:tc>
          <w:tcPr>
            <w:tcW w:w="33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r>
      <w:tr>
        <w:trPr>
          <w:trHeight w:val="237"/>
        </w:trPr>
        <w:tc>
          <w:tcPr>
            <w:tcW w:w="330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r>
      <w:tr>
        <w:trPr>
          <w:trHeight w:val="270"/>
        </w:trPr>
        <w:tc>
          <w:tcPr>
            <w:tcW w:w="3300" w:type="dxa"/>
            <w:vAlign w:val="bottom"/>
          </w:tcPr>
          <w:p>
            <w:pPr>
              <w:spacing w:after="0"/>
              <w:rPr>
                <w:sz w:val="23"/>
                <w:szCs w:val="23"/>
                <w:color w:val="auto"/>
              </w:rPr>
            </w:pPr>
          </w:p>
        </w:tc>
        <w:tc>
          <w:tcPr>
            <w:tcW w:w="2420" w:type="dxa"/>
            <w:vAlign w:val="bottom"/>
          </w:tcPr>
          <w:p>
            <w:pPr>
              <w:ind w:left="174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Extra Space Storage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6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0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00" w:hanging="644"/>
        <w:spacing w:after="0" w:line="277"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040" w:val="left"/>
          <w:tab w:leader="none" w:pos="5740" w:val="left"/>
        </w:tabs>
        <w:rPr>
          <w:sz w:val="20"/>
          <w:szCs w:val="20"/>
          <w:color w:val="auto"/>
        </w:rPr>
      </w:pPr>
      <w:r>
        <w:rPr>
          <w:rFonts w:ascii="Arial" w:cs="Arial" w:eastAsia="Arial" w:hAnsi="Arial"/>
          <w:sz w:val="18"/>
          <w:szCs w:val="18"/>
          <w:color w:val="auto"/>
        </w:rPr>
        <w:t>Date: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632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7"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18"/>
          <w:szCs w:val="18"/>
          <w:color w:val="auto"/>
        </w:rPr>
        <w:t>Name:</w:t>
        <w:tab/>
        <w:t>P. Scott Stubbs</w:t>
      </w:r>
    </w:p>
    <w:p>
      <w:pPr>
        <w:spacing w:after="0" w:line="63" w:lineRule="exact"/>
        <w:rPr>
          <w:sz w:val="20"/>
          <w:szCs w:val="20"/>
          <w:color w:val="auto"/>
        </w:rPr>
      </w:pPr>
    </w:p>
    <w:p>
      <w:pPr>
        <w:ind w:left="5060"/>
        <w:spacing w:after="0"/>
        <w:tabs>
          <w:tab w:leader="none" w:pos="5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June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6"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Joseph D. Margolis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Joseph D. Margolis</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August 6, 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June 30, 2020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6"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P. Scott Stubbs</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0" w:type="dxa"/>
            <w:vAlign w:val="bottom"/>
            <w:vMerge w:val="continue"/>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 Scott Stubbs</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460" w:type="dxa"/>
            <w:vAlign w:val="bottom"/>
          </w:tcPr>
          <w:p>
            <w:pPr>
              <w:ind w:left="20"/>
              <w:spacing w:after="0"/>
              <w:rPr>
                <w:sz w:val="20"/>
                <w:szCs w:val="20"/>
                <w:color w:val="auto"/>
              </w:rPr>
            </w:pPr>
            <w:r>
              <w:rPr>
                <w:rFonts w:ascii="Arial" w:cs="Arial" w:eastAsia="Arial" w:hAnsi="Arial"/>
                <w:sz w:val="18"/>
                <w:szCs w:val="18"/>
                <w:color w:val="auto"/>
              </w:rPr>
              <w:t>August 6, 2020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lvl w:ilvl="1">
      <w:lvlJc w:val="left"/>
      <w:lvlText w:val="%2."/>
      <w:numFmt w:val="decimal"/>
      <w:start w:val="6"/>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10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2020-08-06T16:40:24Z</dcterms:created>
  <dcterms:modified xsi:type="dcterms:W3CDTF">2020-08-06T16:40:24Z</dcterms:modified>
</cp:coreProperties>
</file>