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85725</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87630</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237"/>
        </w:trPr>
        <w:tc>
          <w:tcPr>
            <w:tcW w:w="490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EXTRA SPACE STORAGE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81" w:lineRule="exact"/>
        <w:rPr>
          <w:sz w:val="24"/>
          <w:szCs w:val="24"/>
          <w:color w:val="auto"/>
        </w:rPr>
      </w:pPr>
    </w:p>
    <w:p>
      <w:pPr>
        <w:ind w:left="240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20-1076777</w:t>
      </w:r>
    </w:p>
    <w:p>
      <w:pPr>
        <w:spacing w:after="0" w:line="26" w:lineRule="exact"/>
        <w:rPr>
          <w:sz w:val="24"/>
          <w:szCs w:val="24"/>
          <w:color w:val="auto"/>
        </w:rPr>
      </w:pPr>
    </w:p>
    <w:p>
      <w:pPr>
        <w:ind w:left="1880"/>
        <w:spacing w:after="0"/>
        <w:tabs>
          <w:tab w:leader="none" w:pos="80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84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2795 East Cottonwood Parkway, Suite 300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365-4600</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40"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20"/>
        </w:trPr>
        <w:tc>
          <w:tcPr>
            <w:tcW w:w="38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7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color w:val="auto"/>
                <w:w w:val="99"/>
              </w:rPr>
              <w:t>EXR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00" w:lineRule="exact"/>
        <w:rPr>
          <w:sz w:val="24"/>
          <w:szCs w:val="24"/>
          <w:color w:val="auto"/>
        </w:rPr>
      </w:pPr>
    </w:p>
    <w:p>
      <w:pPr>
        <w:spacing w:after="0" w:line="335"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00"/>
          </w:cols>
          <w:pgMar w:left="320" w:top="538" w:right="379" w:bottom="1440" w:gutter="0" w:footer="0" w:header="0"/>
        </w:sectPr>
      </w:pPr>
    </w:p>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type w:val="continuous"/>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par value $0.01 per share, as of November 1, 2022, was 133,921,528.</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7"/>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EXTRA SPACE STORAGE INC.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60" w:type="dxa"/>
            <w:vAlign w:val="bottom"/>
            <w:gridSpan w:val="6"/>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STATEMENT ON FORWARD-LOOKING INFORMATION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1620" w:type="dxa"/>
            <w:vAlign w:val="bottom"/>
            <w:gridSpan w:val="5"/>
          </w:tcPr>
          <w:p>
            <w:pPr>
              <w:spacing w:after="0"/>
              <w:rPr>
                <w:sz w:val="22"/>
                <w:szCs w:val="22"/>
                <w:color w:val="auto"/>
              </w:rPr>
            </w:pPr>
          </w:p>
        </w:tc>
        <w:tc>
          <w:tcPr>
            <w:tcW w:w="5340" w:type="dxa"/>
            <w:vAlign w:val="bottom"/>
            <w:gridSpan w:val="5"/>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1. FINANCIAL STATEMENTS (unaudited)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w:t>
            </w: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7"/>
              </w:rPr>
              <w:t>OPERATIONS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30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2"/>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20" w:type="dxa"/>
            <w:vAlign w:val="bottom"/>
            <w:gridSpan w:val="1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94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19"/>
            <w:vMerge w:val="continue"/>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60" w:type="dxa"/>
            <w:vAlign w:val="bottom"/>
            <w:tcBorders>
              <w:top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25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0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1. LEGAL PROCEEDINGS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1A. RISK FACTORS</w:t>
            </w:r>
          </w:p>
        </w:tc>
        <w:tc>
          <w:tcPr>
            <w:tcW w:w="520" w:type="dxa"/>
            <w:vAlign w:val="bottom"/>
            <w:tcBorders>
              <w:top w:val="single" w:sz="8" w:color="0000FF"/>
            </w:tcBorders>
            <w:gridSpan w:val="2"/>
          </w:tcPr>
          <w:p>
            <w:pPr>
              <w:spacing w:after="0"/>
              <w:rPr>
                <w:sz w:val="18"/>
                <w:szCs w:val="18"/>
                <w:color w:val="auto"/>
              </w:rPr>
            </w:pPr>
          </w:p>
        </w:tc>
        <w:tc>
          <w:tcPr>
            <w:tcW w:w="702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262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780" w:type="dxa"/>
            <w:vAlign w:val="bottom"/>
            <w:tcBorders>
              <w:top w:val="single" w:sz="8" w:color="0000FF"/>
            </w:tcBorders>
            <w:gridSpan w:val="3"/>
          </w:tcPr>
          <w:p>
            <w:pPr>
              <w:spacing w:after="0"/>
              <w:rPr>
                <w:sz w:val="18"/>
                <w:szCs w:val="18"/>
                <w:color w:val="auto"/>
              </w:rPr>
            </w:pPr>
          </w:p>
        </w:tc>
        <w:tc>
          <w:tcPr>
            <w:tcW w:w="566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5. OTHER INFORMATION</w:t>
            </w:r>
          </w:p>
        </w:tc>
        <w:tc>
          <w:tcPr>
            <w:tcW w:w="6960" w:type="dxa"/>
            <w:vAlign w:val="bottom"/>
            <w:gridSpan w:val="10"/>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20" w:type="dxa"/>
            <w:vAlign w:val="bottom"/>
            <w:gridSpan w:val="19"/>
          </w:tcPr>
          <w:p>
            <w:pPr>
              <w:ind w:left="20"/>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140" w:type="dxa"/>
            <w:vAlign w:val="bottom"/>
            <w:gridSpan w:val="15"/>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STATEMENT ON FORWARD-LOOKING INFORMATION</w:t>
      </w:r>
    </w:p>
    <w:p>
      <w:pPr>
        <w:spacing w:after="0" w:line="25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16"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1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76"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economic conditions, the real estate industry and the markets in which we operate;</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close pending acquisitions and developments on expected terms, or at all;</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from new and existing stores or other storage alternatives, which could cause rents and occupancy rates to decline;</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uninsured losses and environmental contamination;</w:t>
      </w:r>
    </w:p>
    <w:p>
      <w:pPr>
        <w:spacing w:after="0" w:line="63" w:lineRule="exact"/>
        <w:rPr>
          <w:rFonts w:ascii="Times New Roman" w:cs="Times New Roman" w:eastAsia="Times New Roman" w:hAnsi="Times New Roman"/>
          <w:sz w:val="18"/>
          <w:szCs w:val="18"/>
          <w:color w:val="auto"/>
        </w:rPr>
      </w:pPr>
    </w:p>
    <w:p>
      <w:pPr>
        <w:ind w:left="580" w:right="260" w:hanging="329"/>
        <w:spacing w:after="0" w:line="298" w:lineRule="auto"/>
        <w:tabs>
          <w:tab w:leader="none" w:pos="5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ind w:left="580" w:right="240" w:hanging="329"/>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8"/>
          <w:szCs w:val="18"/>
          <w:color w:val="auto"/>
        </w:rPr>
      </w:pPr>
    </w:p>
    <w:p>
      <w:pPr>
        <w:ind w:left="580" w:right="60" w:hanging="329"/>
        <w:spacing w:after="0" w:line="266"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13" w:lineRule="exact"/>
        <w:rPr>
          <w:rFonts w:ascii="Times New Roman" w:cs="Times New Roman" w:eastAsia="Times New Roman" w:hAnsi="Times New Roman"/>
          <w:sz w:val="18"/>
          <w:szCs w:val="18"/>
          <w:color w:val="auto"/>
        </w:rPr>
      </w:pPr>
    </w:p>
    <w:p>
      <w:pPr>
        <w:ind w:left="580" w:right="580" w:hanging="329"/>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interest rates;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asset valuations and related impairment charges;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sole decision-making authority with respect to our joint venture investments;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losses under our insurance policies;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or future changes to U.S. tax laws;</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REIT status for U.S. federal income tax purposes; and</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ind w:firstLine="445"/>
        <w:spacing w:after="0" w:line="282" w:lineRule="auto"/>
        <w:rPr>
          <w:sz w:val="20"/>
          <w:szCs w:val="20"/>
          <w:color w:val="auto"/>
        </w:rPr>
      </w:pPr>
      <w:r>
        <w:rPr>
          <w:rFonts w:ascii="Times New Roman" w:cs="Times New Roman" w:eastAsia="Times New Roman" w:hAnsi="Times New Roman"/>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891" w:right="8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60" w:type="dxa"/>
            <w:vAlign w:val="bottom"/>
          </w:tcPr>
          <w:p>
            <w:pPr>
              <w:spacing w:after="0"/>
              <w:rPr>
                <w:sz w:val="24"/>
                <w:szCs w:val="24"/>
                <w:color w:val="auto"/>
              </w:rPr>
            </w:pPr>
          </w:p>
        </w:tc>
        <w:tc>
          <w:tcPr>
            <w:tcW w:w="708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rPr>
              <w:t>Extra Space Storage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0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08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9"/>
              </w:rPr>
              <w:t>(amounts in thousands, except share data)</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24"/>
                <w:szCs w:val="24"/>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7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Real estate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9,877,080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8,834,649</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assets - operating lease right-of-use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227,949</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real estate entities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457,326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debt securities and notes receivable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719,187</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159,172</w:t>
            </w:r>
          </w:p>
        </w:tc>
        <w:tc>
          <w:tcPr>
            <w:tcW w:w="0" w:type="dxa"/>
            <w:vAlign w:val="bottom"/>
          </w:tcPr>
          <w:p>
            <w:pPr>
              <w:spacing w:after="0"/>
              <w:rPr>
                <w:sz w:val="1"/>
                <w:szCs w:val="1"/>
                <w:color w:val="auto"/>
              </w:rPr>
            </w:pPr>
          </w:p>
        </w:tc>
      </w:tr>
      <w:tr>
        <w:trPr>
          <w:trHeight w:val="248"/>
        </w:trPr>
        <w:tc>
          <w:tcPr>
            <w:tcW w:w="76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10,474,477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Noncontrolling Interests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1,320,755</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Unsecured term loans,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2,339,419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1,741,926</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 senior notes,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2,360,066</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Revolving lines of credit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233,356</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distributions in unconsolidated real estate ventures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63,582</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291,531</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7,771,347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6,688,501</w:t>
            </w:r>
          </w:p>
        </w:tc>
        <w:tc>
          <w:tcPr>
            <w:tcW w:w="0" w:type="dxa"/>
            <w:vAlign w:val="bottom"/>
          </w:tcPr>
          <w:p>
            <w:pPr>
              <w:spacing w:after="0"/>
              <w:rPr>
                <w:sz w:val="1"/>
                <w:szCs w:val="1"/>
                <w:color w:val="auto"/>
              </w:rPr>
            </w:pP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Extra Space Storage Inc. 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or outstanding</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133,918,037 and 133,922,305</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at September 30, 2022 and December 31, 2021, 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3,285,948</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(42,546)</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(128,245)</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Extra Space Storage Inc. stockholders' equity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3,116,496</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 represented by Preferred Operating Partnership units,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259,110</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Noncontrolling interests in Operating Partnership, net and other noncontrolling interests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410,370</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noncontrolling interests and equity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4,069,298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3,785,976</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11,840,645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10,474,477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5"/>
        </w:trPr>
        <w:tc>
          <w:tcPr>
            <w:tcW w:w="6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rental</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428,787</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351,355</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1,216,639</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976,448</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Tenant reinsurance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126,211</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47,320</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498,902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1,417,452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1,149,979</w:t>
            </w:r>
          </w:p>
        </w:tc>
        <w:tc>
          <w:tcPr>
            <w:tcW w:w="0" w:type="dxa"/>
            <w:vAlign w:val="bottom"/>
          </w:tcPr>
          <w:p>
            <w:pPr>
              <w:spacing w:after="0"/>
              <w:rPr>
                <w:sz w:val="1"/>
                <w:szCs w:val="1"/>
                <w:color w:val="auto"/>
              </w:rPr>
            </w:pPr>
          </w:p>
        </w:tc>
      </w:tr>
      <w:tr>
        <w:trPr>
          <w:trHeight w:val="19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operations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322,371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274,316</w:t>
            </w:r>
          </w:p>
        </w:tc>
        <w:tc>
          <w:tcPr>
            <w:tcW w:w="0" w:type="dxa"/>
            <w:vAlign w:val="bottom"/>
          </w:tcPr>
          <w:p>
            <w:pPr>
              <w:spacing w:after="0"/>
              <w:rPr>
                <w:sz w:val="1"/>
                <w:szCs w:val="1"/>
                <w:color w:val="auto"/>
              </w:rPr>
            </w:pPr>
          </w:p>
        </w:tc>
      </w:tr>
      <w:tr>
        <w:trPr>
          <w:trHeight w:val="213"/>
        </w:trPr>
        <w:tc>
          <w:tcPr>
            <w:tcW w:w="6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Tenant reinsurance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74,276</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179,685</w:t>
            </w:r>
          </w:p>
        </w:tc>
        <w:tc>
          <w:tcPr>
            <w:tcW w:w="0" w:type="dxa"/>
            <w:vAlign w:val="bottom"/>
          </w:tcPr>
          <w:p>
            <w:pPr>
              <w:spacing w:after="0"/>
              <w:rPr>
                <w:sz w:val="1"/>
                <w:szCs w:val="1"/>
                <w:color w:val="auto"/>
              </w:rPr>
            </w:pPr>
          </w:p>
        </w:tc>
      </w:tr>
      <w:tr>
        <w:trPr>
          <w:trHeight w:val="207"/>
        </w:trPr>
        <w:tc>
          <w:tcPr>
            <w:tcW w:w="6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229,045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650,869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549,682</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0" w:type="dxa"/>
            <w:vAlign w:val="bottom"/>
          </w:tcPr>
          <w:p>
            <w:pPr>
              <w:spacing w:after="0"/>
              <w:rPr>
                <w:sz w:val="1"/>
                <w:szCs w:val="1"/>
                <w:color w:val="auto"/>
              </w:rPr>
            </w:pPr>
          </w:p>
        </w:tc>
      </w:tr>
      <w:tr>
        <w:trPr>
          <w:trHeight w:val="20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269,857</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226,278</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780,832</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664,180</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(146,249)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(120,605)</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52,174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36,871</w:t>
            </w:r>
          </w:p>
        </w:tc>
        <w:tc>
          <w:tcPr>
            <w:tcW w:w="0" w:type="dxa"/>
            <w:vAlign w:val="bottom"/>
          </w:tcPr>
          <w:p>
            <w:pPr>
              <w:spacing w:after="0"/>
              <w:rPr>
                <w:sz w:val="1"/>
                <w:szCs w:val="1"/>
                <w:color w:val="auto"/>
              </w:rPr>
            </w:pPr>
          </w:p>
        </w:tc>
      </w:tr>
      <w:tr>
        <w:trPr>
          <w:trHeight w:val="145"/>
        </w:trPr>
        <w:tc>
          <w:tcPr>
            <w:tcW w:w="60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before equity in earnings and dividend income from unconsolidated real estate</w:t>
            </w: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231,737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198,337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686,757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 and income tax expense</w:t>
            </w: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23,533</w:t>
            </w:r>
          </w:p>
        </w:tc>
        <w:tc>
          <w:tcPr>
            <w:tcW w:w="0" w:type="dxa"/>
            <w:vAlign w:val="bottom"/>
          </w:tcPr>
          <w:p>
            <w:pPr>
              <w:spacing w:after="0"/>
              <w:rPr>
                <w:sz w:val="1"/>
                <w:szCs w:val="1"/>
                <w:color w:val="auto"/>
              </w:rPr>
            </w:pPr>
          </w:p>
        </w:tc>
      </w:tr>
      <w:tr>
        <w:trPr>
          <w:trHeight w:val="165"/>
        </w:trPr>
        <w:tc>
          <w:tcPr>
            <w:tcW w:w="6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 gain on sale of real estate assets</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purchase of joint venture partner's interest</w:t>
            </w: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593,900</w:t>
            </w: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(24,031)</w:t>
            </w: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220,719</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188,276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656,428</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559,222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133,913,652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133,809,750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134,094,490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133,197,903</w:t>
            </w:r>
          </w:p>
        </w:tc>
        <w:tc>
          <w:tcPr>
            <w:tcW w:w="0" w:type="dxa"/>
            <w:vAlign w:val="bottom"/>
          </w:tcPr>
          <w:p>
            <w:pPr>
              <w:spacing w:after="0"/>
              <w:rPr>
                <w:sz w:val="1"/>
                <w:szCs w:val="1"/>
                <w:color w:val="auto"/>
              </w:rPr>
            </w:pPr>
          </w:p>
        </w:tc>
      </w:tr>
      <w:tr>
        <w:trPr>
          <w:trHeight w:val="213"/>
        </w:trPr>
        <w:tc>
          <w:tcPr>
            <w:tcW w:w="6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141,504,215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140,425,269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141,567,845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139,854,881</w:t>
            </w:r>
          </w:p>
        </w:tc>
        <w:tc>
          <w:tcPr>
            <w:tcW w:w="0" w:type="dxa"/>
            <w:vAlign w:val="bottom"/>
          </w:tcPr>
          <w:p>
            <w:pPr>
              <w:spacing w:after="0"/>
              <w:rPr>
                <w:sz w:val="1"/>
                <w:szCs w:val="1"/>
                <w:color w:val="auto"/>
              </w:rPr>
            </w:pPr>
          </w:p>
        </w:tc>
      </w:tr>
      <w:tr>
        <w:trPr>
          <w:trHeight w:val="23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7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r>
      <w:tr>
        <w:trPr>
          <w:trHeight w:val="195"/>
        </w:trPr>
        <w:tc>
          <w:tcPr>
            <w:tcW w:w="5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199,820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593,900</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95,984</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36,685</w:t>
            </w:r>
          </w:p>
        </w:tc>
      </w:tr>
      <w:tr>
        <w:trPr>
          <w:trHeight w:val="207"/>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260,348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207,875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797,661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630,585</w:t>
            </w:r>
          </w:p>
        </w:tc>
      </w:tr>
      <w:tr>
        <w:trPr>
          <w:trHeight w:val="219"/>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50,166</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36,425</w:t>
            </w: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243,685</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195,951</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747,495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594,160</w:t>
            </w:r>
          </w:p>
        </w:tc>
      </w:tr>
      <w:tr>
        <w:trPr>
          <w:trHeight w:val="21"/>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740" w:type="dxa"/>
            <w:vAlign w:val="bottom"/>
            <w:gridSpan w:val="10"/>
          </w:tcPr>
          <w:p>
            <w:pPr>
              <w:ind w:left="80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60" w:type="dxa"/>
            <w:vAlign w:val="bottom"/>
            <w:gridSpan w:val="3"/>
            <w:vMerge w:val="continue"/>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5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8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172,052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215,892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$ 401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131,357,961</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$3,000,458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(99,093)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(354,900)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2,936,124</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56,722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89,793</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2,185,685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273,720</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215,501</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23,013</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(5,801)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(9,025)</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(132,540)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2021</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172,652</w:t>
            </w:r>
          </w:p>
        </w:tc>
        <w:tc>
          <w:tcPr>
            <w:tcW w:w="8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219,682</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$ 346</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133,692,662</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$1,336</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$3,282,255</w:t>
            </w:r>
          </w:p>
        </w:tc>
        <w:tc>
          <w:tcPr>
            <w:tcW w:w="8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(77,180)</w:t>
            </w:r>
          </w:p>
        </w:tc>
        <w:tc>
          <w:tcPr>
            <w:tcW w:w="8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(284,442)</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3,314,649</w:t>
            </w:r>
          </w:p>
        </w:tc>
        <w:tc>
          <w:tcPr>
            <w:tcW w:w="0" w:type="dxa"/>
            <w:vAlign w:val="bottom"/>
          </w:tcPr>
          <w:p>
            <w:pPr>
              <w:spacing w:after="0"/>
              <w:rPr>
                <w:sz w:val="1"/>
                <w:szCs w:val="1"/>
                <w:color w:val="auto"/>
              </w:rPr>
            </w:pPr>
          </w:p>
        </w:tc>
      </w:tr>
      <w:tr>
        <w:trPr>
          <w:trHeight w:val="164"/>
        </w:trPr>
        <w:tc>
          <w:tcPr>
            <w:tcW w:w="34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44,990</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Offering costs associated with previous stock</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58,429</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Repayment of receivable with Operating</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units pledged as collateral</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178,579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paid on common stock at $1.00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(133,777)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(133,777)</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2021</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172,902</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219,466</w:t>
            </w:r>
          </w:p>
        </w:tc>
        <w:tc>
          <w:tcPr>
            <w:tcW w:w="8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$ 499</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133,791,109</w:t>
            </w:r>
          </w:p>
        </w:tc>
        <w:tc>
          <w:tcPr>
            <w:tcW w:w="8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$1,337</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$3,288,852</w:t>
            </w:r>
          </w:p>
        </w:tc>
        <w:tc>
          <w:tcPr>
            <w:tcW w:w="8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(71,830)</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(250,271)</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3,360,955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12"/>
          </w:tcPr>
          <w:p>
            <w:pPr>
              <w:ind w:left="80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60" w:type="dxa"/>
            <w:vAlign w:val="bottom"/>
            <w:gridSpan w:val="3"/>
            <w:vMerge w:val="continue"/>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2"/>
                <w:szCs w:val="12"/>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7"/>
        </w:trPr>
        <w:tc>
          <w:tcPr>
            <w:tcW w:w="348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6"/>
                <w:szCs w:val="16"/>
                <w:color w:val="auto"/>
              </w:rPr>
              <w:t>Issuance of common stock upon the exercise of</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Offering costs associated with previous stock</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Redemption of Preferred B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stock</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 of remaining equity interest in existing</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joint venture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199,820</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paid on common stock at $1.25 per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(167,274)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2021</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170,248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133,819,163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3,283,848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(229,269)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3,382,875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259,110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410,053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133,922,305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3,285,948</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(42,546)</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(128,245)</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3,785,976</w:t>
            </w:r>
          </w:p>
        </w:tc>
        <w:tc>
          <w:tcPr>
            <w:tcW w:w="0" w:type="dxa"/>
            <w:vAlign w:val="bottom"/>
          </w:tcPr>
          <w:p>
            <w:pPr>
              <w:spacing w:after="0"/>
              <w:rPr>
                <w:sz w:val="1"/>
                <w:szCs w:val="1"/>
                <w:color w:val="auto"/>
              </w:rPr>
            </w:pPr>
          </w:p>
        </w:tc>
      </w:tr>
      <w:tr>
        <w:trPr>
          <w:trHeight w:val="164"/>
        </w:trPr>
        <w:tc>
          <w:tcPr>
            <w:tcW w:w="34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Redemption of Preferred B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cash</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conjunction with</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217,717</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51,649</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(14,111)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paid on common stock at $1.50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(202,527)</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2022</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256,051</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411,581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134,251,076</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1,343</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3,329,608</w:t>
            </w:r>
          </w:p>
        </w:tc>
        <w:tc>
          <w:tcPr>
            <w:tcW w:w="8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6,457</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(127,193)</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3,878,164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740" w:type="dxa"/>
            <w:vAlign w:val="bottom"/>
            <w:gridSpan w:val="10"/>
          </w:tcPr>
          <w:p>
            <w:pPr>
              <w:ind w:left="80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60" w:type="dxa"/>
            <w:vAlign w:val="bottom"/>
            <w:gridSpan w:val="3"/>
            <w:vMerge w:val="continue"/>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2"/>
                <w:szCs w:val="12"/>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8"/>
        </w:trPr>
        <w:tc>
          <w:tcPr>
            <w:tcW w:w="34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7"/>
        </w:trPr>
        <w:tc>
          <w:tcPr>
            <w:tcW w:w="348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38,016</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for cash</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Redemption of Preferred B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cash</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Operating Partnership units in</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conjunction with business combinations</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Preferred D units in the Operating</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Partnership in conjunction with business</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combinations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(381,786)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247,834</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w:t>
            </w: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(9,821)</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(14,127)</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paid on common stock at $1.50 per</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(201,024)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June 30,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261,231</w:t>
            </w:r>
          </w:p>
        </w:tc>
        <w:tc>
          <w:tcPr>
            <w:tcW w:w="8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429,572</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$ 317</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133,900,184</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$1,339</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$3,334,317</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25,555</w:t>
            </w:r>
          </w:p>
        </w:tc>
        <w:tc>
          <w:tcPr>
            <w:tcW w:w="8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(159,091)</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3,893,240</w:t>
            </w:r>
          </w:p>
        </w:tc>
        <w:tc>
          <w:tcPr>
            <w:tcW w:w="0" w:type="dxa"/>
            <w:vAlign w:val="bottom"/>
          </w:tcPr>
          <w:p>
            <w:pPr>
              <w:spacing w:after="0"/>
              <w:rPr>
                <w:sz w:val="1"/>
                <w:szCs w:val="1"/>
                <w:color w:val="auto"/>
              </w:rPr>
            </w:pPr>
          </w:p>
        </w:tc>
      </w:tr>
      <w:tr>
        <w:trPr>
          <w:trHeight w:val="164"/>
        </w:trPr>
        <w:tc>
          <w:tcPr>
            <w:tcW w:w="34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19,654</w:t>
            </w:r>
          </w:p>
        </w:tc>
        <w:tc>
          <w:tcPr>
            <w:tcW w:w="8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Operating Partnership units in</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conjunction with acquisitions</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236,126</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w:t>
            </w: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 Operating Partnership units held</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(10,058)</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by noncontrolling interests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paid on common stock at $1.50 per</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(200,878)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(200,878)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261,494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556,578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$ 655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133,918,037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3,339,961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(139,250)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4,069,298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701,677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593,900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179,685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Compensation expense related to stock-based awards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12,647</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Accrual of interest income added to principal of debt securities and notes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0" w:type="dxa"/>
            <w:vAlign w:val="bottom"/>
          </w:tcPr>
          <w:p>
            <w:pPr>
              <w:spacing w:after="0"/>
              <w:rPr>
                <w:sz w:val="1"/>
                <w:szCs w:val="1"/>
                <w:color w:val="auto"/>
              </w:rPr>
            </w:pPr>
          </w:p>
        </w:tc>
      </w:tr>
      <w:tr>
        <w:trPr>
          <w:trHeight w:val="162"/>
        </w:trPr>
        <w:tc>
          <w:tcPr>
            <w:tcW w:w="7840" w:type="dxa"/>
            <w:vAlign w:val="bottom"/>
          </w:tcPr>
          <w:p>
            <w:pPr>
              <w:ind w:left="680"/>
              <w:spacing w:after="0" w:line="162" w:lineRule="exact"/>
              <w:rPr>
                <w:sz w:val="20"/>
                <w:szCs w:val="20"/>
                <w:color w:val="auto"/>
              </w:rPr>
            </w:pPr>
            <w:r>
              <w:rPr>
                <w:rFonts w:ascii="Times New Roman" w:cs="Times New Roman" w:eastAsia="Times New Roman" w:hAnsi="Times New Roman"/>
                <w:sz w:val="16"/>
                <w:szCs w:val="16"/>
                <w:color w:val="auto"/>
              </w:rPr>
              <w:t>Equity in earnings of unconsolidated real estate ventures - gain on sale of real estate assets and purchase of</w:t>
            </w:r>
          </w:p>
        </w:tc>
        <w:tc>
          <w:tcPr>
            <w:tcW w:w="240" w:type="dxa"/>
            <w:vAlign w:val="bottom"/>
          </w:tcPr>
          <w:p>
            <w:pPr>
              <w:spacing w:after="0"/>
              <w:rPr>
                <w:sz w:val="14"/>
                <w:szCs w:val="14"/>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joint venture partner's interest</w:t>
            </w:r>
          </w:p>
        </w:tc>
        <w:tc>
          <w:tcPr>
            <w:tcW w:w="2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Distributions from unconsolidated real estate ventures in excess of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213"/>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w:t>
            </w:r>
          </w:p>
        </w:tc>
        <w:tc>
          <w:tcPr>
            <w:tcW w:w="0" w:type="dxa"/>
            <w:vAlign w:val="bottom"/>
          </w:tcPr>
          <w:p>
            <w:pPr>
              <w:spacing w:after="0"/>
              <w:rPr>
                <w:sz w:val="1"/>
                <w:szCs w:val="1"/>
                <w:color w:val="auto"/>
              </w:rPr>
            </w:pPr>
          </w:p>
        </w:tc>
      </w:tr>
      <w:tr>
        <w:trPr>
          <w:trHeight w:val="213"/>
        </w:trPr>
        <w:tc>
          <w:tcPr>
            <w:tcW w:w="78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729,268</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(589,382)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business combination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real estate assets and investments in real estate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196,241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in unconsolidated real estate entities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Return of investment in unconsolidated real estate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and purchase of notes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(143,270)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received from notes receivable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notes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(1,242,254)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(417,792)</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the sale of common stock, net of offering costs</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273,358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notes payable and revolving lines of credit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3,983,865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3,323,000</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payments on notes payable and revolving lines of credit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(3,341,881)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(4,526,549)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public bonds,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1,040,349</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proceeds from exercise of stock options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Redemption of Preferred B Units for cash</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principal payments on note receivable collateralized by OP Units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(433,591)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(28,584)</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312,393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(358,204)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(46,728)</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76,194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128,009</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5"/>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8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116,937</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establishment of operating lease right of use assets and lease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 estate assets - operating lease right-of-use assets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assets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 estate assets, net</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Value of equity issued</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(165,965)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liability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construction costs and capital expenditures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Preferred Operating Partnership units for common stock</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Operating Partnership units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OP and Preferred OP units in conjunction with business combinations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OP Units issued</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 Units Issued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Establishment of finance lease assets and lease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 estate assets, net</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41,438</w:t>
            </w: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unconsolidated real estate ventures received on sale of stores to joint venture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 estate assets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1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invests in stores by acquiring wholly-owned stores or by acquiring an equity interest in real estate entities. At September 30, 2022, the Company had direct and indirect equity interests in 1,441 stores. In addition, the Company managed 886 stores for third parties, bringing the total number of stores which it owns and/or manages to 2,327. These stores are located in 41 states and Washington, D.C. The Company also offers tenant reinsurance at its owned and managed stores that insures the value of goods in the storage units.</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nine months ended September 30, 2022 are not necessarily indicative of results that may be expected for the year ending December 31, 2022. The condensed consolidated balance sheet as of December 31, 2021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2021, as filed with the Securities and Exchange Commission.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ind w:right="20" w:firstLine="445"/>
        <w:spacing w:after="0" w:line="242"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(“ASU 2020-04”). ASU 2020-04 provides temporary optional guidance that provides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relief 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refines the scope of Topic 848 and clarifies some of its guidance. The Company continues to evaluate the impact of the guidance and may apply other elections as applicable as additional changes in the market occur. The Company has begun transitioning debt over to Secured Overnight Financing Rate ("SOFR") as part of the reference rate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DISCLOSURES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4"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10"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2022,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4"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8"/>
          <w:szCs w:val="18"/>
          <w:color w:val="auto"/>
        </w:rPr>
        <w:t>The table below presents the Company’s assets and liabilities measured at fair value on a recurring basis as of September 30, 2022, aggregated by the level in the fair value hierarchy within which those measurements fall.</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6"/>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 swap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54,977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Company did not have any significant assets or liabilities that are re-measured on a recurring basis using significant unobservable inputs as of September 30, 2022 or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1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0"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6"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September 30, 2022, the Company had no operating stores classified as held for sale which are included in real estate assets, net.</w:t>
      </w:r>
    </w:p>
    <w:p>
      <w:pPr>
        <w:spacing w:after="0" w:line="21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207"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 For acquisitions that meet the definition of a business, the Company estimates the fair value of the identifiable assets and liabilities of the acquired entity on the acquisition date. We measure goodwill as the excess of consideration transferred over the net of the acquisition date fair values of the identifiable assets acquired and liabilities assumed. Acquisition-related expenses arising from the transaction are expensed as incurred. The Company includes the results of operations of the businesses that it acquires beginning on the acquisition 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September 30, 2022 and December 31, 2021 approximate fair value. Restricted cash is comprised of funds deposited with financial institutions located throughout the United States primarily relating to earnest money deposits on potential acquisitions.</w:t>
      </w:r>
    </w:p>
    <w:p>
      <w:pPr>
        <w:spacing w:after="0" w:line="207"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the Company’s fixed-rate assets and liabilities were as follows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Pr>
          <w:p>
            <w:pPr>
              <w:spacing w:after="0"/>
              <w:rPr>
                <w:sz w:val="18"/>
                <w:szCs w:val="18"/>
                <w:color w:val="auto"/>
              </w:rPr>
            </w:pPr>
          </w:p>
        </w:tc>
        <w:tc>
          <w:tcPr>
            <w:tcW w:w="2660" w:type="dxa"/>
            <w:vAlign w:val="bottom"/>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72"/>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Times New Roman" w:cs="Times New Roman" w:eastAsia="Times New Roman" w:hAnsi="Times New Roman"/>
                <w:sz w:val="18"/>
                <w:szCs w:val="18"/>
                <w:b w:val="1"/>
                <w:bCs w:val="1"/>
                <w:color w:val="auto"/>
              </w:rPr>
              <w:t>Carrying</w:t>
            </w:r>
          </w:p>
        </w:tc>
      </w:tr>
      <w:tr>
        <w:trPr>
          <w:trHeight w:val="241"/>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58"/>
        </w:trPr>
        <w:tc>
          <w:tcPr>
            <w:tcW w:w="52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Notes receivable from Preferred and Common Operating Partnership</w:t>
            </w:r>
          </w:p>
        </w:tc>
        <w:tc>
          <w:tcPr>
            <w:tcW w:w="3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 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receivable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3,899,556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REAL ESTATE ASSETS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components of real estate assets are summarized as follows: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0"/>
        </w:trPr>
        <w:tc>
          <w:tcPr>
            <w:tcW w:w="7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2,151,319</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improvements and other intangibles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8,227,094</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 - finance lease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tenant relationships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rights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r>
      <w:tr>
        <w:trPr>
          <w:trHeight w:val="223"/>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11,884,522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10,643,151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(1,867,750)</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real estate assets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8,775,401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under development/redevelopment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assets,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9,877,080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8,834,649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assets held for sale included in real estate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OTHER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other assets are summarized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29,060</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line of credit financing costs, net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39,384</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interest rate swaps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8"/>
        </w:trPr>
        <w:tc>
          <w:tcPr>
            <w:tcW w:w="7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414,873</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We evaluate goodwill for impairment annually in the fourth quarter and whenever events, circumstances, and other related factors indicate that fair value of the related reporting unit may be less than the carrying value. If we determine that the fair value of the reporting unit exceeds the aggregate carrying amount, no impairment charge is recorded. Otherwise, we record an impairment charge to the extent the carrying amount of the goodwill exceeds the amount that would be allocated to goodwill if the reporting unit were acquired for estimated fair value.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COMMON SHARE</w:t>
      </w:r>
    </w:p>
    <w:p>
      <w:pPr>
        <w:spacing w:after="0" w:line="256"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1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20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2022 and 2021 was $189.11 and $176.78, respectively.</w:t>
      </w:r>
    </w:p>
    <w:p>
      <w:pPr>
        <w:spacing w:after="0" w:line="207" w:lineRule="exact"/>
        <w:rPr>
          <w:sz w:val="20"/>
          <w:szCs w:val="20"/>
          <w:color w:val="auto"/>
        </w:rPr>
      </w:pPr>
    </w:p>
    <w:p>
      <w:pPr>
        <w:ind w:right="38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number of Preferred Operating Partnership units, and the potential common shares, that were excluded from the computation of earnings per share as their effect would have been anti-dilutive.</w:t>
      </w: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36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480" w:type="dxa"/>
            <w:vAlign w:val="bottom"/>
            <w:gridSpan w:val="3"/>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41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41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37"/>
        </w:trPr>
        <w:tc>
          <w:tcPr>
            <w:tcW w:w="4140" w:type="dxa"/>
            <w:vAlign w:val="bottom"/>
          </w:tcPr>
          <w:p>
            <w:pPr>
              <w:spacing w:after="0"/>
              <w:rPr>
                <w:sz w:val="11"/>
                <w:szCs w:val="11"/>
                <w:color w:val="auto"/>
              </w:rPr>
            </w:pPr>
          </w:p>
        </w:tc>
        <w:tc>
          <w:tcPr>
            <w:tcW w:w="16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Equivalent Shares (if</w:t>
            </w:r>
          </w:p>
        </w:tc>
      </w:tr>
      <w:tr>
        <w:trPr>
          <w:trHeight w:val="195"/>
        </w:trPr>
        <w:tc>
          <w:tcPr>
            <w:tcW w:w="414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2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B Units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177,506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225,972</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181,408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271,132</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Series D Units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1,118,056</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663,888</w:t>
            </w:r>
          </w:p>
        </w:tc>
        <w:tc>
          <w:tcPr>
            <w:tcW w:w="1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1,089,389</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784,139</w:t>
            </w:r>
          </w:p>
        </w:tc>
      </w:tr>
      <w:tr>
        <w:trPr>
          <w:trHeight w:val="235"/>
        </w:trPr>
        <w:tc>
          <w:tcPr>
            <w:tcW w:w="41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1,295,562</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889,860</w:t>
            </w: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1,270,797</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1,055,271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earnings per common share is as follows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2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656,428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559,222</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655,514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558,422</w:t>
            </w:r>
          </w:p>
        </w:tc>
        <w:tc>
          <w:tcPr>
            <w:tcW w:w="0" w:type="dxa"/>
            <w:vAlign w:val="bottom"/>
          </w:tcPr>
          <w:p>
            <w:pPr>
              <w:spacing w:after="0"/>
              <w:rPr>
                <w:sz w:val="1"/>
                <w:szCs w:val="1"/>
                <w:color w:val="auto"/>
              </w:rPr>
            </w:pPr>
          </w:p>
        </w:tc>
      </w:tr>
      <w:tr>
        <w:trPr>
          <w:trHeight w:val="162"/>
        </w:trPr>
        <w:tc>
          <w:tcPr>
            <w:tcW w:w="610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Income allocated to noncontrolling interest - Preferred Operating Partnership Units</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37,932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29,395</w:t>
            </w:r>
          </w:p>
        </w:tc>
        <w:tc>
          <w:tcPr>
            <w:tcW w:w="0" w:type="dxa"/>
            <w:vAlign w:val="bottom"/>
          </w:tcPr>
          <w:p>
            <w:pPr>
              <w:spacing w:after="0"/>
              <w:rPr>
                <w:sz w:val="1"/>
                <w:szCs w:val="1"/>
                <w:color w:val="auto"/>
              </w:rPr>
            </w:pPr>
          </w:p>
        </w:tc>
      </w:tr>
      <w:tr>
        <w:trPr>
          <w:trHeight w:val="213"/>
        </w:trPr>
        <w:tc>
          <w:tcPr>
            <w:tcW w:w="6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and Operating Partnership Units</w:t>
            </w: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ind w:left="520"/>
              <w:spacing w:after="0" w:line="165" w:lineRule="exact"/>
              <w:rPr>
                <w:sz w:val="20"/>
                <w:szCs w:val="20"/>
                <w:color w:val="auto"/>
              </w:rPr>
            </w:pPr>
            <w:r>
              <w:rPr>
                <w:rFonts w:ascii="Times New Roman" w:cs="Times New Roman" w:eastAsia="Times New Roman" w:hAnsi="Times New Roman"/>
                <w:sz w:val="16"/>
                <w:szCs w:val="16"/>
                <w:color w:val="auto"/>
              </w:rPr>
              <w:t>Fixed component of income allocated to noncontrolling interest - Preferred Operating</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Partnership (Series A Units)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for diluted computations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232,788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197,254</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691,730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586,101</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133,913,652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133,809,750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134,094,490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133,197,903</w:t>
            </w:r>
          </w:p>
        </w:tc>
        <w:tc>
          <w:tcPr>
            <w:tcW w:w="0" w:type="dxa"/>
            <w:vAlign w:val="bottom"/>
          </w:tcPr>
          <w:p>
            <w:pPr>
              <w:spacing w:after="0"/>
              <w:rPr>
                <w:sz w:val="1"/>
                <w:szCs w:val="1"/>
                <w:color w:val="auto"/>
              </w:rPr>
            </w:pPr>
          </w:p>
        </w:tc>
      </w:tr>
      <w:tr>
        <w:trPr>
          <w:trHeight w:val="213"/>
        </w:trPr>
        <w:tc>
          <w:tcPr>
            <w:tcW w:w="6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OP Units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5,733,936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6,592,606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5,767,132</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Series A Units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875,480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875,480</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Shares related to dilutive stock options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5,269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141,504,215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140,425,269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141,567,845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139,854,881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10"/>
        </w:trPr>
        <w:tc>
          <w:tcPr>
            <w:tcW w:w="6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Acquisitions</w:t>
      </w:r>
    </w:p>
    <w:p>
      <w:pPr>
        <w:spacing w:after="0" w:line="254" w:lineRule="exact"/>
        <w:rPr>
          <w:sz w:val="20"/>
          <w:szCs w:val="20"/>
          <w:color w:val="auto"/>
        </w:rPr>
      </w:pPr>
    </w:p>
    <w:p>
      <w:pPr>
        <w:ind w:right="340" w:firstLine="445"/>
        <w:spacing w:after="0" w:line="263" w:lineRule="auto"/>
        <w:rPr>
          <w:sz w:val="20"/>
          <w:szCs w:val="20"/>
          <w:color w:val="auto"/>
        </w:rPr>
      </w:pPr>
      <w:r>
        <w:rPr>
          <w:rFonts w:ascii="Times New Roman" w:cs="Times New Roman" w:eastAsia="Times New Roman" w:hAnsi="Times New Roman"/>
          <w:sz w:val="18"/>
          <w:szCs w:val="18"/>
          <w:color w:val="auto"/>
        </w:rPr>
        <w:t>The following table shows the Company’s acquisitions of stores for the three and nine months ended September 30, 2022 and 2021. The table excludes purchases of raw land and improvements made to existing assets. All store acquisitions are considered asset acquisitions under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Finance Lease</w:t>
            </w:r>
          </w:p>
        </w:tc>
        <w:tc>
          <w:tcPr>
            <w:tcW w:w="120" w:type="dxa"/>
            <w:vAlign w:val="bottom"/>
          </w:tcPr>
          <w:p>
            <w:pPr>
              <w:spacing w:after="0"/>
              <w:rPr>
                <w:sz w:val="11"/>
                <w:szCs w:val="11"/>
                <w:color w:val="auto"/>
              </w:rPr>
            </w:pPr>
          </w:p>
        </w:tc>
        <w:tc>
          <w:tcPr>
            <w:tcW w:w="1320" w:type="dxa"/>
            <w:vAlign w:val="bottom"/>
          </w:tcPr>
          <w:p>
            <w:pPr>
              <w:jc w:val="right"/>
              <w:ind w:right="21"/>
              <w:spacing w:after="0" w:line="129" w:lineRule="exact"/>
              <w:rPr>
                <w:sz w:val="20"/>
                <w:szCs w:val="20"/>
                <w:color w:val="auto"/>
              </w:rPr>
            </w:pPr>
            <w:r>
              <w:rPr>
                <w:rFonts w:ascii="Times New Roman" w:cs="Times New Roman" w:eastAsia="Times New Roman" w:hAnsi="Times New Roman"/>
                <w:sz w:val="14"/>
                <w:szCs w:val="14"/>
                <w:b w:val="1"/>
                <w:bCs w:val="1"/>
                <w:color w:val="auto"/>
              </w:rPr>
              <w:t>Investments in Real</w:t>
            </w:r>
          </w:p>
        </w:tc>
        <w:tc>
          <w:tcPr>
            <w:tcW w:w="160" w:type="dxa"/>
            <w:vAlign w:val="bottom"/>
          </w:tcPr>
          <w:p>
            <w:pPr>
              <w:spacing w:after="0"/>
              <w:rPr>
                <w:sz w:val="11"/>
                <w:szCs w:val="11"/>
                <w:color w:val="auto"/>
              </w:rPr>
            </w:pPr>
          </w:p>
        </w:tc>
        <w:tc>
          <w:tcPr>
            <w:tcW w:w="130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4"/>
                <w:szCs w:val="14"/>
                <w:b w:val="1"/>
                <w:bCs w:val="1"/>
                <w:color w:val="auto"/>
              </w:rPr>
              <w:t>Net Liabilities/</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 of Equity Issued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 estate assets</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Estate Ventures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(Assets) Assumed</w:t>
            </w:r>
          </w:p>
        </w:tc>
        <w:tc>
          <w:tcPr>
            <w:tcW w:w="1560" w:type="dxa"/>
            <w:vAlign w:val="bottom"/>
            <w:tcBorders>
              <w:bottom w:val="single" w:sz="8" w:color="auto"/>
            </w:tcBorders>
            <w:gridSpan w:val="3"/>
            <w:vMerge w:val="continue"/>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Q3 2022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762,118</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Q2 2022</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228,567</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Q1 2022</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227,896</w:t>
            </w:r>
          </w:p>
        </w:tc>
        <w:tc>
          <w:tcPr>
            <w:tcW w:w="0" w:type="dxa"/>
            <w:vAlign w:val="bottom"/>
          </w:tcPr>
          <w:p>
            <w:pPr>
              <w:spacing w:after="0"/>
              <w:rPr>
                <w:sz w:val="1"/>
                <w:szCs w:val="1"/>
                <w:color w:val="auto"/>
              </w:rPr>
            </w:pPr>
          </w:p>
        </w:tc>
      </w:tr>
      <w:tr>
        <w:trPr>
          <w:trHeight w:val="212"/>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2022</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147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1,045,914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(1,206)</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165,965</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1,218,581</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Q3 2021</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186,592</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2021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193,783</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Q1 2021</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4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151,884</w:t>
            </w:r>
          </w:p>
        </w:tc>
        <w:tc>
          <w:tcPr>
            <w:tcW w:w="0" w:type="dxa"/>
            <w:vAlign w:val="bottom"/>
          </w:tcPr>
          <w:p>
            <w:pPr>
              <w:spacing w:after="0"/>
              <w:rPr>
                <w:sz w:val="1"/>
                <w:szCs w:val="1"/>
                <w:color w:val="auto"/>
              </w:rPr>
            </w:pPr>
          </w:p>
        </w:tc>
      </w:tr>
      <w:tr>
        <w:trPr>
          <w:trHeight w:val="237"/>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2021</w:t>
            </w: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525,166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4,072</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532,259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15, 2022 the Company completed the acquisition of multiple entities doing business as Storage Express for a purchase price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$590.0 million. A portion of the consideration paid was in the form of the issuance of 619,294 OP units (a total value of $125.0 million) and the remainder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The portfolio included 106 operating stores and eight parcels of land for future development, all located in Illinois, Indiana, Kentucky and Ohio.</w:t>
      </w:r>
    </w:p>
    <w:p>
      <w:pPr>
        <w:spacing w:after="0" w:line="234" w:lineRule="auto"/>
        <w:rPr>
          <w:sz w:val="20"/>
          <w:szCs w:val="20"/>
          <w:color w:val="auto"/>
        </w:rPr>
      </w:pPr>
      <w:r>
        <w:rPr>
          <w:rFonts w:ascii="Times New Roman" w:cs="Times New Roman" w:eastAsia="Times New Roman" w:hAnsi="Times New Roman"/>
          <w:sz w:val="18"/>
          <w:szCs w:val="18"/>
          <w:color w:val="auto"/>
        </w:rPr>
        <w:t>This acquisition did not meet the definition of a business under ASU 2017-01, "</w:t>
      </w:r>
      <w:r>
        <w:rPr>
          <w:rFonts w:ascii="Times New Roman" w:cs="Times New Roman" w:eastAsia="Times New Roman" w:hAnsi="Times New Roman"/>
          <w:sz w:val="18"/>
          <w:szCs w:val="18"/>
          <w:i w:val="1"/>
          <w:iCs w:val="1"/>
          <w:color w:val="auto"/>
        </w:rPr>
        <w:t>Business Combinations (Topic 805): Clarifying the Definition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was therefore considered an asset acquisition.</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September 30, 2022 the Company purchased six operating stores for a total purchase price of $147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54" w:lineRule="exact"/>
        <w:rPr>
          <w:sz w:val="20"/>
          <w:szCs w:val="20"/>
          <w:color w:val="auto"/>
        </w:rPr>
      </w:pPr>
    </w:p>
    <w:p>
      <w:pPr>
        <w:jc w:val="both"/>
        <w:ind w:left="260" w:right="300" w:firstLine="445"/>
        <w:spacing w:after="0" w:line="272" w:lineRule="auto"/>
        <w:rPr>
          <w:sz w:val="20"/>
          <w:szCs w:val="20"/>
          <w:color w:val="auto"/>
        </w:rPr>
      </w:pPr>
      <w:r>
        <w:rPr>
          <w:rFonts w:ascii="Times New Roman" w:cs="Times New Roman" w:eastAsia="Times New Roman" w:hAnsi="Times New Roman"/>
          <w:sz w:val="17"/>
          <w:szCs w:val="17"/>
          <w:color w:val="auto"/>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June 1, 2022, Bargold had approximately 17,000 storage units with an approximate occupancy of 97%. This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acquisition is considered a business combination under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total consideration transferred to acquire Bargold:</w:t>
      </w:r>
    </w:p>
    <w:p>
      <w:pPr>
        <w:spacing w:after="0" w:line="297" w:lineRule="exact"/>
        <w:rPr>
          <w:sz w:val="20"/>
          <w:szCs w:val="20"/>
          <w:color w:val="auto"/>
        </w:rPr>
      </w:pPr>
    </w:p>
    <w:tbl>
      <w:tblPr>
        <w:tblLayout w:type="fixed"/>
        <w:tblInd w:w="3620" w:type="dxa"/>
        <w:tblCellMar>
          <w:top w:w="0" w:type="dxa"/>
          <w:left w:w="0" w:type="dxa"/>
          <w:bottom w:w="0" w:type="dxa"/>
          <w:right w:w="0" w:type="dxa"/>
        </w:tblCellMar>
      </w:tblP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by the company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157,302</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Series D Units issued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 Units issued</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179,302</w:t>
            </w:r>
          </w:p>
        </w:tc>
      </w:tr>
      <w:tr>
        <w:trPr>
          <w:trHeight w:val="21"/>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part of this acquisition, we recorded an expense of $1,465 related to transaction costs.</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preliminary estimated fair values of the assets acquired and liabilities assumed at the acquisition date.</w:t>
      </w:r>
    </w:p>
    <w:p>
      <w:pPr>
        <w:spacing w:after="0" w:line="54" w:lineRule="exact"/>
        <w:rPr>
          <w:sz w:val="20"/>
          <w:szCs w:val="20"/>
          <w:color w:val="auto"/>
        </w:rPr>
      </w:pPr>
    </w:p>
    <w:tbl>
      <w:tblPr>
        <w:tblLayout w:type="fixed"/>
        <w:tblInd w:w="2740" w:type="dxa"/>
        <w:tblCellMar>
          <w:top w:w="0" w:type="dxa"/>
          <w:left w:w="0" w:type="dxa"/>
          <w:bottom w:w="0" w:type="dxa"/>
          <w:right w:w="0" w:type="dxa"/>
        </w:tblCellMar>
      </w:tblP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payables and accrued liabilities assumed</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Nets asset acquired</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170,811</w:t>
            </w:r>
          </w:p>
        </w:tc>
      </w:tr>
      <w:tr>
        <w:trPr>
          <w:trHeight w:val="22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179,302</w:t>
            </w:r>
          </w:p>
        </w:tc>
      </w:tr>
      <w:tr>
        <w:trPr>
          <w:trHeight w:val="20"/>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following table summarizes the revenues and earnings related to Bargold since the acquisition date of June 1, 2022, which are included in the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Company's consolidated statement of operations for the nine months ended September 30, 2022:</w:t>
      </w:r>
    </w:p>
    <w:p>
      <w:pPr>
        <w:spacing w:after="0" w:line="36" w:lineRule="exact"/>
        <w:rPr>
          <w:sz w:val="20"/>
          <w:szCs w:val="20"/>
          <w:color w:val="auto"/>
        </w:rPr>
      </w:pPr>
    </w:p>
    <w:tbl>
      <w:tblPr>
        <w:tblLayout w:type="fixed"/>
        <w:tblInd w:w="3660" w:type="dxa"/>
        <w:tblCellMar>
          <w:top w:w="0" w:type="dxa"/>
          <w:left w:w="0" w:type="dxa"/>
          <w:bottom w:w="0" w:type="dxa"/>
          <w:right w:w="0" w:type="dxa"/>
        </w:tblCellMar>
      </w:tblP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r>
    </w:tbl>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 Forma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6" w:lineRule="exact"/>
        <w:rPr>
          <w:sz w:val="20"/>
          <w:szCs w:val="20"/>
          <w:color w:val="auto"/>
        </w:rPr>
      </w:pPr>
    </w:p>
    <w:p>
      <w:pPr>
        <w:ind w:left="260" w:right="80" w:firstLine="445"/>
        <w:spacing w:after="0" w:line="261" w:lineRule="auto"/>
        <w:rPr>
          <w:sz w:val="20"/>
          <w:szCs w:val="20"/>
          <w:color w:val="auto"/>
        </w:rPr>
      </w:pPr>
      <w:r>
        <w:rPr>
          <w:rFonts w:ascii="Times New Roman" w:cs="Times New Roman" w:eastAsia="Times New Roman" w:hAnsi="Times New Roman"/>
          <w:sz w:val="18"/>
          <w:szCs w:val="18"/>
          <w:color w:val="auto"/>
        </w:rPr>
        <w:t>As noted above, during the nine months ended September 30, 2022, the Company acquired Bargold. The following pro forma financial information is based on the combined historical financial statements of the Company and Bargold, however, only includes revenue and presents the Company's results as if the acquisition had occurred on January 1, 2021. Net income was excluded as it was impracticable to report expenses due to the lack of historical accrual basis accounting.</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41"/>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520" w:type="dxa"/>
            <w:vAlign w:val="bottom"/>
          </w:tcPr>
          <w:p>
            <w:pPr>
              <w:spacing w:after="0"/>
              <w:rPr>
                <w:sz w:val="20"/>
                <w:szCs w:val="20"/>
                <w:color w:val="auto"/>
              </w:rPr>
            </w:pPr>
          </w:p>
        </w:tc>
        <w:tc>
          <w:tcPr>
            <w:tcW w:w="21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5"/>
        </w:trPr>
        <w:tc>
          <w:tcPr>
            <w:tcW w:w="2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30"/>
        </w:trPr>
        <w:tc>
          <w:tcPr>
            <w:tcW w:w="2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1,592,021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disposed of two previously held for sale stores during the nine months ended September 30, 2022 , for approximately $38.7 million, resulting in a gain of $14.2 million.</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INVESTMENTS IN UNCONSOLIDATED REAL ESTATE ENTITIES</w:t>
      </w:r>
    </w:p>
    <w:p>
      <w:pPr>
        <w:spacing w:after="0" w:line="22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8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203"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investments in unconsolidated real estate ventures and cash distributions in unconsolidated real estate ventures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Excess Profit %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3"/>
                <w:szCs w:val="3"/>
                <w:color w:val="auto"/>
              </w:rPr>
            </w:pPr>
          </w:p>
        </w:tc>
        <w:tc>
          <w:tcPr>
            <w:tcW w:w="11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line="20" w:lineRule="exact"/>
              <w:rPr>
                <w:sz w:val="1"/>
                <w:szCs w:val="1"/>
                <w:color w:val="auto"/>
              </w:rPr>
            </w:pPr>
          </w:p>
        </w:tc>
      </w:tr>
      <w:tr>
        <w:trPr>
          <w:trHeight w:val="200"/>
        </w:trPr>
        <w:tc>
          <w:tcPr>
            <w:tcW w:w="5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PRISA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Portfolio II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Portfolio IV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Portfolio I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 II EXR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70,403</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ESS-CA TIVS JV LP</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VRS Self Storage,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ACPF-EXR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ESS-NYFL JV LP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 Space Northern Properties Six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Alan Jathoo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 Bristol Investments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 - BGO Atlanta GA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EXR Self Storage,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Portfolio III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Portfolio V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unconsolidated real estate ventures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SmartStop Self Storage REIT, Inc. Preferred Stock </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2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Investments in and Cash distributions in unconsolidated real</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393,744</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entities</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pro-rata equity ownership share and maximum potential promoted interest.</w:t>
      </w:r>
    </w:p>
    <w:p>
      <w:pPr>
        <w:spacing w:after="0" w:line="117"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2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180"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contributed a total of $102,670 of cash to its joint ventures, for its pro-rata portion of the purchase price of 29 operating stores.</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INVESTMENTS IN DEBT SECURITIES AND NOTES RECEIVABLE</w:t>
      </w:r>
    </w:p>
    <w:p>
      <w:pPr>
        <w:spacing w:after="0" w:line="22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 NexPoint Series A Preferred Stock</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 NexPoint Series B Preferred Stock</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 Bridge Loans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279,042</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 Senior Mezzanine Loan, net</w:t>
            </w:r>
          </w:p>
        </w:tc>
        <w:tc>
          <w:tcPr>
            <w:tcW w:w="16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38,066</w:t>
            </w:r>
          </w:p>
        </w:tc>
      </w:tr>
      <w:tr>
        <w:trPr>
          <w:trHeight w:val="223"/>
        </w:trPr>
        <w:tc>
          <w:tcPr>
            <w:tcW w:w="7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658,663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719,187</w:t>
            </w:r>
          </w:p>
        </w:tc>
      </w:tr>
      <w:tr>
        <w:trPr>
          <w:trHeight w:val="21"/>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In November 2020, the Company invested $300,000 in the preferred stock of JCAP in connection with the acquisition of JCAP by affiliates of NexPoint Advisors, L.P. This investment consists of 200,000 Series A Preferred Shares valued at a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 not retired after five years, the preferred dividends increase annually.</w:t>
      </w:r>
    </w:p>
    <w:p>
      <w:pPr>
        <w:spacing w:after="0" w:line="214"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In July 2020, the Company purchased a senior mezzanine note receivable with a principal amount of $103,000. This note receivable bore interest at 5.5%, matured in December 2023 and was collateralized through an equity interest in which it or its subsidiaries wholly own 62 storage facilities. The Company paid cash of $101,142 for the loan receivable and accounted for the discount at amortized cost. The discount was being amortized over the term of the loan receivable. In February 2022, a junior mezzanine lender exercised its right to buy the Company’s position for the full principal balance plus interest due, as a result of which the Company sold this note for a total of $103,315 in cash. The remaining unamortized discount was recognized in the quarter as interest income.</w:t>
      </w:r>
    </w:p>
    <w:p>
      <w:pPr>
        <w:spacing w:after="0" w:line="214"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Company provides bridge loan financing to third-party self-storage operators. These notes receivable consist of mortgage loans receivable, collateralized by self-storage properties. These notes receivable typically have a term of three years with two one-year extensions, and have variable interest rates. The Company intends to sell the majority of the mortgage receivables. During the nine months ended September 30, 2022 the Company sold a total principal amount of $204,887 of its mortgage bridge loans receivable to third parties for a total of $203,695 in cash and closed on $314,542 in new mortgage bridge loans.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March 2022, the Operating Partnership executed a public bond issuance by selling $400.0 million principal amount of 3.900% Senior Notes due</w:t>
      </w:r>
    </w:p>
    <w:p>
      <w:pPr>
        <w:spacing w:after="0" w:line="27"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2029 (the "Notes Due 2029"). Interest on the Notes Due 2029 is paid semi-annually in arrears on April 1 and October 1 of each year. The Notes Due 2029 will mature on April 1, 2029, and the Operating Partnership may redeem the Notes Due 2029 at its option and sole discretion at any time prior to April 1, 2029 for cash equal to the outstanding principal amount plus the present value of the remaining scheduled interest payments, plus any accrued but unpaid interest.</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March 15, 2032 for cash equal to the outstanding principal amount plus the present value of the remaining scheduled interest payments, plus any accrued but unpaid interest.</w:t>
      </w:r>
    </w:p>
    <w:p>
      <w:pPr>
        <w:spacing w:after="0" w:line="183"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May 2021, the Operating Partnership executed its initial public bond issuance by selling $450.0 million principal amount of 2.550% Senior Notes due 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31, 2031 for cash equal to the outstanding principal amount plus the present value of the remaining scheduled interest payments, plus any accrued but unpaid interest.</w:t>
      </w:r>
    </w:p>
    <w:p>
      <w:pPr>
        <w:spacing w:after="0" w:line="183"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Operating Partner may redeem the Notes Due 2029, the Notes Due 2031 and/or the Notes Due 2032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date three months prior to the maturity date of the applicable notes, the redemption price will be equal to 100% of the principal amount of the notes being redeemed, plus accrued and unpaid interest thereon to, but not including, the applicable redemption date.</w:t>
      </w:r>
    </w:p>
    <w:p>
      <w:pPr>
        <w:spacing w:after="0" w:line="18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Certain events are considered events of default, which may result in the accelerated maturity of the Notes Due 2029, the Notes Due 2031 and/or the Notes Due 2032, including, among other things, a default for 30 days in the payment of any installment of interest under the notes or a default in the payment of the principal amount or redemption price due with respect to the notes, when the same become due and payable.</w:t>
      </w:r>
    </w:p>
    <w:p>
      <w:pPr>
        <w:spacing w:after="0" w:line="17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Notes Due 2029, the Notes Due 2031 and the Notes Due 2032 are unsecured, and are fully and unconditionally guaranteed by the Company, ESS Holdings Business Trust I, and ESS Holdings Business Trust II (the "Guarantors," and together with the Operating Partnership, the "Obligated Group"), on a joint and several basis. The guarantee of the Notes Due 2031 and the Notes Due 2032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term debt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Term Debt</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 Rate</w:t>
            </w:r>
          </w:p>
        </w:tc>
        <w:tc>
          <w:tcPr>
            <w:tcW w:w="100" w:type="dxa"/>
            <w:vAlign w:val="bottom"/>
            <w:vMerge w:val="restart"/>
          </w:tcPr>
          <w:p>
            <w:pPr>
              <w:spacing w:after="0"/>
              <w:rPr>
                <w:sz w:val="16"/>
                <w:szCs w:val="16"/>
                <w:color w:val="auto"/>
              </w:rPr>
            </w:pPr>
          </w:p>
        </w:tc>
        <w:tc>
          <w:tcPr>
            <w:tcW w:w="166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93"/>
              </w:rPr>
              <w:t xml:space="preserve">Variable Rate </w:t>
            </w:r>
            <w:r>
              <w:rPr>
                <w:rFonts w:ascii="Times New Roman" w:cs="Times New Roman" w:eastAsia="Times New Roman" w:hAnsi="Times New Roman"/>
                <w:sz w:val="23"/>
                <w:szCs w:val="23"/>
                <w:b w:val="1"/>
                <w:bCs w:val="1"/>
                <w:color w:val="auto"/>
                <w:w w:val="93"/>
                <w:vertAlign w:val="superscript"/>
              </w:rPr>
              <w:t>(2)</w:t>
            </w:r>
          </w:p>
        </w:tc>
        <w:tc>
          <w:tcPr>
            <w:tcW w:w="1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Maturity Dates</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gridSpan w:val="2"/>
            <w:vMerge w:val="continue"/>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Secured fixed-rate </w:t>
            </w:r>
            <w:r>
              <w:rPr>
                <w:rFonts w:ascii="Times New Roman" w:cs="Times New Roman" w:eastAsia="Times New Roman" w:hAnsi="Times New Roman"/>
                <w:sz w:val="21"/>
                <w:szCs w:val="21"/>
                <w:color w:val="auto"/>
                <w:vertAlign w:val="superscript"/>
              </w:rPr>
              <w:t>(1)</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526,722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930,830</w:t>
            </w:r>
          </w:p>
        </w:tc>
        <w:tc>
          <w:tcPr>
            <w:tcW w:w="164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2.46% - 4.50%</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240"/>
              <w:spacing w:after="0" w:line="155" w:lineRule="exact"/>
              <w:rPr>
                <w:sz w:val="20"/>
                <w:szCs w:val="20"/>
                <w:color w:val="auto"/>
              </w:rPr>
            </w:pPr>
            <w:r>
              <w:rPr>
                <w:rFonts w:ascii="Times New Roman" w:cs="Times New Roman" w:eastAsia="Times New Roman" w:hAnsi="Times New Roman"/>
                <w:sz w:val="16"/>
                <w:szCs w:val="16"/>
                <w:color w:val="auto"/>
              </w:rPr>
              <w:t>February 2023 -</w:t>
            </w:r>
          </w:p>
        </w:tc>
        <w:tc>
          <w:tcPr>
            <w:tcW w:w="0" w:type="dxa"/>
            <w:vAlign w:val="bottom"/>
          </w:tcPr>
          <w:p>
            <w:pPr>
              <w:spacing w:after="0"/>
              <w:rPr>
                <w:sz w:val="1"/>
                <w:szCs w:val="1"/>
                <w:color w:val="auto"/>
              </w:rPr>
            </w:pPr>
          </w:p>
        </w:tc>
      </w:tr>
      <w:tr>
        <w:trPr>
          <w:trHeight w:val="216"/>
        </w:trPr>
        <w:tc>
          <w:tcPr>
            <w:tcW w:w="33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February 2030</w:t>
            </w:r>
          </w:p>
        </w:tc>
        <w:tc>
          <w:tcPr>
            <w:tcW w:w="0" w:type="dxa"/>
            <w:vAlign w:val="bottom"/>
          </w:tcPr>
          <w:p>
            <w:pPr>
              <w:spacing w:after="0"/>
              <w:rPr>
                <w:sz w:val="1"/>
                <w:szCs w:val="1"/>
                <w:color w:val="auto"/>
              </w:rPr>
            </w:pPr>
          </w:p>
        </w:tc>
      </w:tr>
      <w:tr>
        <w:trPr>
          <w:trHeight w:val="162"/>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Secured variable-rate </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774,375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392,679</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color w:val="auto"/>
              </w:rPr>
              <w:t>4.04% - 4.48%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August 2023 -</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September 2030</w:t>
            </w:r>
          </w:p>
        </w:tc>
        <w:tc>
          <w:tcPr>
            <w:tcW w:w="0" w:type="dxa"/>
            <w:vAlign w:val="bottom"/>
          </w:tcPr>
          <w:p>
            <w:pPr>
              <w:spacing w:after="0"/>
              <w:rPr>
                <w:sz w:val="1"/>
                <w:szCs w:val="1"/>
                <w:color w:val="auto"/>
              </w:rPr>
            </w:pPr>
          </w:p>
        </w:tc>
      </w:tr>
      <w:tr>
        <w:trPr>
          <w:trHeight w:val="162"/>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fixed-rate</w:t>
            </w:r>
          </w:p>
        </w:tc>
        <w:tc>
          <w:tcPr>
            <w:tcW w:w="4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3,840,376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3,575,000</w:t>
            </w:r>
          </w:p>
        </w:tc>
        <w:tc>
          <w:tcPr>
            <w:tcW w:w="164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2.35% - 4.39%</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January 2025 - March</w:t>
            </w:r>
          </w:p>
        </w:tc>
        <w:tc>
          <w:tcPr>
            <w:tcW w:w="0" w:type="dxa"/>
            <w:vAlign w:val="bottom"/>
          </w:tcPr>
          <w:p>
            <w:pPr>
              <w:spacing w:after="0"/>
              <w:rPr>
                <w:sz w:val="1"/>
                <w:szCs w:val="1"/>
                <w:color w:val="auto"/>
              </w:rPr>
            </w:pPr>
          </w:p>
        </w:tc>
      </w:tr>
      <w:tr>
        <w:trPr>
          <w:trHeight w:val="216"/>
        </w:trPr>
        <w:tc>
          <w:tcPr>
            <w:tcW w:w="33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6"/>
                <w:szCs w:val="16"/>
                <w:color w:val="auto"/>
                <w:w w:val="99"/>
              </w:rPr>
              <w:t>2032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Unsecured variable-rate</w:t>
            </w:r>
          </w:p>
        </w:tc>
        <w:tc>
          <w:tcPr>
            <w:tcW w:w="4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1,284,624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color w:val="auto"/>
              </w:rPr>
              <w:t>4.09% - 4.39%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February 2024 - July</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6"/>
                <w:szCs w:val="16"/>
                <w:color w:val="auto"/>
                <w:w w:val="99"/>
              </w:rPr>
              <w:t>2029</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6,426,097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5,448,509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6,393,534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5,422,747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6"/>
            <w:shd w:val="clear" w:color="auto" w:fill="CCEEFF"/>
          </w:tcPr>
          <w:p>
            <w:pPr>
              <w:ind w:left="20"/>
              <w:spacing w:after="0" w:line="216" w:lineRule="exact"/>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The loans are collateralized by mortgages on real estate assets and the assignment of rents.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6160" w:type="dxa"/>
            <w:vAlign w:val="bottom"/>
            <w:gridSpan w:val="6"/>
          </w:tcPr>
          <w:p>
            <w:pPr>
              <w:ind w:left="20"/>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Basis rates include 30-day USD LIBOR, Term SOFR and Daily Simple SOFR.</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9920" w:type="dxa"/>
            <w:vAlign w:val="bottom"/>
            <w:gridSpan w:val="13"/>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scheduled maturities of term debt, excluding available extensions, at September 30, 2022:</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6,426,097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2022, the terms of the Second Amended and Restated Credit Agreement dated June 22, 2021 (the "Credit Agreement")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Debt Capacity</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2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2025</w:t>
            </w:r>
          </w:p>
        </w:tc>
      </w:tr>
      <w:tr>
        <w:trPr>
          <w:trHeight w:val="230"/>
        </w:trPr>
        <w:tc>
          <w:tcPr>
            <w:tcW w:w="7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1 Term Loan Facility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2027</w:t>
            </w:r>
          </w:p>
        </w:tc>
      </w:tr>
      <w:tr>
        <w:trPr>
          <w:trHeight w:val="230"/>
        </w:trPr>
        <w:tc>
          <w:tcPr>
            <w:tcW w:w="7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2 Term Loan Facility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2026</w:t>
            </w:r>
          </w:p>
        </w:tc>
      </w:tr>
      <w:tr>
        <w:trPr>
          <w:trHeight w:val="230"/>
        </w:trPr>
        <w:tc>
          <w:tcPr>
            <w:tcW w:w="7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3 Term Loan Facility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2025</w:t>
            </w:r>
          </w:p>
        </w:tc>
      </w:tr>
      <w:tr>
        <w:trPr>
          <w:trHeight w:val="229"/>
        </w:trPr>
        <w:tc>
          <w:tcPr>
            <w:tcW w:w="7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4 Term Loan Facility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2026</w:t>
            </w:r>
          </w:p>
        </w:tc>
      </w:tr>
      <w:tr>
        <w:trPr>
          <w:trHeight w:val="230"/>
        </w:trPr>
        <w:tc>
          <w:tcPr>
            <w:tcW w:w="7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5 Term Loan Facility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2024</w:t>
            </w:r>
          </w:p>
        </w:tc>
      </w:tr>
      <w:tr>
        <w:trPr>
          <w:trHeight w:val="230"/>
        </w:trPr>
        <w:tc>
          <w:tcPr>
            <w:tcW w:w="7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6 Term Loan Facility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2028</w:t>
            </w:r>
          </w:p>
        </w:tc>
      </w:tr>
      <w:tr>
        <w:trPr>
          <w:trHeight w:val="230"/>
        </w:trPr>
        <w:tc>
          <w:tcPr>
            <w:tcW w:w="7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Tranche 7 Term Loan Facility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July 2029</w:t>
            </w: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term loan amounts have been fully drawn as of September 30, 2022.</w:t>
      </w:r>
    </w:p>
    <w:p>
      <w:pPr>
        <w:spacing w:after="0" w:line="239"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Pursuant to the terms of the Credit Agreement, the Company may request an extension of the term of the revolving credit facility for up to two additional periods of six months each, after satisfying certain conditions.</w:t>
      </w:r>
    </w:p>
    <w:p>
      <w:pPr>
        <w:spacing w:after="0" w:line="189" w:lineRule="exact"/>
        <w:rPr>
          <w:sz w:val="20"/>
          <w:szCs w:val="20"/>
          <w:color w:val="auto"/>
        </w:rPr>
      </w:pPr>
    </w:p>
    <w:p>
      <w:pPr>
        <w:ind w:right="280" w:firstLine="405"/>
        <w:spacing w:after="0" w:line="269" w:lineRule="auto"/>
        <w:rPr>
          <w:sz w:val="20"/>
          <w:szCs w:val="20"/>
          <w:color w:val="auto"/>
        </w:rPr>
      </w:pPr>
      <w:r>
        <w:rPr>
          <w:rFonts w:ascii="Times New Roman" w:cs="Times New Roman" w:eastAsia="Times New Roman" w:hAnsi="Times New Roman"/>
          <w:sz w:val="17"/>
          <w:szCs w:val="17"/>
          <w:color w:val="auto"/>
        </w:rPr>
        <w:t>As of September 30, 2022, amounts outstanding under the revolving credit facility bore interest at floating rates, at the Company’s option, equal to either (i) Term or Daily Simple SOFR plus the Applicable Margin or (ii) the applicable base rate which is the applicable margin plus the highest of (a)</w:t>
      </w:r>
    </w:p>
    <w:p>
      <w:pPr>
        <w:spacing w:after="0"/>
        <w:rPr>
          <w:sz w:val="20"/>
          <w:szCs w:val="20"/>
          <w:color w:val="auto"/>
        </w:rPr>
      </w:pPr>
      <w:r>
        <w:rPr>
          <w:rFonts w:ascii="Times New Roman" w:cs="Times New Roman" w:eastAsia="Times New Roman" w:hAnsi="Times New Roman"/>
          <w:sz w:val="18"/>
          <w:szCs w:val="18"/>
          <w:color w:val="auto"/>
        </w:rPr>
        <w:t>0.0%, (b) the federal funds rate plus 0.50%, (c) U.S. Bank’s prime rate 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6" w:lineRule="exact"/>
        <w:rPr>
          <w:sz w:val="20"/>
          <w:szCs w:val="20"/>
          <w:color w:val="auto"/>
        </w:rPr>
      </w:pPr>
    </w:p>
    <w:p>
      <w:pPr>
        <w:ind w:right="320" w:firstLine="8"/>
        <w:spacing w:after="0" w:line="258"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rate plus 1.00%. Per the Credit Agreement, the applicable SOFR rate margin and applicable base rate margin are based on the Company’s achieved debt rating, with the SOFR rate margin ranging from 0.7% to 1.6% per annum and the applicable base rate margin ranging from 0.00% to 0.60% per annum.</w:t>
      </w:r>
    </w:p>
    <w:p>
      <w:pPr>
        <w:spacing w:after="0" w:line="19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is guaranteed by the Company and is not secured by any assets of the Company. The Company's unsecured debt is subject to certain financial covenants. As of September 30, 2022, the Company was in compliance with all of its financial covenants.</w:t>
      </w:r>
    </w:p>
    <w:p>
      <w:pPr>
        <w:spacing w:after="0" w:line="18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July 2022, the Company completed an accordion transaction in its credit facility, which added a $175.0 million unsecured debt tranche maturing January 2028 and a $425.0 million unsecured debt tranche maturing July 2029. The current interest rates for the tranches are Adjusted Term SOFR/Adjusted Daily Simple SOFR ("ASOFR") + 0.95% and ASOFR + 1.25%, respectively.</w:t>
      </w:r>
    </w:p>
    <w:p>
      <w:pPr>
        <w:spacing w:after="0" w:line="203"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On October 5, 2022, the Company executed two interest rate swap agreements with a total combined notional amount of $200 million. The interest rate swaps were designed as cash flow hedges, with two-year terms and all-in rates of 5.24% and 5.25%.</w:t>
      </w:r>
    </w:p>
    <w:p>
      <w:pPr>
        <w:spacing w:after="0" w:line="162" w:lineRule="exact"/>
        <w:rPr>
          <w:sz w:val="20"/>
          <w:szCs w:val="20"/>
          <w:color w:val="auto"/>
        </w:rPr>
      </w:pPr>
    </w:p>
    <w:p>
      <w:pPr>
        <w:ind w:right="140" w:firstLine="445"/>
        <w:spacing w:after="0" w:line="271" w:lineRule="auto"/>
        <w:rPr>
          <w:sz w:val="20"/>
          <w:szCs w:val="20"/>
          <w:color w:val="auto"/>
        </w:rPr>
      </w:pPr>
      <w:r>
        <w:rPr>
          <w:rFonts w:ascii="Times New Roman" w:cs="Times New Roman" w:eastAsia="Times New Roman" w:hAnsi="Times New Roman"/>
          <w:sz w:val="18"/>
          <w:szCs w:val="18"/>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Lines of Credit</w:t>
            </w:r>
          </w:p>
        </w:tc>
        <w:tc>
          <w:tcPr>
            <w:tcW w:w="1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Drawn</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980" w:type="dxa"/>
            <w:vAlign w:val="bottom"/>
          </w:tcPr>
          <w:p>
            <w:pPr>
              <w:jc w:val="center"/>
              <w:spacing w:after="0" w:line="223" w:lineRule="exact"/>
              <w:rPr>
                <w:sz w:val="20"/>
                <w:szCs w:val="20"/>
                <w:color w:val="auto"/>
              </w:rPr>
            </w:pPr>
            <w:r>
              <w:rPr>
                <w:rFonts w:ascii="Times New Roman" w:cs="Times New Roman" w:eastAsia="Times New Roman" w:hAnsi="Times New Roman"/>
                <w:sz w:val="18"/>
                <w:szCs w:val="18"/>
                <w:b w:val="1"/>
                <w:bCs w:val="1"/>
                <w:color w:val="auto"/>
                <w:w w:val="95"/>
              </w:rPr>
              <w:t xml:space="preserve">Basis Rate </w:t>
            </w:r>
            <w:r>
              <w:rPr>
                <w:rFonts w:ascii="Times New Roman" w:cs="Times New Roman" w:eastAsia="Times New Roman" w:hAnsi="Times New Roman"/>
                <w:sz w:val="23"/>
                <w:szCs w:val="23"/>
                <w:b w:val="1"/>
                <w:bCs w:val="1"/>
                <w:color w:val="auto"/>
                <w:w w:val="95"/>
                <w:vertAlign w:val="superscript"/>
              </w:rPr>
              <w:t>(1)</w:t>
            </w:r>
          </w:p>
        </w:tc>
      </w:tr>
      <w:tr>
        <w:trPr>
          <w:trHeight w:val="223"/>
        </w:trPr>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Credit Line 1</w:t>
            </w:r>
          </w:p>
        </w:tc>
        <w:tc>
          <w:tcPr>
            <w:tcW w:w="29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(2)</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7/1/2023</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SOFR plus 1.35%</w:t>
            </w:r>
          </w:p>
        </w:tc>
      </w:tr>
      <w:tr>
        <w:trPr>
          <w:trHeight w:val="229"/>
        </w:trPr>
        <w:tc>
          <w:tcPr>
            <w:tcW w:w="1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Credit Line 2</w:t>
            </w:r>
          </w:p>
        </w:tc>
        <w:tc>
          <w:tcPr>
            <w:tcW w:w="2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(3)(4)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30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6/20/2025</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SOFR plus 0.95%</w:t>
            </w:r>
          </w:p>
        </w:tc>
      </w:tr>
      <w:tr>
        <w:trPr>
          <w:trHeight w:val="230"/>
        </w:trPr>
        <w:tc>
          <w:tcPr>
            <w:tcW w:w="100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1,390,000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bl>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Simple SOFR</w:t>
      </w:r>
    </w:p>
    <w:p>
      <w:pPr>
        <w:spacing w:after="0" w:line="31" w:lineRule="exact"/>
        <w:rPr>
          <w:rFonts w:ascii="Times New Roman" w:cs="Times New Roman" w:eastAsia="Times New Roman" w:hAnsi="Times New Roman"/>
          <w:sz w:val="16"/>
          <w:szCs w:val="16"/>
          <w:color w:val="auto"/>
        </w:rPr>
      </w:pPr>
    </w:p>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by mortgages on certain real estate assets. No remaining extensions available.</w:t>
      </w:r>
    </w:p>
    <w:p>
      <w:pPr>
        <w:spacing w:after="0" w:line="32" w:lineRule="exact"/>
        <w:rPr>
          <w:rFonts w:ascii="Times New Roman" w:cs="Times New Roman" w:eastAsia="Times New Roman" w:hAnsi="Times New Roman"/>
          <w:sz w:val="16"/>
          <w:szCs w:val="16"/>
          <w:color w:val="auto"/>
        </w:rPr>
      </w:pPr>
    </w:p>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Two six-month extensions available.</w:t>
      </w:r>
    </w:p>
    <w:p>
      <w:pPr>
        <w:spacing w:after="0" w:line="32" w:lineRule="exact"/>
        <w:rPr>
          <w:rFonts w:ascii="Times New Roman" w:cs="Times New Roman" w:eastAsia="Times New Roman" w:hAnsi="Times New Roman"/>
          <w:sz w:val="16"/>
          <w:szCs w:val="16"/>
          <w:color w:val="auto"/>
        </w:rPr>
      </w:pPr>
    </w:p>
    <w:p>
      <w:pPr>
        <w:ind w:left="260" w:hanging="234"/>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September 30, 2022. Rate is subject to change based on the Company's investment grade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-518795</wp:posOffset>
            </wp:positionV>
            <wp:extent cx="1654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Company’s percentage of fixed-rate debt to total debt was 62.2%. The weighted average interest rates of the Company’s fixed and variable-rate debt were 3.2% and 4.2%, respectively. The combined weighted average interest rate was 3.6%.</w:t>
      </w:r>
    </w:p>
    <w:p>
      <w:pPr>
        <w:spacing w:after="0" w:line="266"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21" w:lineRule="exact"/>
        <w:rPr>
          <w:sz w:val="20"/>
          <w:szCs w:val="20"/>
          <w:color w:val="auto"/>
        </w:rPr>
      </w:pPr>
    </w:p>
    <w:p>
      <w:pPr>
        <w:ind w:right="240" w:firstLine="445"/>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07"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2022 and 2021, such derivatives were used to hedge the variable cash flows associated with existing variable-rate debt. In the coming 12 months, the Company estimates that $29,746 will be reclassified as an increase to interest income.</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held 15 derivative financial instruments which had a total combined notional amount of $1,439,256 as of September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w:t>
      </w:r>
    </w:p>
    <w:p>
      <w:pPr>
        <w:spacing w:after="0" w:line="121" w:lineRule="exact"/>
        <w:rPr>
          <w:sz w:val="20"/>
          <w:szCs w:val="20"/>
          <w:color w:val="auto"/>
        </w:rPr>
      </w:pPr>
    </w:p>
    <w:p>
      <w:pPr>
        <w:ind w:right="940" w:firstLine="445"/>
        <w:spacing w:after="0" w:line="270"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condensed consolidated balance sheets:</w:t>
      </w: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 Instruments</w:t>
      </w:r>
    </w:p>
    <w:p>
      <w:pPr>
        <w:spacing w:after="0" w:line="121"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40" w:type="dxa"/>
            <w:vAlign w:val="bottom"/>
            <w:gridSpan w:val="6"/>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Gain (loss) recognized in OCI For the Three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00" w:type="dxa"/>
            <w:vAlign w:val="bottom"/>
          </w:tcPr>
          <w:p>
            <w:pPr>
              <w:spacing w:after="0"/>
              <w:rPr>
                <w:sz w:val="13"/>
                <w:szCs w:val="13"/>
                <w:color w:val="auto"/>
              </w:rPr>
            </w:pPr>
          </w:p>
        </w:tc>
        <w:tc>
          <w:tcPr>
            <w:tcW w:w="308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 (loss) reclassified from OCI For the Three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40" w:type="dxa"/>
            <w:vAlign w:val="bottom"/>
            <w:gridSpan w:val="6"/>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3080" w:type="dxa"/>
            <w:vAlign w:val="bottom"/>
            <w:gridSpan w:val="4"/>
          </w:tcPr>
          <w:p>
            <w:pPr>
              <w:ind w:left="560"/>
              <w:spacing w:after="0" w:line="135" w:lineRule="exact"/>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740" w:type="dxa"/>
            <w:vAlign w:val="bottom"/>
            <w:gridSpan w:val="4"/>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reclassified from OCI</w:t>
            </w:r>
          </w:p>
        </w:tc>
        <w:tc>
          <w:tcPr>
            <w:tcW w:w="1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80" w:type="dxa"/>
            <w:vAlign w:val="bottom"/>
          </w:tcPr>
          <w:p>
            <w:pPr>
              <w:spacing w:after="0" w:line="20" w:lineRule="exact"/>
              <w:rPr>
                <w:sz w:val="1"/>
                <w:szCs w:val="1"/>
                <w:color w:val="auto"/>
              </w:rPr>
            </w:pPr>
          </w:p>
        </w:tc>
        <w:tc>
          <w:tcPr>
            <w:tcW w:w="142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4"/>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into income</w:t>
            </w:r>
          </w:p>
        </w:tc>
        <w:tc>
          <w:tcPr>
            <w:tcW w:w="10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 Agreements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OCI For the Nine Months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00" w:type="dxa"/>
            <w:vAlign w:val="bottom"/>
          </w:tcPr>
          <w:p>
            <w:pPr>
              <w:spacing w:after="0"/>
              <w:rPr>
                <w:sz w:val="24"/>
                <w:szCs w:val="24"/>
                <w:color w:val="auto"/>
              </w:rPr>
            </w:pPr>
          </w:p>
        </w:tc>
        <w:tc>
          <w:tcPr>
            <w:tcW w:w="308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 (loss) reclassified from OCI For the Nine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5"/>
          </w:tcPr>
          <w:p>
            <w:pPr>
              <w:jc w:val="center"/>
              <w:ind w:left="663"/>
              <w:spacing w:after="0" w:line="146"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4"/>
          </w:tcPr>
          <w:p>
            <w:pPr>
              <w:ind w:left="560"/>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20" w:type="dxa"/>
            <w:vAlign w:val="bottom"/>
            <w:gridSpan w:val="3"/>
            <w:vMerge w:val="restart"/>
          </w:tcPr>
          <w:p>
            <w:pPr>
              <w:jc w:val="center"/>
              <w:ind w:right="140"/>
              <w:spacing w:after="0" w:line="110" w:lineRule="exact"/>
              <w:rPr>
                <w:sz w:val="20"/>
                <w:szCs w:val="20"/>
                <w:color w:val="auto"/>
              </w:rPr>
            </w:pPr>
            <w:r>
              <w:rPr>
                <w:rFonts w:ascii="Times New Roman" w:cs="Times New Roman" w:eastAsia="Times New Roman" w:hAnsi="Times New Roman"/>
                <w:sz w:val="12"/>
                <w:szCs w:val="12"/>
                <w:b w:val="1"/>
                <w:bCs w:val="1"/>
                <w:color w:val="auto"/>
              </w:rPr>
              <w:t>reclassified from OCI</w:t>
            </w: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80" w:type="dxa"/>
            <w:vAlign w:val="bottom"/>
          </w:tcPr>
          <w:p>
            <w:pPr>
              <w:spacing w:after="0"/>
              <w:rPr>
                <w:sz w:val="3"/>
                <w:szCs w:val="3"/>
                <w:color w:val="auto"/>
              </w:rPr>
            </w:pPr>
          </w:p>
        </w:tc>
        <w:tc>
          <w:tcPr>
            <w:tcW w:w="1420" w:type="dxa"/>
            <w:vAlign w:val="bottom"/>
            <w:vMerge w:val="restart"/>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into income</w:t>
            </w: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 Agreements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4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(13,536)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21"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03"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2022, the Company did not have any net liability positions in the fair value of derivatives.</w:t>
      </w:r>
    </w:p>
    <w:p>
      <w:pPr>
        <w:spacing w:after="0" w:line="3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7, 2022, the Company issued 186,766 shares of its common stock to acquire two stores for $40,965.</w:t>
      </w:r>
    </w:p>
    <w:p>
      <w:pPr>
        <w:spacing w:after="0" w:line="25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$66,617.</w:t>
      </w:r>
    </w:p>
    <w:p>
      <w:pPr>
        <w:spacing w:after="0" w:line="207"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On March 23, 2021, the Company sold 1,600,000 shares of its common stock in a registered offering structured as a bought deal at a price of $129.13 per share resulting in net proceeds of $206,572.</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15, 2020, the Company's board of directors authorized a new share repurchase program allowing for the repurchase of shares with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value up to $400,000. During the nine months ended September 30, 2022, the Company repurchased 381,786 shares at an average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$165.03 per share, paying a total of $63,008. As of September 30, 2022, the Company had remaining authorization to repurchase shares with an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up to $336,992.</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NONCONTROLLING INTEREST REPRESENTED BY PREFERRED OPERATING PARTNERSHIP UNITS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Noncontrolling Interests</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10"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0" w:lineRule="exact"/>
        <w:rPr>
          <w:sz w:val="20"/>
          <w:szCs w:val="20"/>
          <w:color w:val="auto"/>
        </w:rPr>
      </w:pPr>
    </w:p>
    <w:p>
      <w:pPr>
        <w:ind w:right="240" w:firstLine="445"/>
        <w:spacing w:after="0" w:line="256" w:lineRule="auto"/>
        <w:rPr>
          <w:sz w:val="20"/>
          <w:szCs w:val="20"/>
          <w:color w:val="auto"/>
        </w:rPr>
      </w:pPr>
      <w:r>
        <w:rPr>
          <w:rFonts w:ascii="Times New Roman" w:cs="Times New Roman" w:eastAsia="Times New Roman" w:hAnsi="Times New Roman"/>
          <w:sz w:val="18"/>
          <w:szCs w:val="18"/>
          <w:color w:val="auto"/>
        </w:rPr>
        <w:t>At September 30, 2022 and December 31, 2021,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September 30, 2022 and December 31, 2021,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1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Units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Units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D Units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205,436</w:t>
            </w:r>
          </w:p>
        </w:tc>
      </w:tr>
      <w:tr>
        <w:trPr>
          <w:trHeight w:val="223"/>
        </w:trPr>
        <w:tc>
          <w:tcPr>
            <w:tcW w:w="67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261,494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259,110</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Participating Redeemable Preferred Units</w:t>
      </w:r>
    </w:p>
    <w:p>
      <w:pPr>
        <w:spacing w:after="0" w:line="254" w:lineRule="exact"/>
        <w:rPr>
          <w:sz w:val="20"/>
          <w:szCs w:val="20"/>
          <w:color w:val="auto"/>
        </w:rPr>
      </w:pPr>
    </w:p>
    <w:p>
      <w:pPr>
        <w:ind w:right="780" w:firstLine="445"/>
        <w:spacing w:after="0" w:line="282"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5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0"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Redeemable Preferred Units</w:t>
      </w:r>
    </w:p>
    <w:p>
      <w:pPr>
        <w:spacing w:after="0" w:line="254"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0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Series B Units were issued in 2013 and 2014. The Series B Units have a liquidation value of $25.00 per unit for a fixed liquidation value of $33,568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10, 2022, 45,000 Series B Units were redeemed for $1,125 in cash.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Redeemable Preferred Units</w:t>
      </w:r>
    </w:p>
    <w:p>
      <w:pPr>
        <w:spacing w:after="0" w:line="241" w:lineRule="exact"/>
        <w:rPr>
          <w:sz w:val="20"/>
          <w:szCs w:val="20"/>
          <w:color w:val="auto"/>
        </w:rPr>
      </w:pPr>
    </w:p>
    <w:p>
      <w:pPr>
        <w:jc w:val="both"/>
        <w:ind w:right="180" w:firstLine="445"/>
        <w:spacing w:after="0" w:line="250"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2022 and December 31, 2021, there were no outstanding Series C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Redeemable Preferred Units</w:t>
      </w:r>
    </w:p>
    <w:p>
      <w:pPr>
        <w:spacing w:after="0" w:line="254"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68"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Series D Units have a liquidation value of $25.00 per unit, for a fixed liquidation value of $211,436, which represents 8,457,422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7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Series D Units have been issued at various times from 2014 to 2022. On June 1, 2022, the Operating Partnership issued a total of 240,000 Series D units valued at $6,000 in connection with the acquisition of Bargold.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NONCONTROLLING INTEREST IN OPERATING PARTNERSHIP AND OTHER NONCONTROLLING INTERESTS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 in Operating Partnership</w:t>
      </w:r>
    </w:p>
    <w:p>
      <w:pPr>
        <w:spacing w:after="0" w:line="25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Company’s interest in its stores is held through the Operating Partnership. Between its general partner and limited partner interests, the Company held a 93.4% ownership interest in the Operating Partnership as of September 30, 2022. The remaining ownership interests in the Operating Partnership (including Preferred OP Units) of 6.6% are held by certain former owners of assets acquired by the Operating Partnership. As of September 30, 2022 and December 31, 2021,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214"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2022, the ten-day average closing price of the Company's common stock was $173.48 and there were 7,221,445 OP Units outstanding. Assuming that all of the OP Unit holders exercised their right to redeem all of their OP Units on September 30, 2022 and the Company elected to pay the OP Unit holders cash, the Company would have paid $1,252,776 in cash consideration to redeem the units.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 Unit activity is summarized as follows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74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 Units redeemed for common stock</w:t>
            </w: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64,287</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 Units redeemed for cash</w:t>
            </w:r>
          </w:p>
        </w:tc>
        <w:tc>
          <w:tcPr>
            <w:tcW w:w="11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18,028</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 Units redeemed</w:t>
            </w:r>
          </w:p>
        </w:tc>
        <w:tc>
          <w:tcPr>
            <w:tcW w:w="116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 Units issued in conjunction with business combination and acquisitions</w:t>
            </w:r>
          </w:p>
        </w:tc>
        <w:tc>
          <w:tcPr>
            <w:tcW w:w="11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711,037</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 of OP Units issued in conjunction with business combination and acquisitions</w:t>
            </w:r>
          </w:p>
        </w:tc>
        <w:tc>
          <w:tcPr>
            <w:tcW w:w="116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141,000</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1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Noncontrolling Interests</w:t>
      </w:r>
    </w:p>
    <w:p>
      <w:pPr>
        <w:spacing w:after="0" w:line="254" w:lineRule="exact"/>
        <w:rPr>
          <w:sz w:val="20"/>
          <w:szCs w:val="20"/>
          <w:color w:val="auto"/>
        </w:rPr>
      </w:pPr>
    </w:p>
    <w:p>
      <w:pPr>
        <w:ind w:right="220" w:firstLine="445"/>
        <w:spacing w:after="0" w:line="312" w:lineRule="auto"/>
        <w:rPr>
          <w:sz w:val="20"/>
          <w:szCs w:val="20"/>
          <w:color w:val="auto"/>
        </w:rPr>
      </w:pPr>
      <w:r>
        <w:rPr>
          <w:rFonts w:ascii="Times New Roman" w:cs="Times New Roman" w:eastAsia="Times New Roman" w:hAnsi="Times New Roman"/>
          <w:sz w:val="17"/>
          <w:szCs w:val="17"/>
          <w:color w:val="auto"/>
        </w:rPr>
        <w:t>Other noncontrolling interests represent the ownership interests of third parties in three consolidated joint ventures as of September 30, 2022. Each joint venture owns one store and all three properties are under development. The voting interest of the third-party owners are between 3.0% and 10.0%.</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10"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207"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0" w:right="339" w:bottom="1440" w:gutter="0" w:footer="0" w:header="0"/>
        </w:sectPr>
      </w:pPr>
    </w:p>
    <w:p>
      <w:pPr>
        <w:spacing w:after="0" w:line="232"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21590</wp:posOffset>
            </wp:positionV>
            <wp:extent cx="25031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 w:lineRule="exact"/>
        <w:rPr>
          <w:sz w:val="20"/>
          <w:szCs w:val="20"/>
          <w:color w:val="auto"/>
        </w:rPr>
      </w:pPr>
    </w:p>
    <w:p>
      <w:pPr>
        <w:ind w:left="4520"/>
        <w:spacing w:after="0"/>
        <w:tabs>
          <w:tab w:leader="none" w:pos="64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21590</wp:posOffset>
            </wp:positionV>
            <wp:extent cx="2160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6" w:lineRule="exact"/>
        <w:rPr>
          <w:sz w:val="20"/>
          <w:szCs w:val="20"/>
          <w:color w:val="auto"/>
        </w:rPr>
      </w:pPr>
    </w:p>
    <w:p>
      <w:pPr>
        <w:ind w:left="460"/>
        <w:spacing w:after="0"/>
        <w:tabs>
          <w:tab w:leader="none" w:pos="21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sectPr>
          <w:pgSz w:w="11900" w:h="16838" w:orient="portrait"/>
          <w:cols w:equalWidth="0" w:num="2">
            <w:col w:w="7340" w:space="720"/>
            <w:col w:w="318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7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Self-Storage Operations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428,787</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351,355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1,216,639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976,448</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Tenant Reinsurance</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47,869</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138,093</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126,211</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revenues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476,656</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395,613</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1,354,732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1,102,659</w:t>
            </w: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 Operations</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114,577</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92,794</w:t>
            </w:r>
          </w:p>
        </w:tc>
        <w:tc>
          <w:tcPr>
            <w:tcW w:w="2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322,371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274,316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Reinsurance</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expenses</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125,347</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100,303</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347,720</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295,721</w:t>
            </w: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income:</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Self-Storage Operations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314,210</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258,561</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894,268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702,132</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Tenant Reinsurance</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2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112,744</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104,806</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net operating income:</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351,309</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295,310</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1,007,012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806,938</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components of net income:</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2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(93,288)</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(71,423)</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(208,396)</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(179,685)</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(56,245)</w:t>
            </w: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(146,249)</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(120,605)</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w:t>
            </w: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52,174</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Equity in earnings and dividend income from</w:t>
            </w:r>
          </w:p>
        </w:tc>
        <w:tc>
          <w:tcPr>
            <w:tcW w:w="7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7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5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unconsolidated real estate entities</w:t>
            </w:r>
          </w:p>
        </w:tc>
        <w:tc>
          <w:tcPr>
            <w:tcW w:w="7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Equity in earnings of unconsolidated real estate</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ventures - gain on sale of real estate assets and</w:t>
            </w:r>
          </w:p>
        </w:tc>
        <w:tc>
          <w:tcPr>
            <w:tcW w:w="7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4"/>
                <w:szCs w:val="14"/>
                <w:color w:val="auto"/>
              </w:rPr>
            </w:pP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joint venture partner's interest</w:t>
            </w:r>
          </w:p>
        </w:tc>
        <w:tc>
          <w:tcPr>
            <w:tcW w:w="7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7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0" w:type="dxa"/>
            <w:vAlign w:val="bottom"/>
          </w:tcPr>
          <w:p>
            <w:pPr>
              <w:spacing w:after="0"/>
              <w:rPr>
                <w:sz w:val="1"/>
                <w:szCs w:val="1"/>
                <w:color w:val="auto"/>
              </w:rPr>
            </w:pPr>
          </w:p>
        </w:tc>
      </w:tr>
      <w:tr>
        <w:trPr>
          <w:trHeight w:val="223"/>
        </w:trPr>
        <w:tc>
          <w:tcPr>
            <w:tcW w:w="3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236,126</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199,820</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As of September 30, 2022,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16" w:lineRule="exact"/>
        <w:rPr>
          <w:sz w:val="20"/>
          <w:szCs w:val="20"/>
          <w:color w:val="auto"/>
        </w:rPr>
      </w:pPr>
    </w:p>
    <w:p>
      <w:pPr>
        <w:jc w:val="both"/>
        <w:ind w:right="140" w:firstLine="445"/>
        <w:spacing w:after="0" w:line="289" w:lineRule="auto"/>
        <w:rPr>
          <w:sz w:val="20"/>
          <w:szCs w:val="20"/>
          <w:color w:val="auto"/>
        </w:rPr>
      </w:pPr>
      <w:r>
        <w:rPr>
          <w:rFonts w:ascii="Times New Roman" w:cs="Times New Roman" w:eastAsia="Times New Roman" w:hAnsi="Times New Roman"/>
          <w:sz w:val="17"/>
          <w:szCs w:val="17"/>
          <w:color w:val="auto"/>
        </w:rPr>
        <w:t>As of September 30, 2022, the Company was under agreement to acquire 15 stores at a total purchase price of $272,928. Seven stores are scheduled to close in 2022 and eight stores are scheduled to close in 2023 and thereafter. Additionally, the Company is under agreement to acquire seven stores with joint venture partners, for a total investment of $24,431. Three stores are scheduled to close in 2022 and four stores are scheduled to close in 2023.</w:t>
      </w:r>
    </w:p>
    <w:p>
      <w:pPr>
        <w:spacing w:after="0" w:line="185"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color w:val="auto"/>
        </w:rPr>
        <w:t>The Company owns and/or operates stores located in Florida and South Carolina that were impacted by Hurricane Ian during the quarter ended September 30, 2022. Losses incurred to date by this hurricane include property damage, net of insurance recoveries, of $3,200, and tenant reinsurance claims of $3,000, which are included in property operations and tenant reinsurance on the Company's condensed consolidated statements of operations, respectively.</w:t>
      </w:r>
    </w:p>
    <w:p>
      <w:pPr>
        <w:spacing w:after="0" w:line="20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w:t>
      </w:r>
    </w:p>
    <w:p>
      <w:pPr>
        <w:spacing w:after="0" w:line="254"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our unaudited </w:t>
      </w:r>
      <w:r>
        <w:rPr>
          <w:rFonts w:ascii="Times New Roman" w:cs="Times New Roman" w:eastAsia="Times New Roman" w:hAnsi="Times New Roman"/>
          <w:sz w:val="18"/>
          <w:szCs w:val="18"/>
          <w:i w:val="1"/>
          <w:iCs w:val="1"/>
          <w:color w:val="auto"/>
        </w:rPr>
        <w:t>“Condensed Consolidated Financial Statements”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Notes to Condensed Consolidated Financial Statements (unaudited)”</w:t>
      </w:r>
      <w:r>
        <w:rPr>
          <w:rFonts w:ascii="Times New Roman" w:cs="Times New Roman" w:eastAsia="Times New Roman" w:hAnsi="Times New Roman"/>
          <w:sz w:val="18"/>
          <w:szCs w:val="18"/>
          <w:color w:val="auto"/>
        </w:rPr>
        <w:t xml:space="preserve"> appearing elsewhere in this report and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to Consolidated Financial Statements”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“Management’s Discussion and Analysis of Financial Condition and Results of Operations” </w:t>
      </w:r>
      <w:r>
        <w:rPr>
          <w:rFonts w:ascii="Times New Roman" w:cs="Times New Roman" w:eastAsia="Times New Roman" w:hAnsi="Times New Roman"/>
          <w:sz w:val="18"/>
          <w:szCs w:val="18"/>
          <w:color w:val="auto"/>
        </w:rPr>
        <w:t>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Form 10-K for the year ended December 31, 2021.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8"/>
          <w:szCs w:val="18"/>
          <w:i w:val="1"/>
          <w:iCs w:val="1"/>
          <w:color w:val="auto"/>
        </w:rPr>
        <w:t>Statement on Forward-Looking Information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2021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21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8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3" w:lineRule="exact"/>
        <w:rPr>
          <w:sz w:val="20"/>
          <w:szCs w:val="20"/>
          <w:color w:val="auto"/>
        </w:rPr>
      </w:pPr>
    </w:p>
    <w:p>
      <w:pPr>
        <w:jc w:val="both"/>
        <w:ind w:right="100" w:firstLine="445"/>
        <w:spacing w:after="0" w:line="266" w:lineRule="auto"/>
        <w:rPr>
          <w:sz w:val="20"/>
          <w:szCs w:val="20"/>
          <w:color w:val="auto"/>
        </w:rPr>
      </w:pPr>
      <w:r>
        <w:rPr>
          <w:rFonts w:ascii="Times New Roman" w:cs="Times New Roman" w:eastAsia="Times New Roman" w:hAnsi="Times New Roman"/>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1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56"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United States and other countries around the world continue to navigate the effects of the COVID-19 pandemic. Governmental authorities in impacted regions have taken various actions in an effort to slow the spread of COVID-19, including issuance of varying forms of states of emergency orders. In response to these evolving orders and the COVID-19 pandemic, we implemented a wide range of practices to protect and support our employees and customers. Although most governmental restrictions have lifted and many work practices have returned to normal, our customers may continue to be impacted by the COVID-19 pandemic and related governmental responses. Given the uncertainty resulting from the pandemic, our business may be impacted by the effects of the COVID-19 pandemic.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ind w:right="6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2022, we owned or had ownership interests in 1,441 operating stores. Of these stores, 1,126 are wholly-owned, and 315 are in unconsolidated joint ventures. In addition, we managed an additional 886 stores for third parties bringing the total number of stores which we own and/or manage to 2,327.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210"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2022, approximately 1,365,000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2022, the average length of stay was approximately 16.0 months.</w:t>
      </w:r>
    </w:p>
    <w:p>
      <w:pPr>
        <w:spacing w:after="0" w:line="21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average annual rent per square foot for our existing customers at stabilized stores, net of discounts and bad debt, was $21.52 for the three months ended September 30, 2022, compared to $18.26 for the three months ended September 30, 2021. Average annual rent per square foot for new leases was $18.58 for the three months ended September 30, 2022, compared to $20.80 for the three months ended September 30, 2021. The average discounts, as a percentage of rental revenues, at all stabilized properties during these periods were 3.1% and 3.6%, respectively.</w:t>
      </w:r>
    </w:p>
    <w:p>
      <w:pPr>
        <w:spacing w:after="0" w:line="20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Pr>
          <w:p>
            <w:pPr>
              <w:spacing w:after="0"/>
              <w:rPr>
                <w:sz w:val="18"/>
                <w:szCs w:val="18"/>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2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4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7"/>
        </w:trPr>
        <w:tc>
          <w:tcPr>
            <w:tcW w:w="2320" w:type="dxa"/>
            <w:vAlign w:val="bottom"/>
            <w:vMerge w:val="restart"/>
          </w:tcPr>
          <w:p>
            <w:pPr>
              <w:ind w:left="8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86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30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9"/>
              <w:spacing w:after="0" w:line="216" w:lineRule="exact"/>
              <w:rPr>
                <w:sz w:val="20"/>
                <w:szCs w:val="20"/>
                <w:color w:val="auto"/>
              </w:rPr>
            </w:pPr>
            <w:r>
              <w:rPr>
                <w:rFonts w:ascii="Times New Roman" w:cs="Times New Roman" w:eastAsia="Times New Roman" w:hAnsi="Times New Roman"/>
                <w:sz w:val="16"/>
                <w:szCs w:val="16"/>
                <w:b w:val="1"/>
                <w:bCs w:val="1"/>
                <w:color w:val="auto"/>
              </w:rPr>
              <w:t>Count</w:t>
            </w:r>
            <w:r>
              <w:rPr>
                <w:rFonts w:ascii="Times New Roman" w:cs="Times New Roman" w:eastAsia="Times New Roman" w:hAnsi="Times New Roman"/>
                <w:sz w:val="21"/>
                <w:szCs w:val="21"/>
                <w:b w:val="1"/>
                <w:bCs w:val="1"/>
                <w:color w:val="auto"/>
                <w:vertAlign w:val="superscript"/>
              </w:rPr>
              <w:t>(1)</w:t>
            </w:r>
          </w:p>
        </w:tc>
        <w:tc>
          <w:tcPr>
            <w:tcW w:w="12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650,428</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75,711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430,502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1,156,641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1,779,761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768,046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1,711,092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4,258,899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13,599,018</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3,593,676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8,761,358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25,954,052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1,150,022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664,885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1,785,200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3,600,107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538,946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575,724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484,561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1,599,231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143,615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71,704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215,319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8,550,154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3,554,367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8,924,206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21,028,727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5,181,751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1,143,469</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1,925,604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8,250,824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864,026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159,393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1,023,419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181,484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181,484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3,693,456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741,135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2,037,732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6,472,323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3,842,934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58,166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1,268,412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5,169,512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50,209</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108,920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452,863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611,992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958,290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51,663</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783,503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1,793,456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387,184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809,431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1,196,615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577,216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577,216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2,853,783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899,002</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2,701,514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6,454,299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3,010,962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641,005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1,840,330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5,492,297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668,298</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305,876</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567,122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1,541,296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584,720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305,010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1,171,986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2,061,716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234,365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234,365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431,696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119,750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1,060,064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1,611,510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278,106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278,106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1,039,697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474,241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744,024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2,257,962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134,564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84,693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359,232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578,489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4,996,852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1,228,131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2,774,531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8,999,514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699,807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683,470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900,155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2,283,432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2,046,988</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1,511,956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2,445,578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6,004,522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1,736,990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401,437</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1,520,295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3,658,722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1,464,363</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325,163</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609,579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2,399,105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62,463</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1,608,192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1,670,655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550,557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65,245</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738,433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1,354,235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1,545,851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679,815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2,576,837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4,802,503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134,802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322,003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456,805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1,713,492</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709,124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2,164,831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4,587,447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1,856,904</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881,301</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823,893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3,562,098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9,118,774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2,067,861</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6,975,397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18,162,032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698,077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1,908,427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2,606,504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4,267,635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703,650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2,178,528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7,149,813</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685,346</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1,147,294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1,832,640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100,039</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103,640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540,423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744,102</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370,693</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814,461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1,185,154</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81,883,204</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24,040,440</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886</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69,135,496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175,059,140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17,000 units related to the Bargold transaction. See Note 7 in the Notes to the Condensed Consolidated Financial Statements.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ind w:right="460" w:firstLine="445"/>
        <w:spacing w:after="0" w:line="289" w:lineRule="auto"/>
        <w:rPr>
          <w:sz w:val="20"/>
          <w:szCs w:val="20"/>
          <w:color w:val="auto"/>
        </w:rPr>
      </w:pPr>
      <w:r>
        <w:rPr>
          <w:rFonts w:ascii="Times New Roman" w:cs="Times New Roman" w:eastAsia="Times New Roman" w:hAnsi="Times New Roman"/>
          <w:sz w:val="17"/>
          <w:szCs w:val="17"/>
          <w:color w:val="auto"/>
        </w:rPr>
        <w:t>Results for the three and nine months ended September 30, 2022 included the operations of 1,441 stores (1,126 wholly-owned and 315 in joint ventures accounted for using the equity method) compared to the results for the three and nine months ended September 30, 2021, which included the operations of 1,227 stores (966 wholly-owned, four in consolidated joint ventures, and 257 in joint ventures accounted for using the equity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revenues earned for the periods indicated:</w:t>
      </w:r>
    </w:p>
    <w:p>
      <w:pPr>
        <w:spacing w:after="0" w:line="355"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rental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428,787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351,355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77,432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976,448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240,191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24.6 %</w:t>
            </w:r>
          </w:p>
        </w:tc>
      </w:tr>
      <w:tr>
        <w:trPr>
          <w:trHeight w:val="229"/>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reinsurance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29"/>
        </w:trPr>
        <w:tc>
          <w:tcPr>
            <w:tcW w:w="30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32.5 %</w:t>
            </w:r>
          </w:p>
        </w:tc>
      </w:tr>
      <w:tr>
        <w:trPr>
          <w:trHeight w:val="235"/>
        </w:trPr>
        <w:tc>
          <w:tcPr>
            <w:tcW w:w="3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1,417,452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1,149,979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267,473</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Property Rental—</w:t>
      </w:r>
      <w:r>
        <w:rPr>
          <w:rFonts w:ascii="Times New Roman" w:cs="Times New Roman" w:eastAsia="Times New Roman" w:hAnsi="Times New Roman"/>
          <w:sz w:val="18"/>
          <w:szCs w:val="18"/>
          <w:color w:val="auto"/>
        </w:rPr>
        <w:t>The increase in property rental revenues for the three and nine months ended September 30, 2022 was primarily the result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$51,550 and $180,884 at our stabilized stores related primarily to higher average rates to existing customers. Property rental revenue also increased by $25,598 and $66,079 associated with acquisitions completed in 2022 and 2021. We acquired 147 wholly-owned stores during the nine months ended September 30, 2022 and a total of 74 stores during the year ended December 31, 2021.</w:t>
      </w:r>
    </w:p>
    <w:p>
      <w:pPr>
        <w:spacing w:after="0" w:line="203" w:lineRule="exact"/>
        <w:rPr>
          <w:sz w:val="20"/>
          <w:szCs w:val="20"/>
          <w:color w:val="auto"/>
        </w:rPr>
      </w:pPr>
    </w:p>
    <w:p>
      <w:pPr>
        <w:ind w:right="56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The increase in our tenant reinsurance revenues was due primarily to an increase in the number of stores operated.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2,327 stores at September 30, 2022 compared to 2,054 stores at September 30, 2021.</w:t>
      </w:r>
    </w:p>
    <w:p>
      <w:pPr>
        <w:spacing w:after="0" w:line="182" w:lineRule="exact"/>
        <w:rPr>
          <w:sz w:val="20"/>
          <w:szCs w:val="20"/>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b w:val="1"/>
          <w:bCs w:val="1"/>
          <w:color w:val="auto"/>
        </w:rPr>
        <w:t>Management Fees and Other Income—</w:t>
      </w:r>
      <w:r>
        <w:rPr>
          <w:rFonts w:ascii="Times New Roman" w:cs="Times New Roman" w:eastAsia="Times New Roman" w:hAnsi="Times New Roman"/>
          <w:sz w:val="18"/>
          <w:szCs w:val="18"/>
          <w:color w:val="auto"/>
        </w:rPr>
        <w:t>Management fees and other income primarily represent the fees collected for our management of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by third parties and unconsolidated joint ventures and other transaction fee income. The increase for the three and nine months ended September 30, 2022 was due to both an increase in the number of stores managed and an increase in the overall revenue of stores under management when compared to the same period last year. As of September 30, 2022, we managed 1,201 stores for joint ventures and third parties, compared to 1,088 stores as of September 30, 2021. Additionally, for the three and nine months ended September 30, 2022, the Company earned an additional $1,359 and $3,306 of other transaction fee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expenses for the periods indicated:</w:t>
      </w:r>
    </w:p>
    <w:p>
      <w:pPr>
        <w:spacing w:after="0" w:line="31"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4"/>
        </w:trPr>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114,577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92,794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322,371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274,316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29"/>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reinsurance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r>
      <w:tr>
        <w:trPr>
          <w:trHeight w:val="229"/>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0"/>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25.6 %</w:t>
            </w:r>
          </w:p>
        </w:tc>
      </w:tr>
      <w:tr>
        <w:trPr>
          <w:trHeight w:val="229"/>
        </w:trPr>
        <w:tc>
          <w:tcPr>
            <w:tcW w:w="2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16.0 %</w:t>
            </w:r>
          </w:p>
        </w:tc>
      </w:tr>
      <w:tr>
        <w:trPr>
          <w:trHeight w:val="234"/>
        </w:trPr>
        <w:tc>
          <w:tcPr>
            <w:tcW w:w="2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42,831</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b w:val="1"/>
          <w:bCs w:val="1"/>
          <w:color w:val="auto"/>
        </w:rPr>
        <w:t>Property Operations—</w:t>
      </w:r>
      <w:r>
        <w:rPr>
          <w:rFonts w:ascii="Times New Roman" w:cs="Times New Roman" w:eastAsia="Times New Roman" w:hAnsi="Times New Roman"/>
          <w:sz w:val="18"/>
          <w:szCs w:val="18"/>
          <w:color w:val="auto"/>
        </w:rPr>
        <w:t>The increase in property operations expense during the three and nine months ended September 30, 2022 consists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increase of $9,827 and $24,943 related to acquisitions completed in 2022 and 2021. We acquired 147 wholly-owned stores during the nine months ended September 30, 2022 and a total of 36 stores during the nine months ended September 30, 2021. These amounts also include increases related to the acquisition of Bargold in June 2022. Additionally, for the three and nine months ended September 30, 2022 there was an increase of $10,357 and $24,427 at our stabilized stores. These increases for the three months ended relate primarily to payroll due to wage increases and increased hours and property taxes. For the nine months ended, increases relate primarily to payroll due to wage increases and increased hours, credit card fees due to increased revenue and property taxes. For both the three and nine months ended, there was a $3,200 charge related to estimated losses for Hurricane Ian (shown net of expected insurance recoveries).</w:t>
      </w:r>
    </w:p>
    <w:p>
      <w:pPr>
        <w:spacing w:after="0" w:line="212" w:lineRule="exact"/>
        <w:rPr>
          <w:sz w:val="20"/>
          <w:szCs w:val="20"/>
          <w:color w:val="auto"/>
        </w:rPr>
      </w:pPr>
    </w:p>
    <w:p>
      <w:pPr>
        <w:jc w:val="both"/>
        <w:ind w:right="20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Tenant reinsurance expense represents the costs that are incurred to provide tenant reinsurance. We operated 2,327 stores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compared to 2,054 stores at September 30, 2021. For the three and nine months ended, tenant reinsurance expense included a $3,000 charge for estimated tenant reinsurance claims to be paid by our captive for damages incurred from Hurricane Ian.</w:t>
      </w:r>
    </w:p>
    <w:p>
      <w:pPr>
        <w:spacing w:after="0" w:line="198" w:lineRule="exact"/>
        <w:rPr>
          <w:sz w:val="20"/>
          <w:szCs w:val="20"/>
          <w:color w:val="auto"/>
        </w:rPr>
      </w:pPr>
    </w:p>
    <w:p>
      <w:pPr>
        <w:ind w:right="620" w:firstLine="445"/>
        <w:spacing w:after="0" w:line="317" w:lineRule="auto"/>
        <w:rPr>
          <w:sz w:val="20"/>
          <w:szCs w:val="20"/>
          <w:color w:val="auto"/>
        </w:rPr>
      </w:pPr>
      <w:r>
        <w:rPr>
          <w:rFonts w:ascii="Times New Roman" w:cs="Times New Roman" w:eastAsia="Times New Roman" w:hAnsi="Times New Roman"/>
          <w:sz w:val="17"/>
          <w:szCs w:val="17"/>
          <w:b w:val="1"/>
          <w:bCs w:val="1"/>
          <w:color w:val="auto"/>
        </w:rPr>
        <w:t>Transaction related costs—</w:t>
      </w:r>
      <w:r>
        <w:rPr>
          <w:rFonts w:ascii="Times New Roman" w:cs="Times New Roman" w:eastAsia="Times New Roman" w:hAnsi="Times New Roman"/>
          <w:sz w:val="17"/>
          <w:szCs w:val="17"/>
          <w:color w:val="auto"/>
        </w:rPr>
        <w:t>The $1,465 in acquisition costs during the nine months ended September 30, 2022 represents the costs that were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in the acquisition of Bargold Storage Systems, LLC ("Bargold"). See footnote 7, Acquisitions and Dispositions, for additional details.</w:t>
      </w:r>
    </w:p>
    <w:p>
      <w:pPr>
        <w:spacing w:after="0" w:line="159" w:lineRule="exact"/>
        <w:rPr>
          <w:sz w:val="20"/>
          <w:szCs w:val="20"/>
          <w:color w:val="auto"/>
        </w:rPr>
      </w:pPr>
    </w:p>
    <w:p>
      <w:pPr>
        <w:ind w:right="2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primarily include all expenses not directly related to our stores,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payroll, office expense, office rent, travel and professional fees. Payroll has continued to increase as a result of outsized inflation. We did not observe any material trends in specific travel or other expenses apart from inflationary pressures and from the increase due to the management of additional stores. Also, during the three and nine months ended September 30, 2022 increases relate in part to the acquisition of Bargold in June 2022 and various entities doing business as Storage Express in September 2022.</w:t>
      </w:r>
    </w:p>
    <w:p>
      <w:pPr>
        <w:spacing w:after="0" w:line="206" w:lineRule="exact"/>
        <w:rPr>
          <w:sz w:val="20"/>
          <w:szCs w:val="20"/>
          <w:color w:val="auto"/>
        </w:rPr>
      </w:pPr>
    </w:p>
    <w:p>
      <w:pPr>
        <w:ind w:right="3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18"/>
          <w:szCs w:val="18"/>
          <w:color w:val="auto"/>
        </w:rPr>
        <w:t>Depreciation and amortization expense increased as a result of the acquisition of new stores. We acquired 147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stores during the nine months ended September 30, 2022 and a total of 36 stores during the nine months ended September 30, 2021.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Revenues and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about other revenues and expenses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real estate transactions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(49,634)</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(16,575)</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54.5 %</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52,174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in earnings and dividend income</w:t>
            </w:r>
          </w:p>
        </w:tc>
        <w:tc>
          <w:tcPr>
            <w:tcW w:w="1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11,149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8,255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2,894</w:t>
            </w: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35.1 %</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
              <w:spacing w:after="0" w:line="162" w:lineRule="exact"/>
              <w:rPr>
                <w:sz w:val="20"/>
                <w:szCs w:val="20"/>
                <w:color w:val="auto"/>
              </w:rPr>
            </w:pPr>
            <w:r>
              <w:rPr>
                <w:rFonts w:ascii="Times New Roman" w:cs="Times New Roman" w:eastAsia="Times New Roman" w:hAnsi="Times New Roman"/>
                <w:sz w:val="16"/>
                <w:szCs w:val="16"/>
                <w:color w:val="auto"/>
              </w:rPr>
              <w:t>30,436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23,533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6,903</w:t>
            </w:r>
          </w:p>
        </w:tc>
        <w:tc>
          <w:tcPr>
            <w:tcW w:w="1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29.3 %</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from unconsolidated real estate entities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Equity in earnings of unconsolidated real</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estate ventures - gain on sale of real</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estate assets and purchase of joint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 partner's interest</w:t>
            </w: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revenues &amp; expenses,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Gain on Real Estate Transactions—</w:t>
      </w:r>
      <w:r>
        <w:rPr>
          <w:rFonts w:ascii="Times New Roman" w:cs="Times New Roman" w:eastAsia="Times New Roman" w:hAnsi="Times New Roman"/>
          <w:sz w:val="18"/>
          <w:szCs w:val="18"/>
          <w:color w:val="auto"/>
        </w:rPr>
        <w:t>During the nine months ended September 30, 2022, we sold two stores. We recognized a total gain of $14,249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sale of these assets. During the nine months ended September 30, 2021, we sold 16 stores to a newly established unconsolidated joint venture. We recognized a total gain of $64,424 related to this transaction. This gain was partially offset by losses related to the sale of notes receivable and solar assets.</w:t>
      </w:r>
    </w:p>
    <w:p>
      <w:pPr>
        <w:spacing w:after="0" w:line="203" w:lineRule="exact"/>
        <w:rPr>
          <w:sz w:val="20"/>
          <w:szCs w:val="20"/>
          <w:color w:val="auto"/>
        </w:rPr>
      </w:pPr>
    </w:p>
    <w:p>
      <w:pPr>
        <w:ind w:right="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The increase in interest expense during the three and nine months ended September 30, 2022 was primarily the result of a higher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average interest rate and debt balance compared to the same period in the prior year.</w:t>
      </w:r>
    </w:p>
    <w:p>
      <w:pPr>
        <w:spacing w:after="0" w:line="182" w:lineRule="exact"/>
        <w:rPr>
          <w:sz w:val="20"/>
          <w:szCs w:val="20"/>
          <w:color w:val="auto"/>
        </w:rPr>
      </w:pPr>
    </w:p>
    <w:p>
      <w:pPr>
        <w:ind w:right="100" w:firstLine="445"/>
        <w:spacing w:after="0" w:line="257" w:lineRule="auto"/>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Interest income represents interest earned on bridge loans, notes receivable and debt securities and income earned on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from Common and Preferred Operating Partnership unit holders. The increase in interest income during the three and nine months ended September 30, 2022 was primarily the result of an increase in the note receivable for the Company's bridge loan program along with an increase in interest rates. The bridge loan receivable balance increased to $298,108 as of September 30, 2022 compared to $247,411 as of September 30, 2021. The increase for the nine months ended September 30, 2022, also relates to interest earned from the repayment of the senior mezzanine note receivable which was paid off in February 2022 and included recording the remaining balance of unamortized discount into interest income.</w:t>
      </w:r>
    </w:p>
    <w:p>
      <w:pPr>
        <w:spacing w:after="0" w:line="209" w:lineRule="exact"/>
        <w:rPr>
          <w:sz w:val="20"/>
          <w:szCs w:val="20"/>
          <w:color w:val="auto"/>
        </w:rPr>
      </w:pPr>
    </w:p>
    <w:p>
      <w:pPr>
        <w:ind w:right="40" w:firstLine="445"/>
        <w:spacing w:after="0" w:line="262" w:lineRule="auto"/>
        <w:rPr>
          <w:sz w:val="20"/>
          <w:szCs w:val="20"/>
          <w:color w:val="auto"/>
        </w:rPr>
      </w:pPr>
      <w:r>
        <w:rPr>
          <w:rFonts w:ascii="Times New Roman" w:cs="Times New Roman" w:eastAsia="Times New Roman" w:hAnsi="Times New Roman"/>
          <w:sz w:val="18"/>
          <w:szCs w:val="18"/>
          <w:b w:val="1"/>
          <w:bCs w:val="1"/>
          <w:color w:val="auto"/>
        </w:rPr>
        <w:t>Equity in Earnings and Dividend Income from Unconsolidated Real Estate Entities—</w:t>
      </w:r>
      <w:r>
        <w:rPr>
          <w:rFonts w:ascii="Times New Roman" w:cs="Times New Roman" w:eastAsia="Times New Roman" w:hAnsi="Times New Roman"/>
          <w:sz w:val="18"/>
          <w:szCs w:val="18"/>
          <w:color w:val="auto"/>
        </w:rPr>
        <w:t>Equity in earnings of unconsolidated real estate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$200,000 investment in preferred stock of SmartStop.</w:t>
      </w:r>
    </w:p>
    <w:p>
      <w:pPr>
        <w:spacing w:after="0" w:line="203" w:lineRule="exact"/>
        <w:rPr>
          <w:sz w:val="20"/>
          <w:szCs w:val="20"/>
          <w:color w:val="auto"/>
        </w:rPr>
      </w:pPr>
    </w:p>
    <w:p>
      <w:pPr>
        <w:ind w:right="16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Equity in Earnings of Unconsolidated Real Estate Ventures - Gain on Sale of Real Estate Assets and Purchase of Joint Venture Partner's Interest </w:t>
      </w:r>
      <w:r>
        <w:rPr>
          <w:rFonts w:ascii="Times New Roman" w:cs="Times New Roman" w:eastAsia="Times New Roman" w:hAnsi="Times New Roman"/>
          <w:sz w:val="18"/>
          <w:szCs w:val="18"/>
          <w:color w:val="auto"/>
        </w:rPr>
        <w:t>- In June 2021, the Company sold its interest in two unconsolidated joint ventures to its joint venture partner. The Company received proceeds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$1,888 in cash, and recorded a gain of $525. Also in June 2021, the WICNN JV LLC and GFN JV, LLC joint ventures sold all 17 of the stores owned by the joint ventures to a third party. Subsequent to the sales, these joint ventures were dissolved. As a result of these transactions, the Company recorded a gain of $5,739.</w:t>
      </w:r>
    </w:p>
    <w:p>
      <w:pPr>
        <w:spacing w:after="0" w:line="206" w:lineRule="exact"/>
        <w:rPr>
          <w:sz w:val="20"/>
          <w:szCs w:val="20"/>
          <w:color w:val="auto"/>
        </w:rPr>
      </w:pPr>
    </w:p>
    <w:p>
      <w:pPr>
        <w:ind w:right="10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color w:val="auto"/>
        </w:rPr>
        <w:t>—For the three months ended September 30, 2022 we did not observe any material change when compared to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prior year.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5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215" w:lineRule="exact"/>
        <w:rPr>
          <w:sz w:val="20"/>
          <w:szCs w:val="20"/>
          <w:color w:val="auto"/>
        </w:rPr>
      </w:pPr>
    </w:p>
    <w:p>
      <w:pPr>
        <w:ind w:right="160" w:firstLine="445"/>
        <w:spacing w:after="0" w:line="281"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FFO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3"/>
                <w:szCs w:val="13"/>
                <w:color w:val="auto"/>
              </w:rPr>
            </w:pPr>
          </w:p>
        </w:tc>
        <w:tc>
          <w:tcPr>
            <w:tcW w:w="218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188,276</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559,222</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depreciation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real estate transactions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 real estate 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0" w:type="dxa"/>
            <w:vAlign w:val="bottom"/>
          </w:tcPr>
          <w:p>
            <w:pPr>
              <w:spacing w:after="0"/>
              <w:rPr>
                <w:sz w:val="1"/>
                <w:szCs w:val="1"/>
                <w:color w:val="auto"/>
              </w:rPr>
            </w:pPr>
          </w:p>
        </w:tc>
      </w:tr>
      <w:tr>
        <w:trPr>
          <w:trHeight w:val="175"/>
        </w:trPr>
        <w:tc>
          <w:tcPr>
            <w:tcW w:w="5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Unconsolidated joint venture gain on sale of real estate assets and purchase of</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interest</w:t>
            </w: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on Series A Preferred Operating Partnership units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allocated to Operating Partnership noncontrolling interests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34,678</w:t>
            </w:r>
          </w:p>
        </w:tc>
        <w:tc>
          <w:tcPr>
            <w:tcW w:w="0" w:type="dxa"/>
            <w:vAlign w:val="bottom"/>
          </w:tcPr>
          <w:p>
            <w:pPr>
              <w:spacing w:after="0"/>
              <w:rPr>
                <w:sz w:val="1"/>
                <w:szCs w:val="1"/>
                <w:color w:val="auto"/>
              </w:rPr>
            </w:pPr>
          </w:p>
        </w:tc>
      </w:tr>
      <w:tr>
        <w:trPr>
          <w:trHeight w:val="155"/>
        </w:trPr>
        <w:tc>
          <w:tcPr>
            <w:tcW w:w="5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Funds from operations attributable to common stockholders and unit</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308,697</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261,738</w:t>
            </w:r>
          </w:p>
        </w:tc>
        <w:tc>
          <w:tcPr>
            <w:tcW w:w="44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898,742</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704,110</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SAME-STORE RESULTS</w:t>
      </w:r>
    </w:p>
    <w:p>
      <w:pPr>
        <w:spacing w:after="0" w:line="256"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Our same-store pool for the periods presented consists of 869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portfolio.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3"/>
                <w:szCs w:val="13"/>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1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4"/>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900,266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Same-store square foot occupancy as of quarter end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7"/>
              <w:spacing w:after="0" w:line="203" w:lineRule="exact"/>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73"/>
              <w:spacing w:after="0" w:line="203" w:lineRule="exact"/>
              <w:rPr>
                <w:sz w:val="20"/>
                <w:szCs w:val="20"/>
                <w:color w:val="auto"/>
              </w:rPr>
            </w:pPr>
            <w:r>
              <w:rPr>
                <w:rFonts w:ascii="Times New Roman" w:cs="Times New Roman" w:eastAsia="Times New Roman" w:hAnsi="Times New Roman"/>
                <w:sz w:val="18"/>
                <w:szCs w:val="18"/>
                <w:color w:val="auto"/>
                <w:w w:val="98"/>
              </w:rPr>
              <w:t>96.7%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77"/>
              <w:spacing w:after="0" w:line="203" w:lineRule="exact"/>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93"/>
              <w:spacing w:after="0" w:line="203" w:lineRule="exact"/>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Properties included in same-store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6"/>
              </w:rPr>
              <w:t>869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Same-store revenues for the three and nine months ended September 30, 2022 increased compared to the same periods in 2021 due to higher average rates to existing customers and higher other operating income partially offset by lower occupancy.</w:t>
      </w:r>
    </w:p>
    <w:p>
      <w:pPr>
        <w:spacing w:after="0" w:line="54"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Same-store expenses increased for the three and nine months ended September 30, 2022 compared to the same period in 2021 due to increases in payroll, credit card processing fees, utilities, property taxes and insurance.</w:t>
      </w:r>
    </w:p>
    <w:p>
      <w:pPr>
        <w:spacing w:after="0" w:line="54" w:lineRule="exact"/>
        <w:rPr>
          <w:sz w:val="20"/>
          <w:szCs w:val="20"/>
          <w:color w:val="auto"/>
        </w:rPr>
      </w:pPr>
    </w:p>
    <w:p>
      <w:pPr>
        <w:ind w:right="760"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47"/>
        </w:trPr>
        <w:tc>
          <w:tcPr>
            <w:tcW w:w="5580" w:type="dxa"/>
            <w:vAlign w:val="bottom"/>
          </w:tcPr>
          <w:p>
            <w:pPr>
              <w:spacing w:after="0"/>
              <w:rPr>
                <w:sz w:val="12"/>
                <w:szCs w:val="12"/>
                <w:color w:val="auto"/>
              </w:rPr>
            </w:pPr>
          </w:p>
        </w:tc>
        <w:tc>
          <w:tcPr>
            <w:tcW w:w="3160" w:type="dxa"/>
            <w:vAlign w:val="bottom"/>
            <w:gridSpan w:val="6"/>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00" w:type="dxa"/>
            <w:vAlign w:val="bottom"/>
            <w:gridSpan w:val="5"/>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199,820</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593,900</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to exclude: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real estate transactions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(63,883)</w:t>
            </w:r>
          </w:p>
        </w:tc>
      </w:tr>
      <w:tr>
        <w:trPr>
          <w:trHeight w:val="175"/>
        </w:trPr>
        <w:tc>
          <w:tcPr>
            <w:tcW w:w="5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Equity in earnings and dividend income from unconsolidated real estate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w:t>
            </w:r>
          </w:p>
        </w:tc>
      </w:tr>
      <w:tr>
        <w:trPr>
          <w:trHeight w:val="176"/>
        </w:trPr>
        <w:tc>
          <w:tcPr>
            <w:tcW w:w="5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in earnings of unconsolidated real estate ventures - gain on sale of</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assets and purchase of joint venture partner's interest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120,605</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179,685</w:t>
            </w: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74,276</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fees, other income and 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(28,608)</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(84,191)</w:t>
            </w: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tenant insurance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(104,806)</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 same-store rental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(76,182)</w:t>
            </w:r>
          </w:p>
        </w:tc>
      </w:tr>
      <w:tr>
        <w:trPr>
          <w:trHeight w:val="230"/>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 same-store operating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40,933</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same-store net operating income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244,428</w:t>
            </w: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819,751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666,883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371,918</w:t>
            </w: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322,111</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1,075,412</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900,266</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77,683</w:t>
            </w:r>
          </w:p>
        </w:tc>
        <w:tc>
          <w:tcPr>
            <w:tcW w:w="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255,661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233,383</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244,428</w:t>
            </w: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819,751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666,883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for the nine months ended September 30, 2022 increased when compared to the same period in the prior year as a result of our continued total revenue growth. Cash flows used in investing activities relates primarily to our acquisition and development of REIT and joint venture assets, as well as activity on our bridge loan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ind w:right="700"/>
        <w:spacing w:after="0" w:line="270" w:lineRule="auto"/>
        <w:rPr>
          <w:sz w:val="20"/>
          <w:szCs w:val="20"/>
          <w:color w:val="auto"/>
        </w:rPr>
      </w:pPr>
      <w:r>
        <w:rPr>
          <w:rFonts w:ascii="Times New Roman" w:cs="Times New Roman" w:eastAsia="Times New Roman" w:hAnsi="Times New Roman"/>
          <w:sz w:val="18"/>
          <w:szCs w:val="18"/>
          <w:color w:val="auto"/>
        </w:rPr>
        <w:t>Cash flows from financing activities depend primarily on our debt and equity financing activities. A summary of cash flows along with significant components are as follows:</w:t>
      </w: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8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729,268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(417,792)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(358,204)</w:t>
            </w:r>
          </w:p>
        </w:tc>
      </w:tr>
      <w:tr>
        <w:trPr>
          <w:trHeight w:val="270"/>
        </w:trPr>
        <w:tc>
          <w:tcPr>
            <w:tcW w:w="8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components of net cash flow included:</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593,900</w:t>
            </w: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development of real estate assets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(632,101)</w:t>
            </w: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business combination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unconsolidated real estate entities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(20,834)</w:t>
            </w: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and purchase of notes receivable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(143,270)</w:t>
            </w:r>
          </w:p>
        </w:tc>
      </w:tr>
      <w:tr>
        <w:trPr>
          <w:trHeight w:val="22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notes receivable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116,822</w:t>
            </w:r>
          </w:p>
        </w:tc>
      </w:tr>
      <w:tr>
        <w:trPr>
          <w:trHeight w:val="230"/>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received from notes receivable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36,874</w:t>
            </w:r>
          </w:p>
        </w:tc>
      </w:tr>
      <w:tr>
        <w:trPr>
          <w:trHeight w:val="22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273,358</w:t>
            </w: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notes payable and revolving lines of credit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3,323,000</w:t>
            </w: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notes payable and revolving lines of credit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(4,526,549)</w:t>
            </w: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public bonds,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1,040,349</w:t>
            </w:r>
          </w:p>
        </w:tc>
      </w:tr>
      <w:tr>
        <w:trPr>
          <w:trHeight w:val="230"/>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(433,591)</w:t>
            </w:r>
          </w:p>
        </w:tc>
      </w:tr>
    </w:tbl>
    <w:p>
      <w:pPr>
        <w:spacing w:after="0" w:line="319"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0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expect to generate positive cash flow from operations in 2022,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2022, we had $86,991 available in cash and cash equivalents. Our cash and cash equivalents are held in accounts managed by third party financial institutions and consist of invested cash and cash in our operating accounts. During 2022 and 2021, we experienced no loss or lack of access to our cash or cash equivalents; however, there can be no assurance that access to our cash and cash equivalents will not be impacted by adverse conditions in the financial markets.</w:t>
      </w:r>
    </w:p>
    <w:p>
      <w:pPr>
        <w:spacing w:after="0" w:line="207"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2022, we had $7,026,097 face value of debt, resulting in a debt to total enterprise value ratio of 22.4%. As of September 30, 2022, the ratio of total fixed-rate debt and other instruments to total debt was 62.2% ($4,367,099 total fixed-rate debt including $1,439,264 on which we have interest rate swaps that have been included as fixed-rate debt). The weighted average interest rate of the total of fixed- and variable-rate debt at September 30, 2022 was 3.6%. Certain of our real estate assets are pledged as collateral for our debt. We are subject to certain restrictive covenants relating to our outstanding debt. We were in compliance with all financial covenants at September 30, 2022.</w:t>
      </w:r>
    </w:p>
    <w:p>
      <w:pPr>
        <w:spacing w:after="0" w:line="210"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We expect to fund our short-term liquidity requirements, including operating expenses, recurring capital expenditures, dividends to stockholders, distributions to holders of Operating Partnership units and interest on our outstanding indebtedness,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ind w:right="680"/>
        <w:spacing w:after="0" w:line="282" w:lineRule="auto"/>
        <w:rPr>
          <w:sz w:val="20"/>
          <w:szCs w:val="20"/>
          <w:color w:val="auto"/>
        </w:rPr>
      </w:pPr>
      <w:r>
        <w:rPr>
          <w:rFonts w:ascii="Times New Roman" w:cs="Times New Roman" w:eastAsia="Times New Roman" w:hAnsi="Times New Roman"/>
          <w:sz w:val="18"/>
          <w:szCs w:val="18"/>
          <w:color w:val="auto"/>
        </w:rPr>
        <w:t>out of our operating cash flow, cash on hand and borrowings under our revolving lines of credit. In addition, we are pursuing additional sources of financing based on anticipated funding needs and growth assumptions.</w:t>
      </w:r>
    </w:p>
    <w:p>
      <w:pPr>
        <w:spacing w:after="0" w:line="175" w:lineRule="exact"/>
        <w:rPr>
          <w:sz w:val="20"/>
          <w:szCs w:val="20"/>
          <w:color w:val="auto"/>
        </w:rPr>
      </w:pPr>
    </w:p>
    <w:p>
      <w:pPr>
        <w:ind w:firstLine="445"/>
        <w:spacing w:after="0" w:line="245" w:lineRule="auto"/>
        <w:rPr>
          <w:sz w:val="20"/>
          <w:szCs w:val="20"/>
          <w:color w:val="auto"/>
        </w:rPr>
      </w:pPr>
      <w:r>
        <w:rPr>
          <w:rFonts w:ascii="Times New Roman" w:cs="Times New Roman" w:eastAsia="Times New Roman" w:hAnsi="Times New Roman"/>
          <w:sz w:val="18"/>
          <w:szCs w:val="18"/>
          <w:color w:val="auto"/>
        </w:rPr>
        <w:t>We currently hold a BBB/Stable rating from S&amp;P and a Baa2 rating from Moody's Investors Service. We intend to manage our balance sheet to maintain these ratings. Certain of our real estate assets are pledged as collateral for our debt. As of September 30, 2022, we had a total of 900 unencumbered stores as defined by our public bonds. Our unencumbered asset value was calculated as $16,636,222 and our total asset value was calculated as $21,568,602 according to the calculations as defined by our public bonds.</w:t>
      </w:r>
    </w:p>
    <w:p>
      <w:pPr>
        <w:spacing w:after="0" w:line="221" w:lineRule="exact"/>
        <w:rPr>
          <w:sz w:val="20"/>
          <w:szCs w:val="20"/>
          <w:color w:val="auto"/>
        </w:rPr>
      </w:pPr>
    </w:p>
    <w:p>
      <w:pPr>
        <w:ind w:firstLine="445"/>
        <w:spacing w:after="0" w:line="244" w:lineRule="auto"/>
        <w:rPr>
          <w:sz w:val="20"/>
          <w:szCs w:val="20"/>
          <w:color w:val="auto"/>
        </w:rPr>
      </w:pPr>
      <w:r>
        <w:rPr>
          <w:rFonts w:ascii="Times New Roman" w:cs="Times New Roman" w:eastAsia="Times New Roman" w:hAnsi="Times New Roman"/>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22" w:lineRule="exact"/>
        <w:rPr>
          <w:sz w:val="20"/>
          <w:szCs w:val="20"/>
          <w:color w:val="auto"/>
        </w:rPr>
      </w:pPr>
    </w:p>
    <w:p>
      <w:pPr>
        <w:ind w:firstLine="445"/>
        <w:spacing w:after="0" w:line="250" w:lineRule="auto"/>
        <w:rPr>
          <w:sz w:val="20"/>
          <w:szCs w:val="20"/>
          <w:color w:val="auto"/>
        </w:rPr>
      </w:pPr>
      <w:r>
        <w:rPr>
          <w:rFonts w:ascii="Times New Roman" w:cs="Times New Roman" w:eastAsia="Times New Roman" w:hAnsi="Times New Roman"/>
          <w:sz w:val="18"/>
          <w:szCs w:val="18"/>
          <w:color w:val="auto"/>
        </w:rPr>
        <w:t>The COVID-19 pandemic has had negative impacts on capital markets and may continue to do so in the future. Based upon the current availability of our credit facility and our credit rating, we do not expect such capital market dislocations to have a material impact upon our ability to satisfy obligations and maturities or our growth plans during the year. However, we continue to monitor the potential impact of these trends on our future plans.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self-storage business is subject to seasonal fluctuations. A greater portion of revenues and profits are realized from May through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highest level of occupancy has been at the end of July, while our lowest level of occupancy has been in late February and early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any quarter may not be indicative of the results that may be achieved for the full fiscal year.</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5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2022, we had approximately $7.0 billion in total face value of debt, of which approximately $2.7 billion was subject to variable interest rates (excluding debt with interest rate swaps). If LIBOR or SOFR were to increase or decrease by 100 basis points, the increase or decrease in interest expense on the variable-rate debt would increase or decrease future earnings and cash flows by approximately $26.6 million annually.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1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19"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89"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03"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3" w:name="page44"/>
    <w:bookmarkEnd w:id="4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and results of operations. There have been no material changes to the risk factors described in the “Risk Factors” section in our Annual Report on Form 10-K for the year ended December 31, 2021.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On September 15, 2022, we issued a total of 619,294 common Operating Partnership units (“OP Units”) at an average price of $201.84 per share (a total value of $125.0 million) in connection with the acquisition of various entities doing business as Storage Express. The OP Units were issued in a private placement in reliance on Section 4(a)(2) of the Securities Act of 1933, as amended, and the rules and regulations promulgated thereunder.</w:t>
      </w:r>
    </w:p>
    <w:p>
      <w:pPr>
        <w:spacing w:after="0" w:line="20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terms of the OP Units are governed by the Operating Partnership’s Fourth Amended and Restated Agreement of Limited Partnership (the “Partnership Agreement”). The OP Units will be redeemable, at the option of the holders following the expiration of a lock-up period of at least one year from the date of issuance. The redemption obligation may be satisfied, at the Company’s option, in cash or shares of the Company’s common stock. If the Company chooses to satisfy its redemption obligation with respect to the OP Units in its common stock, each OP Unit would receive one share of common stock, subject to adjustment pursuant to the Partnership Agreement.</w:t>
      </w: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00" w:lineRule="exact"/>
        <w:rPr>
          <w:sz w:val="20"/>
          <w:szCs w:val="20"/>
          <w:color w:val="auto"/>
        </w:rPr>
      </w:pPr>
    </w:p>
    <w:p>
      <w:pPr>
        <w:spacing w:after="0" w:line="205"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u w:val="single" w:color="auto"/>
          <w:color w:val="0000FF"/>
        </w:rPr>
        <w:t>Issuer and Guarantors of Guaranteed Securities</w:t>
      </w:r>
    </w:p>
    <w:p>
      <w:pPr>
        <w:spacing w:after="0" w:line="171"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171" w:lineRule="exact"/>
        <w:rPr>
          <w:sz w:val="20"/>
          <w:szCs w:val="20"/>
          <w:color w:val="auto"/>
        </w:rPr>
      </w:pPr>
    </w:p>
    <w:p>
      <w:pPr>
        <w:ind w:left="180"/>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p>
    <w:p>
      <w:pPr>
        <w:spacing w:after="0" w:line="171" w:lineRule="exact"/>
        <w:rPr>
          <w:sz w:val="20"/>
          <w:szCs w:val="20"/>
          <w:color w:val="auto"/>
        </w:rPr>
      </w:pPr>
    </w:p>
    <w:p>
      <w:pPr>
        <w:ind w:left="700" w:right="20" w:hanging="566"/>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Certifications of the Chief Executive Officer and Chief Financial Officer pursuant to 18 U.S.C. Section 1350, as adopted pursuant to Section 906 of the Sarbanes-Oxley Act of 2002.</w:t>
      </w:r>
    </w:p>
    <w:p>
      <w:pPr>
        <w:spacing w:after="0" w:line="108" w:lineRule="exact"/>
        <w:rPr>
          <w:sz w:val="20"/>
          <w:szCs w:val="20"/>
          <w:color w:val="auto"/>
        </w:rPr>
      </w:pPr>
    </w:p>
    <w:p>
      <w:pPr>
        <w:ind w:left="740" w:hanging="570"/>
        <w:spacing w:after="0" w:line="281" w:lineRule="auto"/>
        <w:tabs>
          <w:tab w:leader="none" w:pos="66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Extra Space Storage Inc.’s Quarterly Report on Form 10-Q for the quarter ended September 30, 2022,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10" w:lineRule="exact"/>
        <w:rPr>
          <w:sz w:val="20"/>
          <w:szCs w:val="20"/>
          <w:color w:val="auto"/>
        </w:rPr>
      </w:pPr>
    </w:p>
    <w:p>
      <w:pPr>
        <w:ind w:left="660" w:hanging="450"/>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 SPACE STORAGE INC.</w:t>
            </w:r>
          </w:p>
        </w:tc>
      </w:tr>
      <w:tr>
        <w:trPr>
          <w:trHeight w:val="236"/>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Registrant</w:t>
            </w:r>
          </w:p>
        </w:tc>
      </w:tr>
      <w:tr>
        <w:trPr>
          <w:trHeight w:val="49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D. Margolis</w:t>
            </w:r>
          </w:p>
        </w:tc>
      </w:tr>
      <w:tr>
        <w:trPr>
          <w:trHeight w:val="216"/>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D. Margolis</w:t>
            </w:r>
          </w:p>
        </w:tc>
      </w:tr>
      <w:tr>
        <w:trPr>
          <w:trHeight w:val="182"/>
        </w:trPr>
        <w:tc>
          <w:tcPr>
            <w:tcW w:w="6300" w:type="dxa"/>
            <w:vAlign w:val="bottom"/>
          </w:tcPr>
          <w:p>
            <w:pPr>
              <w:spacing w:after="0"/>
              <w:rPr>
                <w:sz w:val="15"/>
                <w:szCs w:val="15"/>
                <w:color w:val="auto"/>
              </w:rPr>
            </w:pPr>
          </w:p>
        </w:tc>
        <w:tc>
          <w:tcPr>
            <w:tcW w:w="48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0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 Scott Stubbs</w:t>
            </w:r>
          </w:p>
        </w:tc>
      </w:tr>
      <w:tr>
        <w:trPr>
          <w:trHeight w:val="216"/>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Scott Stubbs</w:t>
            </w:r>
          </w:p>
        </w:tc>
      </w:tr>
      <w:tr>
        <w:trPr>
          <w:trHeight w:val="229"/>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80"/>
          </w:cols>
          <w:pgMar w:left="320" w:top="1413" w:right="3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and Guarantors of Guaranteed Securities</w:t>
      </w:r>
    </w:p>
    <w:p>
      <w:pPr>
        <w:spacing w:after="0" w:line="200" w:lineRule="exact"/>
        <w:rPr>
          <w:sz w:val="20"/>
          <w:szCs w:val="20"/>
          <w:color w:val="auto"/>
        </w:rPr>
      </w:pPr>
    </w:p>
    <w:p>
      <w:pPr>
        <w:spacing w:after="0" w:line="2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entities are included in the Obligated Group, as defined in the Quarterly Report on Form 10-Q of Extra Space Storage Inc. to which this document is being filed as an exhibit, for the 3.900% Senior Notes due 2029, the 2.550% Senior Notes due 2031 and the 2.350% Senior Notes due 2032 (collectively, the "Notes"). The guarantors have fully and unconditionally guaranteed the Notes on a joint and several basis.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Issuer or Guarantor</w:t>
            </w:r>
          </w:p>
        </w:tc>
        <w:tc>
          <w:tcPr>
            <w:tcW w:w="34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Reported as Issuer or Guarantor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r>
      <w:tr>
        <w:trPr>
          <w:trHeight w:val="23"/>
        </w:trPr>
        <w:tc>
          <w:tcPr>
            <w:tcW w:w="33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 Space Storage LP</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Issuer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Extra Space Storage Inc.</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Parent Guarantor</w:t>
            </w:r>
          </w:p>
        </w:tc>
        <w:tc>
          <w:tcPr>
            <w:tcW w:w="29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 Holdings Business Trust I</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Subsidiary Guarantor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 Holdings Business Trust II</w:t>
            </w:r>
          </w:p>
        </w:tc>
        <w:tc>
          <w:tcPr>
            <w:tcW w:w="3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Subsidiary Guarantor</w:t>
            </w:r>
          </w:p>
        </w:tc>
        <w:tc>
          <w:tcPr>
            <w:tcW w:w="2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Massachusetts</w:t>
            </w:r>
          </w:p>
        </w:tc>
      </w:tr>
    </w:tbl>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Extra Space Storage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73"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D. Margolis</w:t>
            </w:r>
          </w:p>
        </w:tc>
      </w:tr>
      <w:tr>
        <w:trPr>
          <w:trHeight w:val="218"/>
        </w:trPr>
        <w:tc>
          <w:tcPr>
            <w:tcW w:w="3100" w:type="dxa"/>
            <w:vAlign w:val="bottom"/>
          </w:tcPr>
          <w:p>
            <w:pPr>
              <w:spacing w:after="0"/>
              <w:rPr>
                <w:sz w:val="18"/>
                <w:szCs w:val="18"/>
                <w:color w:val="auto"/>
              </w:rPr>
            </w:pP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D. Margolis</w:t>
            </w:r>
          </w:p>
        </w:tc>
      </w:tr>
      <w:tr>
        <w:trPr>
          <w:trHeight w:val="234"/>
        </w:trPr>
        <w:tc>
          <w:tcPr>
            <w:tcW w:w="3100" w:type="dxa"/>
            <w:vAlign w:val="bottom"/>
          </w:tcPr>
          <w:p>
            <w:pPr>
              <w:spacing w:after="0"/>
              <w:rPr>
                <w:sz w:val="20"/>
                <w:szCs w:val="20"/>
                <w:color w:val="auto"/>
              </w:rPr>
            </w:pP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Extra Space Storage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73"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 Scott Stubbs</w:t>
            </w:r>
          </w:p>
        </w:tc>
      </w:tr>
      <w:tr>
        <w:trPr>
          <w:trHeight w:val="218"/>
        </w:trPr>
        <w:tc>
          <w:tcPr>
            <w:tcW w:w="3100" w:type="dxa"/>
            <w:vAlign w:val="bottom"/>
          </w:tcPr>
          <w:p>
            <w:pPr>
              <w:spacing w:after="0"/>
              <w:rPr>
                <w:sz w:val="18"/>
                <w:szCs w:val="18"/>
                <w:color w:val="auto"/>
              </w:rPr>
            </w:pP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Scott Stubbs</w:t>
            </w:r>
          </w:p>
        </w:tc>
      </w:tr>
      <w:tr>
        <w:trPr>
          <w:trHeight w:val="234"/>
        </w:trPr>
        <w:tc>
          <w:tcPr>
            <w:tcW w:w="3100" w:type="dxa"/>
            <w:vAlign w:val="bottom"/>
          </w:tcPr>
          <w:p>
            <w:pPr>
              <w:spacing w:after="0"/>
              <w:rPr>
                <w:sz w:val="20"/>
                <w:szCs w:val="20"/>
                <w:color w:val="auto"/>
              </w:rPr>
            </w:pPr>
          </w:p>
        </w:tc>
        <w:tc>
          <w:tcPr>
            <w:tcW w:w="1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8"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D. Margolis</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D. Margolis</w:t>
            </w:r>
          </w:p>
        </w:tc>
      </w:t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r>
    </w:tbl>
    <w:p>
      <w:pPr>
        <w:spacing w:after="0" w:line="2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8"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 Scott Stubbs</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Scott Stubbs</w:t>
            </w:r>
          </w:p>
        </w:tc>
      </w:t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Letter"/>
      <w:start w:val="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2022-11-04T16:59:12Z</dcterms:created>
  <dcterms:modified xsi:type="dcterms:W3CDTF">2022-11-04T16:59:12Z</dcterms:modified>
</cp:coreProperties>
</file>