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620" w:right="300" w:hanging="612"/>
        <w:spacing w:after="0" w:line="237" w:lineRule="auto"/>
        <w:tabs>
          <w:tab w:leader="none" w:pos="6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quarterly period ended September 30, 2008</w:t>
      </w:r>
    </w:p>
    <w:p>
      <w:pPr>
        <w:spacing w:after="0" w:line="225"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20" w:right="280" w:hanging="612"/>
        <w:spacing w:after="0" w:line="256" w:lineRule="auto"/>
        <w:tabs>
          <w:tab w:leader="none" w:pos="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172"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3180" w:space="720"/>
            <w:col w:w="380" w:space="720"/>
            <w:col w:w="6420"/>
          </w:cols>
          <w:pgMar w:left="240" w:top="233"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001-32269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EXTRA SPACE STORAGE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20-1076777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2795 East Cottonwood Parkway,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(801) 562-5556</w:t>
      </w:r>
    </w:p>
    <w:p>
      <w:pPr>
        <w:spacing w:after="0" w:line="229"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type w:val="continuous"/>
        </w:sectPr>
      </w:pPr>
    </w:p>
    <w:p>
      <w:pPr>
        <w:spacing w:after="0" w:line="12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48" w:lineRule="exact"/>
        <w:rPr>
          <w:sz w:val="24"/>
          <w:szCs w:val="24"/>
          <w:color w:val="auto"/>
        </w:rPr>
      </w:pPr>
    </w:p>
    <w:p>
      <w:pPr>
        <w:ind w:left="66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48" w:lineRule="exact"/>
        <w:rPr>
          <w:sz w:val="24"/>
          <w:szCs w:val="24"/>
          <w:color w:val="auto"/>
        </w:rPr>
      </w:pPr>
    </w:p>
    <w:p>
      <w:pPr>
        <w:spacing w:after="0"/>
        <w:tabs>
          <w:tab w:leader="none" w:pos="88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8"/>
          <w:szCs w:val="18"/>
          <w:color w:val="auto"/>
        </w:rPr>
        <w:t>No x</w:t>
      </w: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The number of shares outstanding of the registrant’s common stock, par value $0.01 per share, as of October 31, 2008 was 85,500,139.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442595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0" w:type="dxa"/>
            <w:vAlign w:val="bottom"/>
          </w:tcPr>
          <w:p>
            <w:pPr>
              <w:spacing w:after="0"/>
              <w:rPr>
                <w:sz w:val="18"/>
                <w:szCs w:val="18"/>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40" w:type="dxa"/>
            <w:vAlign w:val="bottom"/>
            <w:gridSpan w:val="3"/>
          </w:tcPr>
          <w:p>
            <w:pPr>
              <w:jc w:val="center"/>
              <w:ind w:right="1680"/>
              <w:spacing w:after="0"/>
              <w:rPr>
                <w:sz w:val="20"/>
                <w:szCs w:val="20"/>
                <w:color w:val="auto"/>
              </w:rPr>
            </w:pPr>
            <w:r>
              <w:rPr>
                <w:rFonts w:ascii="Arial" w:cs="Arial" w:eastAsia="Arial" w:hAnsi="Arial"/>
                <w:sz w:val="18"/>
                <w:szCs w:val="18"/>
                <w:b w:val="1"/>
                <w:bCs w:val="1"/>
                <w:color w:val="auto"/>
                <w:w w:val="98"/>
              </w:rPr>
              <w:t>EXTRA SPACE STORAGE INC.</w:t>
            </w:r>
          </w:p>
        </w:tc>
        <w:tc>
          <w:tcPr>
            <w:tcW w:w="14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320" w:type="dxa"/>
            <w:vAlign w:val="bottom"/>
            <w:gridSpan w:val="2"/>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400" w:type="dxa"/>
            <w:vAlign w:val="bottom"/>
          </w:tcPr>
          <w:p>
            <w:pPr>
              <w:spacing w:after="0"/>
              <w:rPr>
                <w:sz w:val="24"/>
                <w:szCs w:val="24"/>
                <w:color w:val="auto"/>
              </w:rPr>
            </w:pPr>
          </w:p>
        </w:tc>
      </w:tr>
      <w:tr>
        <w:trPr>
          <w:trHeight w:val="392"/>
        </w:trPr>
        <w:tc>
          <w:tcPr>
            <w:tcW w:w="1002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STATEMENT ON FORWARD-LOOKING INFORMATION</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30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620" w:type="dxa"/>
            <w:vAlign w:val="bottom"/>
            <w:tcBorders>
              <w:top w:val="single" w:sz="8" w:color="0000EE"/>
            </w:tcBorders>
          </w:tcPr>
          <w:p>
            <w:pPr>
              <w:spacing w:after="0"/>
              <w:rPr>
                <w:sz w:val="24"/>
                <w:szCs w:val="24"/>
                <w:color w:val="auto"/>
              </w:rPr>
            </w:pPr>
          </w:p>
        </w:tc>
        <w:tc>
          <w:tcPr>
            <w:tcW w:w="5320" w:type="dxa"/>
            <w:vAlign w:val="bottom"/>
            <w:gridSpan w:val="2"/>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12"/>
        </w:trPr>
        <w:tc>
          <w:tcPr>
            <w:tcW w:w="10020" w:type="dxa"/>
            <w:vAlign w:val="bottom"/>
            <w:gridSpan w:val="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0"/>
        </w:trPr>
        <w:tc>
          <w:tcPr>
            <w:tcW w:w="2980" w:type="dxa"/>
            <w:vAlign w:val="bottom"/>
            <w:gridSpan w:val="2"/>
            <w:shd w:val="clear" w:color="auto" w:fill="0000EE"/>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0020" w:type="dxa"/>
            <w:vAlign w:val="bottom"/>
            <w:gridSpan w:val="6"/>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NOTES TO CONDENSED CONSOLIDATED FINANCIAL STATEMENTS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0"/>
        </w:trPr>
        <w:tc>
          <w:tcPr>
            <w:tcW w:w="5900" w:type="dxa"/>
            <w:vAlign w:val="bottom"/>
            <w:gridSpan w:val="5"/>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12"/>
        </w:trPr>
        <w:tc>
          <w:tcPr>
            <w:tcW w:w="100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 MANAGEMENT’S DISCUSSION AND ANALYSIS OF FINANCIAL CONDITION AND RESULTS OF OPERATIONS</w:t>
              </w:r>
            </w:hyperlink>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0000EE"/>
            </w:tcBorders>
            <w:gridSpan w:val="11"/>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3. QUANTITATIVE AND QUALITATIVE DISCLOSURES ABOUT MARKET RISK</w:t>
              </w:r>
            </w:hyperlink>
          </w:p>
        </w:tc>
        <w:tc>
          <w:tcPr>
            <w:tcW w:w="20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ITEM 4. CONTROLS AND PROCEDURES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660" w:type="dxa"/>
            <w:vAlign w:val="bottom"/>
            <w:tcBorders>
              <w:top w:val="single" w:sz="8" w:color="0000EE"/>
            </w:tcBorders>
          </w:tcPr>
          <w:p>
            <w:pPr>
              <w:spacing w:after="0"/>
              <w:rPr>
                <w:sz w:val="24"/>
                <w:szCs w:val="24"/>
                <w:color w:val="auto"/>
              </w:rPr>
            </w:pPr>
          </w:p>
        </w:tc>
        <w:tc>
          <w:tcPr>
            <w:tcW w:w="5760" w:type="dxa"/>
            <w:vAlign w:val="bottom"/>
            <w:gridSpan w:val="5"/>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1. LEGAL PROCEEDINGS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21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9"/>
              </w:rPr>
            </w:pPr>
            <w:hyperlink w:anchor="page28">
              <w:r>
                <w:rPr>
                  <w:rFonts w:ascii="Arial" w:cs="Arial" w:eastAsia="Arial" w:hAnsi="Arial"/>
                  <w:sz w:val="18"/>
                  <w:szCs w:val="18"/>
                  <w:b w:val="1"/>
                  <w:bCs w:val="1"/>
                  <w:color w:val="0000EE"/>
                  <w:w w:val="99"/>
                </w:rPr>
                <w:t>ITEM 1A. RISK FACTORS</w:t>
              </w:r>
            </w:hyperlink>
          </w:p>
        </w:tc>
        <w:tc>
          <w:tcPr>
            <w:tcW w:w="520" w:type="dxa"/>
            <w:vAlign w:val="bottom"/>
            <w:tcBorders>
              <w:top w:val="single" w:sz="8" w:color="0000EE"/>
            </w:tcBorders>
          </w:tcPr>
          <w:p>
            <w:pPr>
              <w:spacing w:after="0"/>
              <w:rPr>
                <w:sz w:val="24"/>
                <w:szCs w:val="24"/>
                <w:color w:val="auto"/>
              </w:rPr>
            </w:pPr>
          </w:p>
        </w:tc>
        <w:tc>
          <w:tcPr>
            <w:tcW w:w="6500" w:type="dxa"/>
            <w:vAlign w:val="bottom"/>
            <w:gridSpan w:val="8"/>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 UNREGISTERED SALES OF EQUITY SECURITIES AND USE OF PROCEEDS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412"/>
        </w:trPr>
        <w:tc>
          <w:tcPr>
            <w:tcW w:w="710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 DEFAULTS UPON SENIOR SECURITIES</w:t>
              </w:r>
            </w:hyperlink>
          </w:p>
        </w:tc>
        <w:tc>
          <w:tcPr>
            <w:tcW w:w="210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0"/>
        </w:trPr>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 SUBMISSION OF MATTERS TO A VOTE OF SECURITY HOLDERS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27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5. OTHER INFORMATION</w:t>
              </w:r>
            </w:hyperlink>
          </w:p>
        </w:tc>
        <w:tc>
          <w:tcPr>
            <w:tcW w:w="3540" w:type="dxa"/>
            <w:vAlign w:val="bottom"/>
            <w:tcBorders>
              <w:top w:val="single" w:sz="8" w:color="0000EE"/>
            </w:tcBorders>
            <w:gridSpan w:val="4"/>
          </w:tcPr>
          <w:p>
            <w:pPr>
              <w:spacing w:after="0"/>
              <w:rPr>
                <w:sz w:val="24"/>
                <w:szCs w:val="24"/>
                <w:color w:val="auto"/>
              </w:rPr>
            </w:pPr>
          </w:p>
        </w:tc>
        <w:tc>
          <w:tcPr>
            <w:tcW w:w="2920" w:type="dxa"/>
            <w:vAlign w:val="bottom"/>
            <w:gridSpan w:val="3"/>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920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6. EXHIBITS</w:t>
              </w:r>
            </w:hyperlink>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412"/>
        </w:trPr>
        <w:tc>
          <w:tcPr>
            <w:tcW w:w="158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7620" w:type="dxa"/>
            <w:vAlign w:val="bottom"/>
            <w:gridSpan w:val="10"/>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453"/>
        </w:trPr>
        <w:tc>
          <w:tcPr>
            <w:tcW w:w="1160" w:type="dxa"/>
            <w:vAlign w:val="bottom"/>
            <w:tcBorders>
              <w:top w:val="single" w:sz="8" w:color="0000EE"/>
            </w:tcBorders>
          </w:tcPr>
          <w:p>
            <w:pPr>
              <w:spacing w:after="0"/>
              <w:rPr>
                <w:sz w:val="24"/>
                <w:szCs w:val="24"/>
                <w:color w:val="auto"/>
              </w:rPr>
            </w:pPr>
          </w:p>
        </w:tc>
        <w:tc>
          <w:tcPr>
            <w:tcW w:w="5120" w:type="dxa"/>
            <w:vAlign w:val="bottom"/>
            <w:gridSpan w:val="8"/>
          </w:tcPr>
          <w:p>
            <w:pPr>
              <w:jc w:val="right"/>
              <w:ind w:right="52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6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7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6"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and in the markets in which we operate;</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self-storage facilities or other storage alternatives, which could cause rents and occupancy rates to decline;</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225" w:lineRule="exact"/>
        <w:rPr>
          <w:rFonts w:ascii="Arial" w:cs="Arial" w:eastAsia="Arial" w:hAnsi="Arial"/>
          <w:sz w:val="18"/>
          <w:szCs w:val="18"/>
          <w:color w:val="auto"/>
        </w:rPr>
      </w:pPr>
    </w:p>
    <w:p>
      <w:pPr>
        <w:ind w:left="740" w:right="460" w:hanging="40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our ability to evaluate, finance and integrate acquired and developed properties into our existing operations and to lease up those properties, which could adversely affect our profitability;</w:t>
      </w:r>
    </w:p>
    <w:p>
      <w:pPr>
        <w:spacing w:after="0" w:line="170" w:lineRule="exact"/>
        <w:rPr>
          <w:rFonts w:ascii="Arial" w:cs="Arial" w:eastAsia="Arial" w:hAnsi="Arial"/>
          <w:sz w:val="18"/>
          <w:szCs w:val="18"/>
          <w:color w:val="auto"/>
        </w:rPr>
      </w:pPr>
    </w:p>
    <w:p>
      <w:pPr>
        <w:ind w:left="740" w:right="360" w:hanging="408"/>
        <w:spacing w:after="0" w:line="308"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as well as national, state, and local laws and regulations including, without limitation, those governing real estate investment trusts, or REITs, which could increase our expenses and reduce our cash available for distribution;</w:t>
      </w:r>
    </w:p>
    <w:p>
      <w:pPr>
        <w:spacing w:after="0" w:line="146" w:lineRule="exact"/>
        <w:rPr>
          <w:rFonts w:ascii="Arial" w:cs="Arial" w:eastAsia="Arial" w:hAnsi="Arial"/>
          <w:sz w:val="17"/>
          <w:szCs w:val="17"/>
          <w:color w:val="auto"/>
        </w:rPr>
      </w:pPr>
    </w:p>
    <w:p>
      <w:pPr>
        <w:ind w:left="740" w:right="260" w:hanging="40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disruptions in credit and financial markets and resulting difficulties in raising capital at reasonable rates, which could impede our ability to grow;</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and construction process, which could adversely affect our profitability; 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war or terrorism, which could adversely affect our business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ectPr>
          <w:pgSz w:w="11900" w:h="16838" w:orient="portrait"/>
          <w:cols w:equalWidth="0" w:num="1">
            <w:col w:w="11460"/>
          </w:cols>
          <w:pgMar w:left="240" w:top="324" w:right="199" w:bottom="36"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September 30, 2008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Real estate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real estate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1,856,809</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Real estate under development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48,447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49,945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real estate assets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1,905,256</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real estate ventures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139,345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112,076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17,377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Investments available for sale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38,265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34,449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related parties and affiliated real estate joint ventures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assets,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37,153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2,243,686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Minority Interests, and 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Notes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930,088</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950,181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trusts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119,590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Exchangeable senior notes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36,484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1,355,019</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1,369,172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w w:val="92"/>
              </w:rPr>
              <w:t>Minority interest represented by Preferred Operating Partnership units, net of $100,000 note receivable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28,828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Operating Partnership and other minority interests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w w:val="96"/>
              </w:rPr>
              <w:t>Preferred stock, $0.01 par value, 50,000,000 shares authorized, no shares issued or outstanding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$0.01 par value, 300,000,000 shares authorized, 82,370,640 and 65,784,274 shares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2008 and December 31, 2007, respectively</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1,063,411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826,026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deficit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(235,092)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(205,348)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829,143</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Total liabilities, minority interests, and stockholders’ equity</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2,243,686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2,054,075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Property rental</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59,997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55,209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174,906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Management and franchise fees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15,837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11,723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69,848</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202,891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operations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21,367</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62,871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Tenant reinsurance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3,958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Unrecovered development and acquisition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10,319</w:t>
            </w:r>
          </w:p>
        </w:tc>
        <w:tc>
          <w:tcPr>
            <w:tcW w:w="3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30,568</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134,661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w w:val="93"/>
              </w:rPr>
              <w:t>Income before interest, equity in earnings of real estate ventures, loss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24,342</w:t>
            </w:r>
          </w:p>
        </w:tc>
        <w:tc>
          <w:tcPr>
            <w:tcW w:w="300" w:type="dxa"/>
            <w:vAlign w:val="bottom"/>
          </w:tcPr>
          <w:p>
            <w:pPr>
              <w:spacing w:after="0"/>
              <w:rPr>
                <w:sz w:val="17"/>
                <w:szCs w:val="17"/>
                <w:color w:val="auto"/>
              </w:rPr>
            </w:pPr>
          </w:p>
        </w:tc>
        <w:tc>
          <w:tcPr>
            <w:tcW w:w="110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22,714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68,230</w:t>
            </w:r>
          </w:p>
        </w:tc>
        <w:tc>
          <w:tcPr>
            <w:tcW w:w="28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60,066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on sale of investments available for sale, Preferred Operating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Partnership units and minority interests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(15,904)</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(16,079)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(48,220)</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tcPr>
          <w:p>
            <w:pPr>
              <w:spacing w:after="0" w:line="201" w:lineRule="exact"/>
              <w:rPr>
                <w:sz w:val="20"/>
                <w:szCs w:val="20"/>
                <w:color w:val="auto"/>
              </w:rPr>
            </w:pPr>
            <w:r>
              <w:rPr>
                <w:rFonts w:ascii="Arial" w:cs="Arial" w:eastAsia="Arial" w:hAnsi="Arial"/>
                <w:sz w:val="18"/>
                <w:szCs w:val="18"/>
                <w:color w:val="auto"/>
              </w:rPr>
              <w:t>Interest income on note receivable from Preferred Operating</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Partnership unit holder</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3,638</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real estate ventures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on sale of investments available for sale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(1,415)</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adjustment of obligation associated with Preferred</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Partnership units</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Minority interest - Operating Partnership</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(1,893)</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 - other</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12,327</w:t>
            </w:r>
          </w:p>
        </w:tc>
        <w:tc>
          <w:tcPr>
            <w:tcW w:w="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Fixed distribution paid to Preferred Operating Partnership unit holder</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w:t>
            </w:r>
          </w:p>
        </w:tc>
        <w:tc>
          <w:tcPr>
            <w:tcW w:w="3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27,928</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0.38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81,736,986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64,901,249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73,668,700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87,263,018</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70,567,078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79,226,236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69,702,837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dividends paid per common share</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0.75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74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2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2007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65,784,274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the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exercise of options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146,795</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issued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Restricted stock grants cancelled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(4,760)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related to stock-</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based awards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Conversion of Contingent Conversion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Shares to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1,136,192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net of offering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232,568</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232,718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27,928</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sale of investments available for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Tax benefit from exercise of common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Dividends paid on common stock at $0.75</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(57,672)</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Balances at September 30, 2008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82,370,640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1,063,411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(235,092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829,143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ectPr>
          <w:pgSz w:w="11900" w:h="16838" w:orient="portrait"/>
          <w:cols w:equalWidth="0" w:num="1">
            <w:col w:w="11420"/>
          </w:cols>
          <w:pgMar w:left="240" w:top="125" w:right="239" w:bottom="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27,928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35,633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Fair value adjustment of obligation associated with Preferred Operating Partnership units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sale of investments available for sale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Stock compensation expense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allocated to minority interests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340"/>
              <w:spacing w:after="0"/>
              <w:rPr>
                <w:sz w:val="20"/>
                <w:szCs w:val="20"/>
                <w:color w:val="auto"/>
              </w:rPr>
            </w:pPr>
            <w:r>
              <w:rPr>
                <w:rFonts w:ascii="Arial" w:cs="Arial" w:eastAsia="Arial" w:hAnsi="Arial"/>
                <w:sz w:val="18"/>
                <w:szCs w:val="18"/>
                <w:color w:val="auto"/>
              </w:rPr>
              <w:t>Distributions from real estate ventures in excess of earnings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4,001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520"/>
              <w:spacing w:after="0"/>
              <w:rPr>
                <w:sz w:val="20"/>
                <w:szCs w:val="20"/>
                <w:color w:val="auto"/>
              </w:rPr>
            </w:pPr>
            <w:r>
              <w:rPr>
                <w:rFonts w:ascii="Arial" w:cs="Arial" w:eastAsia="Arial" w:hAnsi="Arial"/>
                <w:sz w:val="18"/>
                <w:szCs w:val="18"/>
                <w:color w:val="auto"/>
              </w:rPr>
              <w:t>Receivables from related parties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520"/>
              <w:spacing w:after="0"/>
              <w:rPr>
                <w:sz w:val="20"/>
                <w:szCs w:val="20"/>
                <w:color w:val="auto"/>
              </w:rPr>
            </w:pPr>
            <w:r>
              <w:rPr>
                <w:rFonts w:ascii="Arial" w:cs="Arial" w:eastAsia="Arial" w:hAnsi="Arial"/>
                <w:sz w:val="18"/>
                <w:szCs w:val="18"/>
                <w:color w:val="auto"/>
              </w:rPr>
              <w:t>Accounts payable and accrued expenses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5,138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74,395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Acquisition of real estate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Development and construction of real estate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(42,126)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real estate assets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Investments in real estate ventures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(48,941)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Return of investment in real estate ventures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proceeds from sale of (purchases of) investments available for sale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21,812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(49,200)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restricted cash</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Purchase of equipment and fixtures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(1,368)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Proceeds from exchangeable senior notes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notes payable, notes payable to trusts and line of credit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Principal payments on notes payable and line of credit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(24,097)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financing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Loan to Preferred Operating Partnership unit holder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Minority interest investments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Redemption of Operating Partnership units held by minority interest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shares, net</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Net proceeds from exercise of stock options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on common stock</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Distributions to Operating Partnership units held by minority interest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(8,122)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149,241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113,184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7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112,076</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jc w:val="right"/>
              <w:ind w:right="1780"/>
              <w:spacing w:after="0"/>
              <w:rPr>
                <w:sz w:val="20"/>
                <w:szCs w:val="20"/>
                <w:color w:val="auto"/>
              </w:rPr>
            </w:pPr>
            <w:r>
              <w:rPr>
                <w:rFonts w:ascii="Arial" w:cs="Arial" w:eastAsia="Arial" w:hAnsi="Arial"/>
                <w:sz w:val="18"/>
                <w:szCs w:val="18"/>
                <w:color w:val="auto"/>
              </w:rPr>
              <w:t>7</w:t>
            </w: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2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5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schedule of cash flow information</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Interest paid, net of amounts capitalized</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44,988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Real estate assets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payable acquired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Preferred Operating Partnership units issued as consideration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(131,499)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real estate ventures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Minority interest in Operating Partnership</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(3,834)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-2103120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-2103120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5" w:name="page6"/>
    <w:bookmarkEnd w:id="5"/>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Extra Space Storage Inc. (the “Company”) is a self-administered and self-managed real estate investment trust (“REIT”), formed as a Maryland corporation on April 30, 2004 to own, operate, manage, acquire and develop self-storage facilities located throughout the United States. The Company continues the business of Extra Space Storage LLC and its subsidiaries, which had engaged in the self-storage business since 1977. The Company’s interest in its properties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 The Company has elected to be taxed as a REIT under the Internal Revenue Code of 1986, as amended (the “Internal Revenue Code”). To the extent the Company continues to qualify as a REIT, it will not be subject to tax, with certain limited exceptions, on the taxable income that is distributed to its stockholders.</w:t>
      </w:r>
    </w:p>
    <w:p>
      <w:pPr>
        <w:spacing w:after="0" w:line="19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 Company invests in self-storage facilities by acquiring or developing wholly-owned facilities or by acquiring an equity interest in real estate entities. At September 30, 2008, the Company had direct and indirect equity interests in 617 storage facilities located in 33 states and Washington, D.C. In addition, the Company managed 67 properties for franchisees and third parties, bringing the total number of properties which it owns and/or manages to 684.</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operates in two distinct segments: (1) property management, acquisition and development; and (2) rental operations. The Company’s property management, acquisition and development activities include managing, acquiring, developing and selling self-storage facilities. The rental operations activities include rental operations of self-storage facilities. No single tenant accounts for more than 5% of rental income.</w:t>
      </w:r>
    </w:p>
    <w:p>
      <w:pPr>
        <w:spacing w:after="0" w:line="16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in accordance with the instructions to Form 10-Q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Article 10 of Regulation S-X. Accordingly, they may not include all of the information and footnotes required by GAAP for complete financial statements.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opinion of management, all adjustments (including normal recurring accruals) considered necessary for a fair presentation have been included. Operating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results for the three and nine months ended September 30, 2008 are not necessarily indicative of results that may be expected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 Condensed Consolidated Balance Sheet as of December 31, 2007 has been derived from the Company’s audited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of that date, but does not include all of the information and footnotes required by GAAP for complete financial statements.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footnotes thereto included in the Company’s Annual Report on Form 10-K for the year ended December 31, 2007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filed with the Securities and Exchange Commission (“SEC”).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amounts in the 2007 financial statements and supporting note disclosures have been reclassified to conform to the current year presentation. Such reclassification did not impact previously reported net income or accumulated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September 2006, the Financial Accounting Standards Board (“FASB”) issued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 157”). FAS 157 defines fair value, establishes guidelines for measuring fair value and expands disclosures regarding fair value measurements. FAS 157 applies under other accounting pronouncements that require or permit fair value measurements, and does not require any new fair value measurements. FAS 157 is effective for financial statements issued for fiscal years beginning after November 15, 2007 and interim periods within those fiscal years. In February 2008, the FASB issued FASB Statement of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xml:space="preserve"> (the “FSP”). The FSP amends FAS 157 to delay the effective date for FAS 157 for nonfinancial assets and nonfinancial liabilities, except for items that are recognized or disclosed at fair value in the financial statements on a recurring basis. For items within that scope, the FSP defers the effective date of FAS 157 to fiscal years beginning after November 15, 2008 and interim periods within those fiscal years. The Company adopted FAS 157 effective January 1, 2008, except as it relates to nonfinancial assets and liabilities that are not recognized or disclosed at fair value in the financial statements on a recurring basis as allowed under the FSP.</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w:t>
      </w:r>
      <w:r>
        <w:rPr>
          <w:rFonts w:ascii="Arial" w:cs="Arial" w:eastAsia="Arial" w:hAnsi="Arial"/>
          <w:sz w:val="18"/>
          <w:szCs w:val="18"/>
          <w:color w:val="auto"/>
        </w:rPr>
        <w:t>“FAS 159”). Under FAS 159, a company may elect to measure eligible financial assets and financial liabilities at fair value.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Unrealized gains and losses on items for which the fair value option has been elected are reported in earnings at each subsequent reporting date. This statement is effective for fiscal years beginning after November 15, 2007. The Company adopted FAS 159 effective January 1, 2008, but did not elect to measure any additional financial assets or liabilities at fair value.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revised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(“FAS 141(R)”). FAS 141(R) establishes principles and requirements for how an acquirer in a business combination recognizes and measures in its financial statements the assets acquired and liabilities assumed. Generally, assets acquired and liabilities assumed in a transaction will be recorded at the acquisition-date fair value with limited exceptions. FAS 141(R) will also change the accounting treatment and disclosure for certain specific items in a business combination. FAS 141(R) applies proactively to business combinations for which the acquisition date is on or after the beginning of the first fiscal year beginning on or after December 15, 2008. The Company will assess the impact of FAS 141(R) if and when future acquisitions occur. However, the application of FAS 141(R) will result in a significant change in accounting for acquisitions after the effective date.</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December 2007, the FASB issued Statement No. 160, “</w:t>
      </w:r>
      <w:r>
        <w:rPr>
          <w:rFonts w:ascii="Arial" w:cs="Arial" w:eastAsia="Arial" w:hAnsi="Arial"/>
          <w:sz w:val="16"/>
          <w:szCs w:val="16"/>
          <w:i w:val="1"/>
          <w:iCs w:val="1"/>
          <w:color w:val="auto"/>
        </w:rPr>
        <w:t>Non-controlling Interests in Consolidated Financial Statements – An Amendment of ARB No. 51”</w:t>
      </w:r>
      <w:r>
        <w:rPr>
          <w:rFonts w:ascii="Arial" w:cs="Arial" w:eastAsia="Arial" w:hAnsi="Arial"/>
          <w:sz w:val="16"/>
          <w:szCs w:val="16"/>
          <w:color w:val="auto"/>
        </w:rPr>
        <w:t xml:space="preserve"> (“FAS 160”). FAS 160 establishes new accounting and reporting standards for the non-controlling interest in a subsidiary and for the deconsolidation of a subsidiary. FAS 160 requires a company to clearly identify and present ownership interests in subsidiaries held by parties other than the company in the consolidated financial statements within the equity section but separate from the company’s equity. FAS 160 also requires the amount of consolidated net</w:t>
      </w:r>
    </w:p>
    <w:p>
      <w:pPr>
        <w:sectPr>
          <w:pgSz w:w="11900" w:h="16877" w:orient="portrait"/>
          <w:cols w:equalWidth="0" w:num="1">
            <w:col w:w="11400"/>
          </w:cols>
          <w:pgMar w:left="240" w:top="121" w:right="259" w:bottom="0" w:gutter="0" w:footer="0" w:header="0"/>
        </w:sectPr>
      </w:pPr>
    </w:p>
    <w:bookmarkStart w:id="6" w:name="page7"/>
    <w:bookmarkEnd w:id="6"/>
    <w:p>
      <w:pPr>
        <w:ind w:right="120"/>
        <w:spacing w:after="0" w:line="297" w:lineRule="auto"/>
        <w:rPr>
          <w:sz w:val="20"/>
          <w:szCs w:val="20"/>
          <w:color w:val="auto"/>
        </w:rPr>
      </w:pPr>
      <w:r>
        <w:rPr>
          <w:rFonts w:ascii="Arial" w:cs="Arial" w:eastAsia="Arial" w:hAnsi="Arial"/>
          <w:sz w:val="16"/>
          <w:szCs w:val="16"/>
          <w:color w:val="auto"/>
        </w:rPr>
        <w:t>income attributable to the parent and to the non–controlling interest to be clearly identified and presented on the face of the consolidated statement of operations and requires changes in ownershi p interest to be accounted for similarly as equity transactions. FAS 160 requires retroactive adoption of the presentation and disclosure requirements for existing minority interests, with all other requirements applied prospectively. As of September 30, 2008 and 2007, minority interests in the accompanying consolidated balance sheets were $59,524 and $64,982, respectively. These amounts will be recharacterized as non-controlling interests as a component of equity when FAS 160 is adopted. FAS 160 is effective for fiscal years beginning on or after December 15, 2008.</w:t>
      </w:r>
    </w:p>
    <w:p>
      <w:pPr>
        <w:spacing w:after="0" w:line="15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March 2008, the FASB issued Statement No. 161, “</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an amendment of FASB Statement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xml:space="preserve"> (“FAS 161”). FAS 161 changes the disclosure requirements for derivative instruments and hedging activities. Entities are required to provide enhanced disclosures stating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FAS 161 requires that objectives for using derivative instruments be disclosed in terms of underlying risk and accounting designation. FAS 161 is effective for financial statements issued for fiscal years and interim periods beginning after November 15, 2008, with early application encouraged. FAS 161 also encourages but does not require comparative disclosures for earlier periods at initial adoption. The Company is currently evaluating whether the adoption of FAS 161 will have an impact on its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2007, the SEC staff issued Staff Accounting Bulletin (“SAB”) No. 110, which is effective January 1, 2008, and amends and replaces SAB</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SAB No. 110 expresses the views of the SEC staff regarding the use of a “simplified” method in developing an estimate of expected term of “plain vanilla” share options in accordance with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Under the “simplified” method, the expected term is calculated as the midpoint between the vesting date and the end of the contractual term of the option. The use of the “simplified” method, which was first described in SAB No. 107, was scheduled to expire on December 31, 2007. SAB No. 110 extends the use of the “simplified” method for “plain vanilla” awards in certain situations. The SEC staff does not expect the “simplified” method to be used when sufficient information regarding exercise behavior, such as historical exercise data or exercise information from external sources, becomes available. The adoption of SAB No. 110 did not have a significant effect on the Company’s financial statements.</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May 2008, the FASB issued FASB Statement of Position No.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(“FSP APB 14-1”). Under FSP APB 14-1, entities with convertible debt instruments that may be settled</w:t>
      </w:r>
      <w:r>
        <w:rPr>
          <w:rFonts w:ascii="Arial" w:cs="Arial" w:eastAsia="Arial" w:hAnsi="Arial"/>
          <w:sz w:val="17"/>
          <w:szCs w:val="17"/>
          <w:i w:val="1"/>
          <w:iCs w:val="1"/>
          <w:color w:val="auto"/>
        </w:rPr>
        <w:t xml:space="preserve"> </w:t>
      </w:r>
      <w:r>
        <w:rPr>
          <w:rFonts w:ascii="Arial" w:cs="Arial" w:eastAsia="Arial" w:hAnsi="Arial"/>
          <w:sz w:val="17"/>
          <w:szCs w:val="17"/>
          <w:color w:val="auto"/>
        </w:rPr>
        <w:t>entirely or partially in cash upon conversion should separately account for the liability and equity components of the instrument in a manner that reflects the issuer’s economic interest cost. The effect of the adoption of FSP APB 14-1 on the Company’s exchangeable senior notes is that the equity component will be included in the paid-in-capital section of stockholders’ equity on the consolidated balance sheet and the value of the equity component will be treated as original issue discount for purposes of accounti ng for the debt component. The original issue discount will be amortized over the period of the debt as additional interest expense. FSP APB 14-1 will be effective for fiscal years beginning after December 15, 2008, and for interim periods within those fiscal years, with retrospective application required. The Company is currently evaluating the impact that the adoption of FSP APB 14-1 will have on its financial statements, and expects a significant increase in interest expense as a result.</w:t>
      </w:r>
    </w:p>
    <w:p>
      <w:pPr>
        <w:spacing w:after="0" w:line="1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May 2008, the FASB issued FASB Statement No. 162 (“FAS 162”), “The Hierarchy of Generally Accepted Accounting Principles.” FAS 162 identifies the sources of accou nting principles and the framework for selecting the principles used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preparation of financial statements of nongovernmental entities that are presented in conformity with generally accepted accounting principles in the United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States. FAS 162 shall be effective 60 days following the SEC’s approval of the Public Company Accounting Oversight Board amendments to AU</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411, “The Meaning of Present Fairly in Conformity With Generally Accepted Accounting Principles.” The Company does not believe the adoption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have a material impact on its consolidated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each major category of assets and liabilities that are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385"/>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720" w:type="dxa"/>
            <w:vAlign w:val="bottom"/>
            <w:gridSpan w:val="3"/>
            <w:vMerge w:val="restart"/>
          </w:tcPr>
          <w:p>
            <w:pPr>
              <w:jc w:val="center"/>
              <w:ind w:right="405"/>
              <w:spacing w:after="0"/>
              <w:rPr>
                <w:sz w:val="20"/>
                <w:szCs w:val="20"/>
                <w:color w:val="auto"/>
              </w:rPr>
            </w:pPr>
            <w:r>
              <w:rPr>
                <w:rFonts w:ascii="Arial" w:cs="Arial" w:eastAsia="Arial" w:hAnsi="Arial"/>
                <w:sz w:val="14"/>
                <w:szCs w:val="14"/>
                <w:b w:val="1"/>
                <w:bCs w:val="1"/>
                <w:color w:val="auto"/>
                <w:w w:val="95"/>
              </w:rPr>
              <w:t>Significant Other</w:t>
            </w:r>
          </w:p>
        </w:tc>
        <w:tc>
          <w:tcPr>
            <w:tcW w:w="1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405"/>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720" w:type="dxa"/>
            <w:vAlign w:val="bottom"/>
            <w:gridSpan w:val="3"/>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2"/>
                <w:szCs w:val="12"/>
                <w:color w:val="auto"/>
              </w:rPr>
            </w:pPr>
          </w:p>
        </w:tc>
        <w:tc>
          <w:tcPr>
            <w:tcW w:w="15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September 30, 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tcPr>
          <w:p>
            <w:pPr>
              <w:jc w:val="center"/>
              <w:ind w:right="405"/>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720" w:type="dxa"/>
            <w:vAlign w:val="bottom"/>
            <w:gridSpan w:val="3"/>
          </w:tcPr>
          <w:p>
            <w:pPr>
              <w:jc w:val="center"/>
              <w:ind w:right="425"/>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jc w:val="center"/>
              <w:ind w:right="385"/>
              <w:spacing w:after="0"/>
              <w:rPr>
                <w:sz w:val="20"/>
                <w:szCs w:val="20"/>
                <w:color w:val="auto"/>
              </w:rPr>
            </w:pPr>
            <w:r>
              <w:rPr>
                <w:rFonts w:ascii="Arial" w:cs="Arial" w:eastAsia="Arial" w:hAnsi="Arial"/>
                <w:sz w:val="14"/>
                <w:szCs w:val="14"/>
                <w:b w:val="1"/>
                <w:bCs w:val="1"/>
                <w:color w:val="auto"/>
                <w:w w:val="94"/>
              </w:rPr>
              <w:t>(Level 1)</w:t>
            </w:r>
          </w:p>
        </w:tc>
        <w:tc>
          <w:tcPr>
            <w:tcW w:w="1720" w:type="dxa"/>
            <w:vAlign w:val="bottom"/>
            <w:gridSpan w:val="3"/>
          </w:tcPr>
          <w:p>
            <w:pPr>
              <w:jc w:val="center"/>
              <w:ind w:right="425"/>
              <w:spacing w:after="0"/>
              <w:rPr>
                <w:sz w:val="20"/>
                <w:szCs w:val="20"/>
                <w:color w:val="auto"/>
              </w:rPr>
            </w:pPr>
            <w:r>
              <w:rPr>
                <w:rFonts w:ascii="Arial" w:cs="Arial" w:eastAsia="Arial" w:hAnsi="Arial"/>
                <w:sz w:val="14"/>
                <w:szCs w:val="14"/>
                <w:b w:val="1"/>
                <w:bCs w:val="1"/>
                <w:color w:val="auto"/>
                <w:w w:val="94"/>
              </w:rPr>
              <w:t>(Level 2)</w:t>
            </w: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associated with Swap Agreement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assets (liabilities) - Swap Agreement</w:t>
            </w: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reconciliation of the beginning and ending balances for the Company’s investments available for sale, which were the Company’s only material assets or liabilities that are remeasured on a recurring basis using significant unobservable inputs (Level 3):</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2007</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Total gains or losses (realized/unrealized)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 received in cash</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as of September 30, 2008</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Amount of total gains or losses for the period included in earnings attributable to the</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900" w:type="dxa"/>
            <w:vAlign w:val="bottom"/>
          </w:tcPr>
          <w:p>
            <w:pPr>
              <w:ind w:left="180"/>
              <w:spacing w:after="0"/>
              <w:rPr>
                <w:sz w:val="20"/>
                <w:szCs w:val="20"/>
                <w:color w:val="auto"/>
              </w:rPr>
            </w:pPr>
            <w:r>
              <w:rPr>
                <w:rFonts w:ascii="Arial" w:cs="Arial" w:eastAsia="Arial" w:hAnsi="Arial"/>
                <w:sz w:val="18"/>
                <w:szCs w:val="18"/>
                <w:color w:val="auto"/>
                <w:w w:val="97"/>
              </w:rPr>
              <w:t>change in unrealized gains or losses relating to assets still held at September 30, 2008</w:t>
            </w:r>
          </w:p>
        </w:tc>
        <w:tc>
          <w:tcPr>
            <w:tcW w:w="44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Long-lived assets held for use are evaluated for impairment when events or circumstances indicate there may be impairment. When such an event occurs, the Company compares the carrying value of these long-lived assets to the undiscounted future net operating cash flows attributable to the assets. An impairment loss is recorded if the net carrying value of the assets exceeds the undiscounted future net operating cash flows attributable to the asset. The impairment loss recognized equals the excess of net carrying value over the related fair value of the asset. The Company has determined that no property was impaired and therefore no impairment charges were recorded during the three or nine months ended September 30, 2008 or 2007.</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When real estate assets are identified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then a valuation allowance is established. The operations of assets held for sale or sold during the period are presented as discontinued operations for all periods presented. The Company did not have any properties classified as held for sale at September 30, 2008.</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assesses whether there are any indicators that the value of its investments in unconsolidated real estate ventures may be impaired when events or circumstances indicate there may be an impairment. An investment is impaired if the Company’s estimate of the fair value of the investment is less than its carrying value. To the extent impairment has occurred, and is considered to be other-than-temporary, the loss is measured as the excess of the carrying amount over the fair value of the investment. No impairment charges were recognized for the three or nine months ended September 30, 2008 or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There were no impaired properties or investments in unconsolidated real estate ventures or any real estate assets identified as held for sale during the three or nine months ended September 30, 2008. Therefore, the Company did not make any nonrecurring fair value measurements during the period.</w:t>
      </w:r>
    </w:p>
    <w:p>
      <w:pPr>
        <w:spacing w:after="0" w:line="14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less non-vested restricted stock. Diluted earnings per common share measures the performance of the Company over the reporting period while giving effect to all potential common shares that were dilutive and outstanding during the period. The denominator includes the number of additional common shares that would have been outstanding if the potential common shares that were dilutive had been issued and is calculated using either the treasury stock or if-converted method. Potential common shares are securities (such as options, warrants, convertible debt, Contingent Conversion Shares (“CCSs”), Contingent Conversion Units (“CCUs”), exchangeable Series A Participating Redeemable Preferred Operating Partnership units (“Preferred OP units”) and exchangeable Operating Partnership units (“OP units”)) that do not have a current right to participate in earnings but could do so in the future by virtue of their option or conversion right. 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share, only potential common shares that are dilutive, or reduce earnings per share, are included.</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Operating Partnership has $250,000 of exchangeable senior notes issued and outstanding that also can potentially have a dilutive effect on its earnings per share calculations. The exchangeable senior notes are exchangeable by holders into shares of the Company’s common stock under certain circumstances per the terms of the indenture governing the exchangeable senior notes. The exchangeable senior notes are not exchangeable unless the price of the Company’s common stock is greater than or equal to 130% of the applicable exchange price for a specified period during a quarter, or unless certain other events occur. The exchange price was $23.48 per share at September 30, 2008, and could change over time as described in the indenture. The price of the Company’s common stock did not exceed 130% of the exchange price for the specified period of time during the third quarter of 2008; therefore holders of the exchangeable senior notes may not elect to convert them during the fourth quarter of 2008.</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has irrevocably agreed to pay only cash for the accreted principal amount of the exchangeable senior notes relative to its exchange obligations, but has retained the right to satisfy the exchange obligations in excess of the accreted principal amount in cash and/or common stock. Though the Company has retained that right, FASB Statement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(“FAS 128”) requires an assumption that shares will be used to pay the exchange obligations in excess of the accreted principal amount, and requires that those shares be included in the Company’s calculation of weighted average common shares outstanding for the diluted earnings per share computation. No shares were included in the computation at September 30, 2008 because there was no excess over the accreted principal for the period.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purposes of computing the diluted impact on earnings per share of the potential conversion of Preferred OP units into common shares, where the Company has the option to redeem in cash or shares as discussed in Note 15 and where the Company has stated the positive intent and ability to settle at least $115,000 of the instrument in cash (or net settle a portion of the Preferred OP units against the related outstanding note receivable), only the amount of the instrument in excess of $115,000 is considered in the calculation of shares contingently issuable for the purposes of computing diluted earnings per share as allowed by paragraph 29 of FAS 128.</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months ended September 30, 2008 and 2007, options to purchase 1,356,592 and 1,184,978 shares of common stock, and for the nine months ended September 30, 2008 and 2007, options to purchase 903,180 and 256,506 shares of common stock, respectively, were excluded from the computation of earnings per share as their effect would have been anti-dilutive.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net income per common share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6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shd w:val="clear" w:color="auto" w:fill="CCEEFF"/>
          </w:tcPr>
          <w:p>
            <w:pPr>
              <w:spacing w:after="0"/>
              <w:rPr>
                <w:sz w:val="18"/>
                <w:szCs w:val="18"/>
                <w:color w:val="auto"/>
              </w:rPr>
            </w:pPr>
          </w:p>
        </w:tc>
      </w:tr>
    </w:tbl>
    <w:p>
      <w:pPr>
        <w:ind w:left="180"/>
        <w:spacing w:after="0"/>
        <w:rPr>
          <w:sz w:val="20"/>
          <w:szCs w:val="20"/>
          <w:color w:val="auto"/>
        </w:rPr>
      </w:pPr>
      <w:r>
        <w:rPr>
          <w:rFonts w:ascii="Arial" w:cs="Arial" w:eastAsia="Arial" w:hAnsi="Arial"/>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70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8" w:name="page9"/>
    <w:bookmarkEnd w:id="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allocated to minority interest - Operating Partnership</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86"/>
              </w:rPr>
              <w:t>869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1,893</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for diluted computations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13,093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10,697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29,821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 average common shares oustanding:</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basic</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81,736,986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64,901,249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73,668,700</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64,461,353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Operating Partnership units</w:t>
            </w:r>
          </w:p>
        </w:tc>
        <w:tc>
          <w:tcPr>
            <w:tcW w:w="2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4,109,034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4,025,332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4,109,034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4,025,332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Operating Partnership units</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989,980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961,839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989,980</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Dilutive stock options, restricted stock and CCS/CCU conversions</w:t>
            </w:r>
          </w:p>
        </w:tc>
        <w:tc>
          <w:tcPr>
            <w:tcW w:w="2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427,018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678,658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458,522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875,591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Average number of common shares outstanding - diluted</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87,263,018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70,567,078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79,226,236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69,702,837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0.15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5"/>
          </w:tcPr>
          <w:p>
            <w:pPr>
              <w:jc w:val="right"/>
              <w:ind w:right="12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4.  REAL ESTATE ASSETS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color w:val="auto"/>
              </w:rPr>
              <w:t>The components of real estate assets are summarized as follows: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September 30, 2008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December 31, 2007</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Land - operating</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434,826</w:t>
            </w:r>
          </w:p>
        </w:tc>
        <w:tc>
          <w:tcPr>
            <w:tcW w:w="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411,946</w:t>
            </w: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Land - development</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52,678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1,494,641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1,420,235</w:t>
            </w: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assets - tenant relationships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32,173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lease rights</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6,150</w:t>
            </w: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2,025,697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1,923,182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(168,888)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(131,805)</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Net operating real estate assets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1,856,809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1,791,377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Real estate under development</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49,945</w:t>
            </w:r>
          </w:p>
        </w:tc>
        <w:tc>
          <w:tcPr>
            <w:tcW w:w="80" w:type="dxa"/>
            <w:vAlign w:val="bottom"/>
            <w:tcBorders>
              <w:right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Net real estate assets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1,905,256</w:t>
            </w:r>
          </w:p>
        </w:tc>
        <w:tc>
          <w:tcPr>
            <w:tcW w:w="240" w:type="dxa"/>
            <w:vAlign w:val="bottom"/>
            <w:gridSpan w:val="2"/>
          </w:tcPr>
          <w:p>
            <w:pPr>
              <w:spacing w:after="0"/>
              <w:rPr>
                <w:sz w:val="18"/>
                <w:szCs w:val="18"/>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1,841,322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June 19, 2008, the Company sold an undeveloped parcel of vacant land in Antelope, California for its book value of $340. There was no gain or loss recognized on the sale.</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ACQUISITIONS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shows the Company’s acquisitions of operating properties for the nine months ended September 30, 2008, and does not include purchases of raw land or improvements made to existing assets: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Liabilities /</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Location(s)</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Cash Paid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(Assets)</w:t>
            </w: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Source of Acquisition</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Properties</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Consideration</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Assumed</w:t>
            </w: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Maryland</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9/17/08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Unrelated third party</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6/19/08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10,239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10,317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1940" w:type="dxa"/>
            <w:vAlign w:val="bottom"/>
            <w:gridSpan w:val="2"/>
          </w:tcPr>
          <w:p>
            <w:pPr>
              <w:spacing w:after="0"/>
              <w:rPr>
                <w:sz w:val="20"/>
                <w:szCs w:val="20"/>
                <w:color w:val="auto"/>
              </w:rPr>
            </w:pPr>
            <w:r>
              <w:rPr>
                <w:rFonts w:ascii="Arial" w:cs="Arial" w:eastAsia="Arial" w:hAnsi="Arial"/>
                <w:sz w:val="18"/>
                <w:szCs w:val="18"/>
                <w:color w:val="auto"/>
              </w:rPr>
              <w:t>Unrelated third party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3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1"/>
              </w:rPr>
              <w:t>5/2/08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7,759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Unrelated third party</w:t>
            </w:r>
          </w:p>
        </w:tc>
        <w:tc>
          <w:tcPr>
            <w:tcW w:w="0" w:type="dxa"/>
            <w:vAlign w:val="bottom"/>
          </w:tcPr>
          <w:p>
            <w:pPr>
              <w:spacing w:after="0"/>
              <w:rPr>
                <w:sz w:val="1"/>
                <w:szCs w:val="1"/>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23,110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INVESTMENTS IN REAL ESTATE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real estate ventures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Excess Profit</w:t>
            </w:r>
          </w:p>
        </w:tc>
        <w:tc>
          <w:tcPr>
            <w:tcW w:w="120" w:type="dxa"/>
            <w:vAlign w:val="bottom"/>
          </w:tcPr>
          <w:p>
            <w:pPr>
              <w:spacing w:after="0"/>
              <w:rPr>
                <w:sz w:val="14"/>
                <w:szCs w:val="14"/>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Investment balance at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6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Ownership %</w:t>
            </w:r>
          </w:p>
        </w:tc>
        <w:tc>
          <w:tcPr>
            <w:tcW w:w="16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Participation %</w:t>
            </w:r>
          </w:p>
        </w:tc>
        <w:tc>
          <w:tcPr>
            <w:tcW w:w="1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September 30, 2008</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1"/>
              </w:rPr>
              <w:t>December 31,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Extra Space West One LLC (“ESW”)</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Extra Space West Two LLC (“ESW II”)</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Extra Space Northern Properties Six, LLC (“ESNPS”)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Extra Space of Santa Monica LLC (“ESSM”)</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41%</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5,314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Clarendon Storage Associates Limited Partnership</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(“Clarendon”)</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3,354</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PRISA Self Storage LLC (“PRISA”)</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12,524</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PRISA II Self Storage LLC (“PRISA II”)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10,524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PRISA III Self Storage LLC (“PRISA III”)</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VRS Self Storage LLC (“VRS”)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45%</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48,016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WCOT Self Storage LLC (“WCOT”)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Storage Portfolio I, LLC (“SP I”)</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17,695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Storage Portfolio Bravo II (“SPB II”)</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25-45%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14,293</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U-Storage de Mexico S.A. and related entities (“U-Storage”)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35-40%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9,114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minority owned properties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10-50%</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140" w:right="239" w:bottom="0" w:gutter="0" w:footer="0" w:header="0"/>
        </w:sectPr>
      </w:pPr>
    </w:p>
    <w:bookmarkStart w:id="9" w:name="page10"/>
    <w:bookmarkEnd w:id="9"/>
    <w:p>
      <w:pPr>
        <w:ind w:right="100"/>
        <w:spacing w:after="0" w:line="264"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cash/profits in excess of these preferred returns are generated through operations or capital transactions, the Company would receive a higher percentage of the excess cash/profits than its equity interest.</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July 1, 2008, the Company purchased an additional 40.0% interest in VRS Self Storage LLC from Prudential Real Estate Investors for cash of $44,100, resulting in an increase in the Company’s total interest in the joint venture from 5.0% to 45.0%.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equity in earnings of real estate ventures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ESW</w:t>
            </w:r>
          </w:p>
        </w:tc>
        <w:tc>
          <w:tcPr>
            <w:tcW w:w="144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(losses) of ESW II</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ESNPS</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of Clarendon</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of PRISA II</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PRISA III</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of VRS</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WCOT</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of SP I</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SPB II</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Equity in earnings (losses) of U-Storage</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other minority owned properties</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Equity in earnings (losses) of ESW II, SP I and SPB II include the amortization of the Company’s excess purchase price of $25,713 of these equity investments over its original basis. The excess basis is amortized over 40 years.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 FOR SALE</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accounts for its investments in debt and equity securities according to the provisions of Statement of Financial Accounting Standards (“SFAS”) No. 115, “</w:t>
      </w:r>
      <w:r>
        <w:rPr>
          <w:rFonts w:ascii="Arial" w:cs="Arial" w:eastAsia="Arial" w:hAnsi="Arial"/>
          <w:sz w:val="17"/>
          <w:szCs w:val="17"/>
          <w:i w:val="1"/>
          <w:iCs w:val="1"/>
          <w:color w:val="auto"/>
        </w:rPr>
        <w:t>Accounting for Certain Investments in Debt and Equity Securities,”</w:t>
      </w:r>
      <w:r>
        <w:rPr>
          <w:rFonts w:ascii="Arial" w:cs="Arial" w:eastAsia="Arial" w:hAnsi="Arial"/>
          <w:sz w:val="17"/>
          <w:szCs w:val="17"/>
          <w:color w:val="auto"/>
        </w:rPr>
        <w:t xml:space="preserve"> which requires securities classified as “available for sale” to be stated at fair value. Adjustments to the fair value of available for sale securities are recorded as a component of other comprehensive income. A decline in the market value of equity securities below cost, that is deemed to be other than temporary, results in a reduction in the carrying amount to fair value. The impairment is charged to earnings and a new cost basis for the security is established. The Company’s investments available for sale have generally consisted of non mortgage-backed auction rate securities (“ARS”). ARS are generally long-term debt instruments that provide liquidity through a Dutch auction process that resets the applicable interest rate at pre-determined calendar intervals, generally every 28 days. This mechanism allows existing investors to rollover their holdings and continue to own their respective securities or liquidate their holding by selling their securities at par.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Uncertainties in the credit markets had prevented the Company and other investors from liquidating their holdings of ARS in auctions for these securities because the amount of securities submitted for sale exceeded the amount of purchase orders. As a result, during the year ended December 31, 2007, the Company recognized an other-than-temporary impairment charge of $1,213 and temporary impairment charge of $1,415, which reduced the carrying value of the Company’s investments in ARS to $21,812 as of December 31, 2007. On February 29, 2008, the Company liquidated its holdings of ARS for $21,812 in cash. As a result of this settlement, the Company recognized $1,415 of the amount that was previously classified as a temporary impairment as loss on sale of investments available for sale through earnings. The Company had no investments in ARS as of September 30, 2008.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Arial" w:cs="Arial" w:eastAsia="Arial" w:hAnsi="Arial"/>
                <w:sz w:val="18"/>
                <w:szCs w:val="18"/>
                <w:b w:val="1"/>
                <w:bCs w:val="1"/>
                <w:color w:val="auto"/>
              </w:rPr>
              <w:t>8.</w:t>
            </w:r>
          </w:p>
        </w:tc>
        <w:tc>
          <w:tcPr>
            <w:tcW w:w="50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ASSETS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gridSpan w:val="3"/>
          </w:tcPr>
          <w:p>
            <w:pPr>
              <w:spacing w:after="0"/>
              <w:rPr>
                <w:sz w:val="20"/>
                <w:szCs w:val="20"/>
                <w:color w:val="auto"/>
              </w:rPr>
            </w:pPr>
            <w:r>
              <w:rPr>
                <w:rFonts w:ascii="Arial" w:cs="Arial" w:eastAsia="Arial" w:hAnsi="Arial"/>
                <w:sz w:val="18"/>
                <w:szCs w:val="18"/>
                <w:color w:val="auto"/>
              </w:rPr>
              <w:t>The components of other assets are summarized as follows: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2008</w:t>
            </w:r>
          </w:p>
        </w:tc>
        <w:tc>
          <w:tcPr>
            <w:tcW w:w="16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2007</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Equipment and fixtures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(6,820)</w:t>
            </w: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13,652</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Prepaid expenses and deposits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6,616</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9,319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Trusts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1,004</w:t>
            </w: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50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NOTES PAYABLE</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vMerge w:val="continue"/>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notes payable are summarized as follows:</w:t>
      </w:r>
    </w:p>
    <w:p>
      <w:pPr>
        <w:spacing w:after="0" w:line="217" w:lineRule="exact"/>
        <w:rPr>
          <w:sz w:val="20"/>
          <w:szCs w:val="20"/>
          <w:color w:val="auto"/>
        </w:rPr>
      </w:pPr>
    </w:p>
    <w:p>
      <w:pPr>
        <w:ind w:left="8220"/>
        <w:spacing w:after="0"/>
        <w:tabs>
          <w:tab w:leader="none" w:pos="9980" w:val="left"/>
        </w:tabs>
        <w:rPr>
          <w:sz w:val="20"/>
          <w:szCs w:val="20"/>
          <w:color w:val="auto"/>
        </w:rPr>
      </w:pPr>
      <w:r>
        <w:rPr>
          <w:rFonts w:ascii="Arial" w:cs="Arial" w:eastAsia="Arial" w:hAnsi="Arial"/>
          <w:sz w:val="14"/>
          <w:szCs w:val="14"/>
          <w:b w:val="1"/>
          <w:bCs w:val="1"/>
          <w:color w:val="auto"/>
        </w:rPr>
        <w:t>September 30, 2008</w:t>
      </w:r>
      <w:r>
        <w:rPr>
          <w:sz w:val="20"/>
          <w:szCs w:val="20"/>
          <w:color w:val="auto"/>
        </w:rPr>
        <w:tab/>
      </w:r>
      <w:r>
        <w:rPr>
          <w:rFonts w:ascii="Arial" w:cs="Arial" w:eastAsia="Arial" w:hAnsi="Arial"/>
          <w:sz w:val="12"/>
          <w:szCs w:val="12"/>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Fixed Rate</w:t>
      </w:r>
    </w:p>
    <w:p>
      <w:pPr>
        <w:sectPr>
          <w:pgSz w:w="11900" w:h="16838" w:orient="portrait"/>
          <w:cols w:equalWidth="0" w:num="1">
            <w:col w:w="11420"/>
          </w:cols>
          <w:pgMar w:left="240" w:top="341"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w w:val="94"/>
              </w:rPr>
              <w:t>Mortgage and construction loans with banks bearing interest at fixed rates between 4.65% and 7.0%. The</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819,342</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w w:val="93"/>
              </w:rPr>
              <w:t>loans are collateralized by mortgages on real estate assets and the assignment of rents. Principal and</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w w:val="92"/>
              </w:rPr>
              <w:t>interest payments are made monthly with all outstanding principal and interest due between April 2009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2"/>
          </w:tcPr>
          <w:p>
            <w:pPr>
              <w:ind w:left="320"/>
              <w:spacing w:after="0"/>
              <w:rPr>
                <w:sz w:val="20"/>
                <w:szCs w:val="20"/>
                <w:color w:val="auto"/>
              </w:rPr>
            </w:pPr>
            <w:r>
              <w:rPr>
                <w:rFonts w:ascii="Arial" w:cs="Arial" w:eastAsia="Arial" w:hAnsi="Arial"/>
                <w:sz w:val="18"/>
                <w:szCs w:val="18"/>
                <w:color w:val="auto"/>
              </w:rPr>
              <w:t>and February 2017.</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Variable Rate</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7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Mortgage and construction loans with banks bearing floating interest rates (including loans subject to</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interest rate swaps) based on LIBOR. Interest rates based on LIBOR are between LIBOR plus 0.65%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(4.58% and 5.25% at September 30, 2008 and December 31, 2007, respectively) and LIBOR plus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2.25% (6.18% and 6.85% at September 30, 2008 and December 31, 2007, respectively). The loans are</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collateralized by mortgages on real estate assets and the assignment of rents. Principal and interest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4"/>
              </w:rPr>
              <w:t>payments are made monthly with all outstanding principal and interest due between December 2008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and June 2011.</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110,746</w:t>
            </w: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930,088</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 estate assets are pledged as collateral for the notes payable. The Company is subject to certain restrictive covenants relating to the outstanding notes payable. The Company was in compliance with all covenants at September 30, 2008.</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2004, the Company entered into a reverse interest rate swap agreement (“Swap Agreement”) to float $61,770 of 4.30% fixed interest rate secured notes due in September 2009. Under this Swap Agreement, the Company will receive interest at a fixed rate of 4.30% and pay interest at a variable rate equal to LIBOR plus 0.65%. The Swap Agreement matures at the same time the notes are due. This Swap Agreement is a fair value hedge, as defined by SFAS No. 133, and the fair value of the Swap Agreement is recorded as an asset or liability, with an offsetting adjustment to the carrying value of the related note payable. Monthly variable interest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payments are recognized as an increase or decrease in interest expense.</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estimated fair value of the Swap Agreement at September 30, 2008 was reflected as an other asset of $87. The estimated fair value of the Swap Agreement at December 31, 2007 was reflected as an other liability of $125. The fair value of the Swap Agreement is determined through observable prices in active markets for identical agreements. The Company recorded a reduction to interest expense relating to the Swap Agreement of $186 for the three months ended September 30, 2008 and additional interest expense of $273 for the three months ended September 30, 2007. Interest expense was decreased by $194 for the nine months ended September 30, 2008 and interest expense was increased by $798 for the nine months ended September 30, 2007.</w:t>
      </w:r>
    </w:p>
    <w:p>
      <w:pPr>
        <w:spacing w:after="0" w:line="15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August 31, 2007, as part of the acquisition of a partner’s joint venture interest in seven properties, the Company assumed an interest rate cap agreement related to the assumption of the loan on these properties. The Company has designated the interest rate cap agreement as a cash flow hedge of the interest payments resulting from an increase in the interest rates above the rates designated in the interest rate cap agreement. The interest rate cap agreement will allow increases in interest payments based on an increase in the LIBOR rate above the capped rates (5.19% from 1/1/2007 to 12/31/2007 and 5.48% from 1/1/2008 through 12/31/2008) on $23,340 of floating rate debt to be offset by the value of the interest rate cap agreement. The estimated fair value of the interest rate cap at the assumption date was not material and no asset or liability was recorded. The fair value of the interest rate cap at September 30, 2008 and December 31, 2007 was also not material. The fair value of the interest rate cap is determined through observable prices in active markets for identical agreements.</w:t>
      </w:r>
    </w:p>
    <w:p>
      <w:pPr>
        <w:spacing w:after="0" w:line="19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June 30, 2008, the Company entered into a loan agreement in the amount of $64,530 secured by certain properties. On September 30, 2008, $1,000 was drawn on the loan balance. As part of the loan agreement, the Company agreed to draw down at least 50% of the loan amount by February 1, 2009 with the remainder to be drawn by March 31, 2009. The loan bears interest at LIBOR plus 2%, maturing on June 30, 2011.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TO TRUSTS</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the Trust III issued 1,238 of Trust common securities to the Operating Partnership for a purchase price of $1,238. On July 27, 2005, the proceeds from the sale of the preferred and common securities of $41,238 were loaned in the form of a note to the Operating Partnership (“Note 3”). Note 3 has a fixed rate of 6.91% through July 31, 2010, and then will be payable at a variable rate equal to the three-month LIBOR plus 2.40% per annum. The interest on Note 3, payable quarterly, will be used by the Trust III to pay dividends on the trust preferred securities. The trust preferred securities may be redeemed by the Trust with no prepayment premium after July 27, 2010.</w:t>
      </w:r>
    </w:p>
    <w:p>
      <w:pPr>
        <w:spacing w:after="0" w:line="18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May 2005, ESS Statutory Trust II (the “Trust II”), a newly formed Delaware statutory trust and a wholly-owned, unconsolidated subsidiary of the Operating Partnership, issued an aggregate of $41,000 of preferred securities which mature on June 30, 2035. In addition, the Trust II issued 1,269 of Trust common securities to the Operating Partnership for a purchase price of $1,269. On May 24, 2005, the proceeds from the sale of the preferred and common securities of $42,269 were loaned in the form of a note to the Operating Partnership (“Note 2”). Note 2 has a fixed rate of 6.67% through June 30, 2010, and then will be payable at a variable rate equal to the three-month LIBOR plus 2.40% per annum. The interest on Note 2, payable quarterly, will be used by the Trust II to pay dividends on the trust preferred securities. The trust preferred securities may be redeemed by the Trust with no prepayment premium after June 30, 2010.</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During April 2005, ESS Statutory Trust I (the “Trust”), a newly formed Delaware statutory trust and a wholly-owned, unconsolidated subsidiary of the Operating Partnership issued an aggregate of $35,000 of trust preferred securities which mature on June 30, 2035. In addition, the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three-month LIBOR plus 2.25% per annum. The interest on the Note, payable quarterly, will be used by the Trust to pay dividends on the trust preferred securities. The trust preferred securities may be redeemed by the Trust with no prepayment premium after June 30, 2010.</w:t>
      </w:r>
    </w:p>
    <w:p>
      <w:pPr>
        <w:sectPr>
          <w:pgSz w:w="11900" w:h="16838" w:orient="portrait"/>
          <w:cols w:equalWidth="0" w:num="1">
            <w:col w:w="11420"/>
          </w:cols>
          <w:pgMar w:left="240" w:top="125" w:right="239" w:bottom="0" w:gutter="0" w:footer="0" w:header="0"/>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t>The Company follows FASB Interpretation No.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(“FIN 46R”), which addresses the consolidation of variable interest entities (“VIEs”). Under FIN 46R, Trust, Trust II and Trust III are VIEs that are not consolidated because the Company is not the primary beneficiary. A debt obligation has been recorded in the form of notes as discussed above for the proceeds, which are owed to the Trust, Trust II, and Trust III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EXCHANGEABLE SENIOR NOTES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March 27, 2007, our Operating Partnership issued $250,000 of its 3.625% Exchangeable Senior Notes due April 1, 2027 (the “Notes”). Costs incurred to issue the Notes were approximately $5,700. These costs are being amortized over five years, which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represents the estimated term of the Notes, and are included in other assets in the condensed consolidated balance sheet as of September 30, 2008. The Notes are general unsecured senior obligations of the Operating Partnership and are fully guaranteed by the Company. Interest is payable on April 1 and October 1 of each year until the maturity date of April 1, 2027. The Notes bear interest at 3.625% per annum and contain an exchange settlement feature, which provides that the Notes may, under certain circumstances, be exchangeable for cash (up to the principal amount of the Notes) and, with respect to any excess exchange value, for cash, shares of our common stock or a combination of cash and shares of our common stock at an initial exchange rate of approximately 42.582 shares per one thousand dollars principal amount of Notes at the option of the Operating Partnership.</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Operating Partnership may redeem the Notes at any time to preserve the Company’s status as a REIT. In addition, on or after April 5, 2012, the Operating Partnership may redeem the Notes for cash, in whole or in part, at 100% of the principal amount plus accrued and unpaid interest, upon at least 30 days but not more than 60 days prior written notice to holders of the Notes.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holders of the Notes have the right to require the Operating Partnership to repurchase the Notes for cash, in whole or in part, on each of April 1, 2012, April 1, 2017 and April 1, 2022, and upon the occurrence of a designated event, in each case for a repurchase price equal to 100% of the principal amount of the Notes plus accrued and unpaid interest. Certain events are considered “Events of Default,” as defined in the indenture governing the Notes, which may result in the accelerated maturity of the Notes.</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The Company has considered whether the exchange settlement feature represents an embedded derivative within the debt instrument under the guidance of FASB Statement No.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(“FAS 133”), EITF Issue 90-19: </w:t>
      </w:r>
      <w:r>
        <w:rPr>
          <w:rFonts w:ascii="Arial" w:cs="Arial" w:eastAsia="Arial" w:hAnsi="Arial"/>
          <w:sz w:val="17"/>
          <w:szCs w:val="17"/>
          <w:i w:val="1"/>
          <w:iCs w:val="1"/>
          <w:color w:val="auto"/>
        </w:rPr>
        <w:t>“Convertible Bonds with Issuer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Option to Settle for Cash Upon Conversion,” </w:t>
      </w:r>
      <w:r>
        <w:rPr>
          <w:rFonts w:ascii="Arial" w:cs="Arial" w:eastAsia="Arial" w:hAnsi="Arial"/>
          <w:sz w:val="17"/>
          <w:szCs w:val="17"/>
          <w:color w:val="auto"/>
        </w:rPr>
        <w:t>and EITF Issue No. 01-6:</w:t>
      </w:r>
      <w:r>
        <w:rPr>
          <w:rFonts w:ascii="Arial" w:cs="Arial" w:eastAsia="Arial" w:hAnsi="Arial"/>
          <w:sz w:val="17"/>
          <w:szCs w:val="17"/>
          <w:i w:val="1"/>
          <w:iCs w:val="1"/>
          <w:color w:val="auto"/>
        </w:rPr>
        <w:t xml:space="preserve"> “The Meaning of “Indexed to a Company’s Own Stock” </w:t>
      </w:r>
      <w:r>
        <w:rPr>
          <w:rFonts w:ascii="Arial" w:cs="Arial" w:eastAsia="Arial" w:hAnsi="Arial"/>
          <w:sz w:val="17"/>
          <w:szCs w:val="17"/>
          <w:color w:val="auto"/>
        </w:rPr>
        <w:t>that would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bifurcation (i.e. separate accounting of the note and the exchange settlement feature). The Company has concluded that the exchange settlement feature has satisfied the exemption in FAS 133 because it is indexed to the Company’s own common stock and would otherwise be classified in stockholders’ equity, among other considerations. Accordingly, the Notes are presented as a single debt instrument (often referred to as “Instrument C” in EITF 90-19) in accordance with APB 14: “</w:t>
      </w:r>
      <w:r>
        <w:rPr>
          <w:rFonts w:ascii="Arial" w:cs="Arial" w:eastAsia="Arial" w:hAnsi="Arial"/>
          <w:sz w:val="17"/>
          <w:szCs w:val="17"/>
          <w:i w:val="1"/>
          <w:iCs w:val="1"/>
          <w:color w:val="auto"/>
        </w:rPr>
        <w:t>Accounting for Convertible Debt and Debt Issued with Stock Purchase Warrants,”</w:t>
      </w:r>
      <w:r>
        <w:rPr>
          <w:rFonts w:ascii="Arial" w:cs="Arial" w:eastAsia="Arial" w:hAnsi="Arial"/>
          <w:sz w:val="17"/>
          <w:szCs w:val="17"/>
          <w:color w:val="auto"/>
        </w:rPr>
        <w:t xml:space="preserve"> due to the inseparability of the debt and the exchange settlement feature. The Company is currently evaluating the impact that the adoption of FSP APB 14-1 will have on its financial statements and expects to have a significant increase in interest expense as a result.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LINE OF CREDIT</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October 19, 2007, the Operating Partnership entered into a $100,000 revolving line of credit (the “Credit Line”) that matures October 31, 2010 with two one-year extensions available. The Company intends to use the proceeds of the Credit Line for general corporate purposes. The Credit Line has an interest rate of between 100 and 205 basis points over LIBOR, depending on certain financial ratios of the Company. The Credit Line is collateralized by mortgages on certain real estate assets. As of September 30, 2008, the Credit Line had $100,000 of capacity based on the assets collateralizing the Credit Line. No amounts were outstanding on the Credit Line at September 30, 2008 or December 31, 2007. The Company is subject to certain restrictive covenants relating to the Credit Line. The Company was in compliance with all covenants as of September 30,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liabilities are summarized as follows: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September 30, 2008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2007</w:t>
            </w:r>
          </w:p>
        </w:tc>
      </w:tr>
      <w:tr>
        <w:trPr>
          <w:trHeight w:val="210"/>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Deferred rental income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12,438</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11,805</w:t>
            </w: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Security deposits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SUSA lease obligation liability</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Fair value of interest rate swap</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liabilities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CEEFF"/>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18,857</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AND AFFILIATED REAL ESTATE JOINT VENTURE TRANSACTIONS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 provides management and development services for certain joint ventures, franchises, third parties and other related party properties. Management agreements provide generally for management fees of 6% of cash collected from properties for the management of operations at the self-storage facilities. Management fee revenues for related parties and affiliated real estate joint ventures are summarized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Entity</w:t>
            </w:r>
          </w:p>
        </w:tc>
        <w:tc>
          <w:tcPr>
            <w:tcW w:w="220" w:type="dxa"/>
            <w:vAlign w:val="bottom"/>
            <w:vMerge w:val="restart"/>
          </w:tcPr>
          <w:p>
            <w:pPr>
              <w:spacing w:after="0"/>
              <w:rPr>
                <w:sz w:val="14"/>
                <w:szCs w:val="14"/>
                <w:color w:val="auto"/>
              </w:rPr>
            </w:pPr>
          </w:p>
        </w:tc>
        <w:tc>
          <w:tcPr>
            <w:tcW w:w="31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Type</w:t>
            </w:r>
          </w:p>
        </w:tc>
        <w:tc>
          <w:tcPr>
            <w:tcW w:w="220" w:type="dxa"/>
            <w:vAlign w:val="bottom"/>
            <w:vMerge w:val="restart"/>
          </w:tcPr>
          <w:p>
            <w:pPr>
              <w:spacing w:after="0"/>
              <w:rPr>
                <w:sz w:val="14"/>
                <w:szCs w:val="14"/>
                <w:color w:val="auto"/>
              </w:rPr>
            </w:pPr>
          </w:p>
        </w:tc>
        <w:tc>
          <w:tcPr>
            <w:tcW w:w="298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7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26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ESW</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Affiliated real estate joint ventures</w:t>
            </w:r>
          </w:p>
        </w:tc>
        <w:tc>
          <w:tcPr>
            <w:tcW w:w="8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ESW II</w:t>
            </w:r>
          </w:p>
        </w:tc>
        <w:tc>
          <w:tcPr>
            <w:tcW w:w="3700" w:type="dxa"/>
            <w:vAlign w:val="bottom"/>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ESNPS</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PRISA</w:t>
            </w:r>
          </w:p>
        </w:tc>
        <w:tc>
          <w:tcPr>
            <w:tcW w:w="3700" w:type="dxa"/>
            <w:vAlign w:val="bottom"/>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1,273</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3,810</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PRISA II</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3,110</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3,142</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PRISA III</w:t>
            </w:r>
          </w:p>
        </w:tc>
        <w:tc>
          <w:tcPr>
            <w:tcW w:w="3700" w:type="dxa"/>
            <w:vAlign w:val="bottom"/>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448</w:t>
            </w:r>
          </w:p>
        </w:tc>
        <w:tc>
          <w:tcPr>
            <w:tcW w:w="4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1,329</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VRS</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298</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WCOT</w:t>
            </w:r>
          </w:p>
        </w:tc>
        <w:tc>
          <w:tcPr>
            <w:tcW w:w="3700" w:type="dxa"/>
            <w:vAlign w:val="bottom"/>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387</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1,154</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SP I</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SPB II</w:t>
            </w:r>
          </w:p>
        </w:tc>
        <w:tc>
          <w:tcPr>
            <w:tcW w:w="3700" w:type="dxa"/>
            <w:vAlign w:val="bottom"/>
          </w:tcPr>
          <w:p>
            <w:pPr>
              <w:ind w:left="780"/>
              <w:spacing w:after="0"/>
              <w:rPr>
                <w:sz w:val="20"/>
                <w:szCs w:val="20"/>
                <w:color w:val="auto"/>
              </w:rPr>
            </w:pPr>
            <w:r>
              <w:rPr>
                <w:rFonts w:ascii="Arial" w:cs="Arial" w:eastAsia="Arial" w:hAnsi="Arial"/>
                <w:sz w:val="18"/>
                <w:szCs w:val="18"/>
                <w:color w:val="auto"/>
              </w:rPr>
              <w:t>Affiliated real estate joint ventures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Various</w:t>
            </w:r>
          </w:p>
        </w:tc>
        <w:tc>
          <w:tcPr>
            <w:tcW w:w="3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Franchisees, third parties and other</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CCEEFF"/>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2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15,837</w:t>
            </w: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Effective January 1, 2004, the Company entered into a license agreement with Centershift, a related party software provider, to secure a perpetual right for continued use of STORE (the site management software used at all sites operated by the Company) in all aspects of the Company’s property acquisition, development, redevelopment and operational activities. The Company paid Centershift $274 and $225 for the three months ended September 30, 2008 and 2007, respectively, and $701 and $680 for the nine months ended September 30, 2008 and 2007, respectively, relating to the purchase of software and to license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Related party and affiliated real estate joint ventures balances are summarized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September 30, 2008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Receivables:</w:t>
            </w:r>
          </w:p>
        </w:tc>
        <w:tc>
          <w:tcPr>
            <w:tcW w:w="1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Development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1,506</w:t>
            </w:r>
          </w:p>
        </w:tc>
        <w:tc>
          <w:tcPr>
            <w:tcW w:w="2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 from properties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Other receivables from properties consist of amounts due for management fees and expenses paid by the Company on behalf of the managed properties. The Company believes that all of these related party and affiliated joint venture receivables are fully collectible. The Company did not have any payables to related parties at September 30, 2008 or December 31,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MINORITY INTEREST REPRESENTED BY PREFERRED OPERATING PARTNERSHIP UNITS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June 15, 2007, the Operating Partnership entered into a Contribution Agreement with various limited partnerships affiliated with AAAAA Rent-A-Space to acquire ten self-storage facilities (the “Properties”) in exchange for the issuance of newly designated Preferred OP units of the Operating Partnership. The self-storage facilities are located in California and Hawaii.</w:t>
      </w:r>
    </w:p>
    <w:p>
      <w:pPr>
        <w:spacing w:after="0" w:line="18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June 25 and 26, 2007, nine of the ten properties were contributed to the Operating Partnership in exchange for consideration totaling $137,800. Preferred OP units totaling 909,075, with a value of $121,700, were issued along with the assumption of approximately $14,200 of third-party debt, of which $11,400 was paid off at close. The final property was contributed on August 1, 2007 in exchange for consideration totaling $14,700. 80,905 Preferred OP units with a value of $9,800 were issued along with $4,900 of cash.</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June 25, 2007, the Operating Partnership loaned the holders of the Preferred OP units $100,000. The note receivable bears interest at 4.85%, and is due September 1, 2017. The loan is secured by the borrower’s Preferred OP units. The holders of the Preferred OP units can convert up to 114,500 Preferred OP units prior to the maturity date of the loan. If any redemption in excess of 114,500 Preferred OP units occurs prior to the maturity date, the holder of the Preferred OP units is required to repay the loan as of the date of that Preferred OP unit redemption. Preferred OP units are shown on the balance sheet net of the $100,000 loan under the guidance in EITF No. 85-1, “</w:t>
      </w:r>
      <w:r>
        <w:rPr>
          <w:rFonts w:ascii="Arial" w:cs="Arial" w:eastAsia="Arial" w:hAnsi="Arial"/>
          <w:sz w:val="18"/>
          <w:szCs w:val="18"/>
          <w:i w:val="1"/>
          <w:iCs w:val="1"/>
          <w:color w:val="auto"/>
        </w:rPr>
        <w:t>Classifying Notes Receivable for Capital,”</w:t>
      </w:r>
      <w:r>
        <w:rPr>
          <w:rFonts w:ascii="Arial" w:cs="Arial" w:eastAsia="Arial" w:hAnsi="Arial"/>
          <w:sz w:val="18"/>
          <w:szCs w:val="18"/>
          <w:color w:val="auto"/>
        </w:rPr>
        <w:t xml:space="preserve"> because the borrower under the loan receivable is also the holder of the Preferred OP units.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Operating Partnership entered into a Second Amended and Restated Agreement of Limited Partnership (the “Partnership Agreement”) which provides for the designation and issuance of the Preferred OP units. The Preferred OP units will have priority over all other partnership interests of the Operating Partnership with respect to distributions and liquidation.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Partnership Agreement, Preferred OP units in the amount of $115,000 bear a fixed priority return of 5% and have a fixed liquidation value of</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$115,000. The remaining balance will participate in distributions with and have a liquidation value equal to that of the common OP units. The Preferred OP units will be redeemable at the option of the holder on or after September 1, 2008, which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redemption obligation may be satisfied, at the Company’s option, in cash or shares of its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issuance, in accordance with SFAS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SFAS 150: </w:t>
      </w:r>
      <w:r>
        <w:rPr>
          <w:rFonts w:ascii="Arial" w:cs="Arial" w:eastAsia="Arial" w:hAnsi="Arial"/>
          <w:sz w:val="17"/>
          <w:szCs w:val="17"/>
          <w:i w:val="1"/>
          <w:iCs w:val="1"/>
          <w:color w:val="auto"/>
        </w:rPr>
        <w:t>“Accounting for Certain Financial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Instruments with Characteristics of both Liabilities and Equity,” </w:t>
      </w:r>
      <w:r>
        <w:rPr>
          <w:rFonts w:ascii="Arial" w:cs="Arial" w:eastAsia="Arial" w:hAnsi="Arial"/>
          <w:sz w:val="17"/>
          <w:szCs w:val="17"/>
          <w:color w:val="auto"/>
        </w:rPr>
        <w:t>EITF 00-19:</w:t>
      </w:r>
      <w:r>
        <w:rPr>
          <w:rFonts w:ascii="Arial" w:cs="Arial" w:eastAsia="Arial" w:hAnsi="Arial"/>
          <w:sz w:val="17"/>
          <w:szCs w:val="17"/>
          <w:i w:val="1"/>
          <w:iCs w:val="1"/>
          <w:color w:val="auto"/>
        </w:rPr>
        <w:t xml:space="preserve"> “Accounting for Derivative Financial Instruments Indexed to, and Potentially</w:t>
      </w:r>
    </w:p>
    <w:p>
      <w:pPr>
        <w:spacing w:after="0" w:line="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Settled in, a Company’s Own Stock,” </w:t>
      </w:r>
      <w:r>
        <w:rPr>
          <w:rFonts w:ascii="Arial" w:cs="Arial" w:eastAsia="Arial" w:hAnsi="Arial"/>
          <w:sz w:val="16"/>
          <w:szCs w:val="16"/>
          <w:color w:val="auto"/>
        </w:rPr>
        <w:t>EITF Topic D-109: “</w:t>
      </w:r>
      <w:r>
        <w:rPr>
          <w:rFonts w:ascii="Arial" w:cs="Arial" w:eastAsia="Arial" w:hAnsi="Arial"/>
          <w:sz w:val="16"/>
          <w:szCs w:val="16"/>
          <w:i w:val="1"/>
          <w:iCs w:val="1"/>
          <w:color w:val="auto"/>
        </w:rPr>
        <w:t xml:space="preserve">Determining the Nature of a Host Contract Related to a Hybrid Financial Instrument Issued in the Form of a Share under FASB Statement No. 133:” </w:t>
      </w:r>
      <w:r>
        <w:rPr>
          <w:rFonts w:ascii="Arial" w:cs="Arial" w:eastAsia="Arial" w:hAnsi="Arial"/>
          <w:sz w:val="16"/>
          <w:szCs w:val="16"/>
          <w:color w:val="auto"/>
        </w:rPr>
        <w:t>and Accounting Series Release No. 268:</w:t>
      </w:r>
      <w:r>
        <w:rPr>
          <w:rFonts w:ascii="Arial" w:cs="Arial" w:eastAsia="Arial" w:hAnsi="Arial"/>
          <w:sz w:val="16"/>
          <w:szCs w:val="16"/>
          <w:i w:val="1"/>
          <w:iCs w:val="1"/>
          <w:color w:val="auto"/>
        </w:rPr>
        <w:t xml:space="preserve"> “Presentation in Financial Statements of “Redeemable Preferred Stocks,” </w:t>
      </w:r>
      <w:r>
        <w:rPr>
          <w:rFonts w:ascii="Arial" w:cs="Arial" w:eastAsia="Arial" w:hAnsi="Arial"/>
          <w:sz w:val="16"/>
          <w:szCs w:val="16"/>
          <w:color w:val="auto"/>
        </w:rPr>
        <w:t>from inception through September 28, 2007 (the date of the amendment discussed below), the Preferred OP units were classified as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such that the value of the units associated with the fixed return were classified in mezzanine after total liabilities on the balance sheet and before stockholders’ equity. The remaining balance that participates in distributions equal to that of common OP units had been identified as an embedded derivative and had been classified as a liability on the balance sheet and recorded at fair value on a quarterly basis with any adjustment being recorded through earnings. For the year ended December 31, 2007, the fair value adjustment associated with the embedded derivative was $1,054.</w:t>
      </w:r>
    </w:p>
    <w:p>
      <w:pPr>
        <w:sectPr>
          <w:pgSz w:w="11900" w:h="16838" w:orient="portrait"/>
          <w:cols w:equalWidth="0" w:num="1">
            <w:col w:w="11420"/>
          </w:cols>
          <w:pgMar w:left="240" w:top="356" w:right="239" w:bottom="3" w:gutter="0" w:footer="0" w:header="0"/>
        </w:sectPr>
      </w:pPr>
    </w:p>
    <w:bookmarkStart w:id="13" w:name="page14"/>
    <w:bookmarkEnd w:id="13"/>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28, 2007, the Operating Partnership entered into an amendment to the Contribution Agreement (the “Amendment”). Pursuant to the Amendment, the maximum number of shares that can be issued upon redemption of the Preferred OP units was set at 116 million, after which the Company will have no further obligations with respect to the redeemed or any other remaining Preferred OP units. As a result of the Amendment, and in accordance with the above referenced guidance, the Preferred OP units are no longer considered a hybrid instrument and the previously identified embedded derivative no longer requires bifurcation and is considered permanent equity of the Operating Partnership. The Preferred OP units are included on the consolidated balance sheet as the minority interest represented by Preferred OP units, and no recurring fair value measurements are required subsequent to the date of the Amendment.</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September 18, 2008, the Operating Partnership entered into a First Amendment to the Second Amended and Restated Agreement of Limited Partnership to clarify certain tax-related provisions relating to the Preferred OP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MINORITY INTEREST IN OPERATING PARTNERSHIP</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interest in its properties is held through the Operating Partnership. ESS Holding Business Trust I, a wholly owned subsidiary of the Company, is the sole general partner of the Operating Partnership. The Company, through ESS Holding Business Trust II, a wholly owned subsidiary of the Company, is also a limited partner of the Operating Partnership. Between its general partner and limited partner interests, the Company held a 94.17% majority ownership interest therein as of September 30, 2008. The remaining ownership interests in the Operating Partnership (including Preferred OP units) of 5.83% are held by certain former owners of assets acquired by the Operating Partnership, which include officers and a director of the Company. As of September 30, 2008, the Operating Partnership had 4,109,034 and 70,985 OP units and CCUs outstanding, respectively.</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minority interest in the Operating Partnership represents OP units that are not owned by the Company. In conjunction with the formation of the Company and as a result of subsequent acquisitions, certain persons and entities contributing interests in properties to the Operating Partnership received limited partnership units in the form of either OP units or CCUs. Limited partners who received OP units in the formation transactions or in exchange for contributions for interests in properties have the right to require the Operating Partnership to redeem part or all of their OP units for cash based upon the fair market value of an equivalent number of shares of the Company’s common stock (10 day average) at the time of the redemption. Alternatively, the Company may, at its option, elect to acquire those OP units in exchange for shares of its common stock on a one-for-one basis, subject to anti-dilution adjustments provided in the Partnership Agreement. The ten day average closing stock price at September 30, 2008 was $15.71 and there were 4,109,034 OP units outstanding. Assuming that all of the unit holders exercised their right to redeem all of their OP units on September 30, 2008 and the Company elected to pay the non-controlling members cash, the Company would have paid $64,553 in cash consideration to redeem the OP units.</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Unlike the OP units, CCUs do not carry any voting rights. Upon the achievement of certain performance thresholds relating to 14 properties, all or a portion of the CCUs will be automatically converted into OP units. Initially, each CCU will be convertible on a one-for-one basis into OP units,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CCUs will be converted so that the total percentage (not to exceed 100%) of CCUs issued in connection with the formation transactions that have been converted to OP units will be equal to the percentage determined by dividing the net operating income for such period in excess of $5,100 by $4,600. If any CCU remains unconverted through the calculation made in respect of the 12-month period ending December 31, 2008, such outstanding CCUs will be cancelled.</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any CCUs remain outstanding, a majority of the Company’s independent directors must review and approve the net operating income calculation for each measurement period and also must approve any sales of any of the 14 wholly-owned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2008, there were 129,061 CCUs converted to OP units. Based on the performance of the properties as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September 30, 2008, an additional 15,028 CCUs became eligible for conversion. The board of directors approved the conversion of these CCUs on October 30, 2008 as per the Company’s charter, and the OP units were issued on November 5,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STOCKHOLDERS’ EQUITY</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Company’s charter provides that it can issue up to 300,000,000 shares of common stock, $0.01 par value per share, 4,100,000 CCSs, $.01 par value per share, and 50,000,000 shares of preferred stock, $0.01 par value per share. As of September 30, 2008, 82,370,640 shares of common stock were issued and outstanding, 1,379,923 CCSs were issued and outstanding and no shares of preferred stock were issued and outstanding. All holders of the Company’s common stock are entitled to receive dividends and to one vote on all matters submitted to a vote of stockholders.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19, 2008, the Company closed a public common stock offering of 14,950,000 shares at an offering price of $16.35 per share, for aggregate gross proceeds of $244,433. Transaction costs were $11,715 for net proceeds of $232,718. A portion of the proceeds were used for the repayment of mortgage debt and outstanding amounts under our Credit Line, and the remaining net proceeds will be used for general corporate purposes, including funding potential future acquisitions.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Unlike the Company’s shares of common stock, CCSs do not carry any voting rights. Upon the achievement of certain performance thresholds relating to 14 properties, all or a portion of the CCSs will be automatically converted into shares of the Company’s common stock. Initially, each CCS will be convertible on a one-for-one basis into shares of common stock, subject to customary anti-dilution adjustments. Beginning with the quarter ended March 31, 2006, and ending with the quarter ending December 31, 2008, the Company will calculate the net operating income from the 14 wholly-owned properties over the 12-month period ending in such quarter. Within 35 days following the end of each quarter referred to above, some or all of the CCSs will be converted so that the total percentage (not to exceed 100%) of CCSs issued in connection with the formation transactions that have been converted to common stock will be equal to the percentage determined by dividing the net operating income for such period in excess of $5,100 by $4,600. If any CCS remains unconverted through the calculation made in respect of the 12-month period ending December 31, 2008, such outstanding CCSs will be cancelled and restored to the status of authorized but unissued shares of common stock.</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While any CCSs remain outstanding, a majority of the Company’s independent directors must review and approve the net operating income calculation for each measurement period and also must approve any sales of any of the 14 wholly-owned properties.</w:t>
      </w:r>
    </w:p>
    <w:p>
      <w:pPr>
        <w:sectPr>
          <w:pgSz w:w="11900" w:h="16861" w:orient="portrait"/>
          <w:cols w:equalWidth="0" w:num="1">
            <w:col w:w="11420"/>
          </w:cols>
          <w:pgMar w:left="240" w:top="125" w:right="239" w:bottom="0" w:gutter="0" w:footer="0" w:header="0"/>
        </w:sectPr>
      </w:pPr>
    </w:p>
    <w:bookmarkStart w:id="14" w:name="page15"/>
    <w:bookmarkEnd w:id="14"/>
    <w:p>
      <w:pPr>
        <w:ind w:right="80"/>
        <w:spacing w:after="0" w:line="264" w:lineRule="auto"/>
        <w:rPr>
          <w:sz w:val="20"/>
          <w:szCs w:val="20"/>
          <w:color w:val="auto"/>
        </w:rPr>
      </w:pPr>
      <w:r>
        <w:rPr>
          <w:rFonts w:ascii="Arial" w:cs="Arial" w:eastAsia="Arial" w:hAnsi="Arial"/>
          <w:sz w:val="18"/>
          <w:szCs w:val="18"/>
          <w:color w:val="auto"/>
        </w:rPr>
        <w:t>As of September 30, 2008, there were 2,508,920 CCSs converted to common stock. Based on the performance of the properties as of September 30, 2008, an additional 292,133 CCSs became eligible for conversion. The board of directors approved the conversion of these CCSs on October 30, 2008 as per the Company’s charter, and the shares were issued on November 5,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STOCK-BASED COMPENSATION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has the following two stock option plans under which shares were available for grant at September 30, 2008: 1) the 2004 Long-Term Incentive Compensation Plan as amended and restated, effective March 25, 2008, and 2) the 2004 Non-Employee Directors’ Share Plan (together, the “Plans”). Option grants are issued at the closing price of stock on the date of grant. Each option will be exercisable after the period or periods specified in the award agreement (typically four years), which will generally not exceed 10 years from the date of grant. Options are exercisable at such times and subject to such terms as determined by the Compensation, Nominating and Governance Committee, but under no circumstances may be exercised if such exercise would cause a violation of the ownership limit in the Company’s charter. Unless otherwise determined by the Compensation, Nominating and Governance Committee at the time of grant, options shall vest ratably over a four-year period beginning on the date of grant.</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Also as defined under the terms of the Plans, restricted stock grants may be awarded. The stock grants are subject to a performance or vesting period over which the restrictions are lifted and the stock certificates are given to the grantee. During the performance or vesting period, the grantee is not permitted to sell, transfer, pledge, encumber or assign shares of restricted stock granted under the Plans, however the grantee has the ability to vote the shares and receive dividends paid on the shares. The forfeiture and transfer restrictions on the shares lapse over a two to four-year period beginning on the date of grant. As of September 30, 2008, 4,693,804 shares were available for issuance under the Plans.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to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as of</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2008</w:t>
            </w: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2,564,563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418,000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18.51</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(126,801)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13.68</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(204,044)</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14.71</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2,651,718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380,000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15.57</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(146,795)</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13.09</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(37,000)</w:t>
            </w:r>
          </w:p>
        </w:tc>
        <w:tc>
          <w:tcPr>
            <w:tcW w:w="1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14.06</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2008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2,847,923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6.92</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3,356</w:t>
            </w: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2,592,996</w:t>
            </w:r>
          </w:p>
        </w:tc>
        <w:tc>
          <w:tcPr>
            <w:tcW w:w="3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14.60</w:t>
            </w:r>
          </w:p>
        </w:tc>
        <w:tc>
          <w:tcPr>
            <w:tcW w:w="24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Exercisable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aggregate intrinsic value in the table above represents the total value (the difference between the Company’s closing stock price on the last trading day of the third quarter of 2008 and the exercise price, multiplied by the number of in-the-money options) that would have been received by the option holders had all option holders exercised their options on September 30, 2008. The amount of aggregate intrinsic value will change based on the fair market value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grant is estimated using the Black-Scholes option-pricing model with the following assumptions:</w:t>
      </w:r>
    </w:p>
    <w:p>
      <w:pPr>
        <w:spacing w:after="0" w:line="217"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1620" w:type="dxa"/>
        <w:tblCellMar>
          <w:top w:w="0" w:type="dxa"/>
          <w:left w:w="0" w:type="dxa"/>
          <w:bottom w:w="0" w:type="dxa"/>
          <w:right w:w="0" w:type="dxa"/>
        </w:tblCellMar>
      </w:tblPr>
      <w:tr>
        <w:trPr>
          <w:trHeight w:val="142"/>
        </w:trPr>
        <w:tc>
          <w:tcPr>
            <w:tcW w:w="4440" w:type="dxa"/>
            <w:vAlign w:val="bottom"/>
            <w:gridSpan w:val="2"/>
          </w:tcPr>
          <w:p>
            <w:pPr>
              <w:spacing w:after="0"/>
              <w:rPr>
                <w:sz w:val="12"/>
                <w:szCs w:val="12"/>
                <w:color w:val="auto"/>
              </w:rPr>
            </w:pPr>
          </w:p>
        </w:tc>
        <w:tc>
          <w:tcPr>
            <w:tcW w:w="9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Average expected term (years)</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Black-Scholes model incorporates assumptions to value stock-based awards. The risk-free rate is based on the U.S. Treasury yield curve in effect at the time of grant for the estimated life of the option. The Company uses actual historical data to calculate the expected price volatility, dividend yield and average expected term. The forfeiture rate, which is estimated at a weighted-average of 19.72% of unvested options outstanding as of September 30, 2008, is adjusted annually based on the extent to which actual forfeitures differ, or are expected to differ, from the previous estimates.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 recorded compensation expense relating to outstanding options of $324 and $252 for the three months ended September 30, 2008 and 2007, respectively, and $819 and $670 for the nine months ended September 30, 2008 and 2007, respectively. The Company received cash from the exercise of options of $1,123 and $306 for the three months ended September 30, 2008 and 2007, respectively, and $2,063 and $1,339 for the nine months ended September 30, 2008 and 2007, respectively. At September 30, 2008, there was $873 of total unrecognized compensation expense related to non-vested stock options under the Company’s 2004 Long-Term Incentive Compensation Plan. That cost is expected to be recognized over a weighted-average period of 2.34 years. The valuation model applied in this calculation utilizes subjective assumptions that could potentially change over time, including the expected forfeiture rate. Therefore, the amount of unrecognized compens ation expense at September 30, 2008, noted above does not necessarily represent the expense that will ultimately be realized by the Company in the Statement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Granted to Employees and Directors</w:t>
      </w:r>
    </w:p>
    <w:p>
      <w:pPr>
        <w:sectPr>
          <w:pgSz w:w="11900" w:h="16838" w:orient="portrait"/>
          <w:cols w:equalWidth="0" w:num="1">
            <w:col w:w="11420"/>
          </w:cols>
          <w:pgMar w:left="240" w:top="341" w:right="239" w:bottom="117" w:gutter="0" w:footer="0" w:header="0"/>
        </w:sectPr>
      </w:pPr>
    </w:p>
    <w:bookmarkStart w:id="15" w:name="page16"/>
    <w:bookmarkEnd w:id="15"/>
    <w:p>
      <w:pPr>
        <w:spacing w:after="0" w:line="257" w:lineRule="auto"/>
        <w:rPr>
          <w:sz w:val="20"/>
          <w:szCs w:val="20"/>
          <w:color w:val="auto"/>
        </w:rPr>
      </w:pPr>
      <w:r>
        <w:rPr>
          <w:rFonts w:ascii="Arial" w:cs="Arial" w:eastAsia="Arial" w:hAnsi="Arial"/>
          <w:sz w:val="18"/>
          <w:szCs w:val="18"/>
          <w:color w:val="auto"/>
        </w:rPr>
        <w:t>The Company granted 4,200 and 28,800 shares of common stock to certain employees, without monetary consideration under the Plans during the three months ended September 30, 2008 and 2007, respectively, and 358,139 and 119,329 shares for the nine months ended September 30, 2008 and 2007, respectively. The Company recorded compensation expense related to outstanding shares of common stock granted to employees of $496 and $485 during the three months ended September 30, 2008 and 2007, respectively, and $1,985 and $941 during the nine months ended September 30, 2008 and 2007,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of common stock awards is determined based on the closing trading price of the Company’s common stock on the grant date. A summary of the Company’s employee share grant activity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Restricted Stock Grants</w:t>
            </w: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Unreleased at December 31, 2006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120,729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(61,975)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(3,082)</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December 31, 2007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358,139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Unreleased at September 30, 2008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operates in two distinct segments: (1) property management, acquisition and development and (2) rental operations. Financial information for the Company’s business segments is set forth below:</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Investment in real estate ventures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Property management, acquisition and development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506,195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385,394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1,737,491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1,668,681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2,243,686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2,054,075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w:t>
            </w:r>
          </w:p>
        </w:tc>
        <w:tc>
          <w:tcPr>
            <w:tcW w:w="140" w:type="dxa"/>
            <w:vAlign w:val="bottom"/>
          </w:tcPr>
          <w:p>
            <w:pPr>
              <w:spacing w:after="0"/>
              <w:rPr>
                <w:sz w:val="16"/>
                <w:szCs w:val="16"/>
                <w:color w:val="auto"/>
              </w:rPr>
            </w:pPr>
          </w:p>
        </w:tc>
        <w:tc>
          <w:tcPr>
            <w:tcW w:w="24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700" w:type="dxa"/>
            <w:vAlign w:val="bottom"/>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Statement of Operations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spacing w:after="0" w:line="189" w:lineRule="exact"/>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9,851</w:t>
            </w:r>
          </w:p>
        </w:tc>
        <w:tc>
          <w:tcPr>
            <w:tcW w:w="380" w:type="dxa"/>
            <w:vAlign w:val="bottom"/>
            <w:gridSpan w:val="2"/>
            <w:shd w:val="clear" w:color="auto" w:fill="CCEEFF"/>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8,617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27,985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24,320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59,997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55,209</w:t>
            </w:r>
          </w:p>
        </w:tc>
        <w:tc>
          <w:tcPr>
            <w:tcW w:w="140" w:type="dxa"/>
            <w:vAlign w:val="bottom"/>
          </w:tcPr>
          <w:p>
            <w:pPr>
              <w:spacing w:after="0"/>
              <w:rPr>
                <w:sz w:val="16"/>
                <w:szCs w:val="16"/>
                <w:color w:val="auto"/>
              </w:rPr>
            </w:pPr>
          </w:p>
        </w:tc>
        <w:tc>
          <w:tcPr>
            <w:tcW w:w="13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174,906</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149,832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69,848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63,826</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202,891</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174,152</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Operating expenses, including depreciation and amortization</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12,152</w:t>
            </w:r>
          </w:p>
        </w:tc>
        <w:tc>
          <w:tcPr>
            <w:tcW w:w="380" w:type="dxa"/>
            <w:vAlign w:val="bottom"/>
            <w:gridSpan w:val="2"/>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11,217</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37,251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32,626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33,354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29,895</w:t>
            </w:r>
          </w:p>
        </w:tc>
        <w:tc>
          <w:tcPr>
            <w:tcW w:w="140" w:type="dxa"/>
            <w:vAlign w:val="bottom"/>
            <w:shd w:val="clear" w:color="auto" w:fill="CCEEFF"/>
          </w:tcPr>
          <w:p>
            <w:pPr>
              <w:spacing w:after="0"/>
              <w:rPr>
                <w:sz w:val="16"/>
                <w:szCs w:val="16"/>
                <w:color w:val="auto"/>
              </w:rPr>
            </w:pPr>
          </w:p>
        </w:tc>
        <w:tc>
          <w:tcPr>
            <w:tcW w:w="130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97,410</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81,460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45,506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41,112</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134,661</w:t>
            </w:r>
          </w:p>
        </w:tc>
        <w:tc>
          <w:tcPr>
            <w:tcW w:w="2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114,086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700" w:type="dxa"/>
            <w:vAlign w:val="bottom"/>
          </w:tcPr>
          <w:p>
            <w:pPr>
              <w:spacing w:after="0" w:line="161" w:lineRule="exact"/>
              <w:rPr>
                <w:sz w:val="20"/>
                <w:szCs w:val="20"/>
                <w:color w:val="auto"/>
              </w:rPr>
            </w:pPr>
            <w:r>
              <w:rPr>
                <w:rFonts w:ascii="Arial" w:cs="Arial" w:eastAsia="Arial" w:hAnsi="Arial"/>
                <w:sz w:val="18"/>
                <w:szCs w:val="18"/>
                <w:color w:val="auto"/>
                <w:w w:val="95"/>
              </w:rPr>
              <w:t>Income (loss) before interest, equity in earnings of real estate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ventures, loss on sale of investments available for sale,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5"/>
              </w:rPr>
              <w:t>Preferred Operating Partnership units and minority interests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(2,301)</w:t>
            </w:r>
          </w:p>
        </w:tc>
        <w:tc>
          <w:tcPr>
            <w:tcW w:w="380" w:type="dxa"/>
            <w:vAlign w:val="bottom"/>
            <w:gridSpan w:val="2"/>
            <w:shd w:val="clear" w:color="auto" w:fill="CCEEFF"/>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(9,266)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26,643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25,314</w:t>
            </w:r>
          </w:p>
        </w:tc>
        <w:tc>
          <w:tcPr>
            <w:tcW w:w="140" w:type="dxa"/>
            <w:vAlign w:val="bottom"/>
          </w:tcPr>
          <w:p>
            <w:pPr>
              <w:spacing w:after="0"/>
              <w:rPr>
                <w:sz w:val="16"/>
                <w:szCs w:val="16"/>
                <w:color w:val="auto"/>
              </w:rPr>
            </w:pPr>
          </w:p>
        </w:tc>
        <w:tc>
          <w:tcPr>
            <w:tcW w:w="13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77,496</w:t>
            </w:r>
          </w:p>
        </w:tc>
        <w:tc>
          <w:tcPr>
            <w:tcW w:w="22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68,372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24,342</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22,714</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68,230</w:t>
            </w:r>
          </w:p>
        </w:tc>
        <w:tc>
          <w:tcPr>
            <w:tcW w:w="28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60,066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(325)</w:t>
            </w:r>
          </w:p>
        </w:tc>
        <w:tc>
          <w:tcPr>
            <w:tcW w:w="380" w:type="dxa"/>
            <w:vAlign w:val="bottom"/>
            <w:gridSpan w:val="2"/>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(1,001)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(15,579)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(15,703)</w:t>
            </w:r>
          </w:p>
        </w:tc>
        <w:tc>
          <w:tcPr>
            <w:tcW w:w="140" w:type="dxa"/>
            <w:vAlign w:val="bottom"/>
            <w:shd w:val="clear" w:color="auto" w:fill="CCEEFF"/>
          </w:tcPr>
          <w:p>
            <w:pPr>
              <w:spacing w:after="0"/>
              <w:rPr>
                <w:sz w:val="16"/>
                <w:szCs w:val="16"/>
                <w:color w:val="auto"/>
              </w:rPr>
            </w:pPr>
          </w:p>
        </w:tc>
        <w:tc>
          <w:tcPr>
            <w:tcW w:w="1300" w:type="dxa"/>
            <w:vAlign w:val="bottom"/>
            <w:tcBorders>
              <w:right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(47,219)</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(43,972)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(15,904)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(16,079)</w:t>
            </w:r>
          </w:p>
        </w:tc>
        <w:tc>
          <w:tcPr>
            <w:tcW w:w="2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(48,220)</w:t>
            </w:r>
          </w:p>
        </w:tc>
        <w:tc>
          <w:tcPr>
            <w:tcW w:w="2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(44,912)</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00" w:type="dxa"/>
            <w:vAlign w:val="bottom"/>
          </w:tcPr>
          <w:p>
            <w:pPr>
              <w:spacing w:after="0" w:line="189"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460" w:type="dxa"/>
            <w:vAlign w:val="bottom"/>
            <w:gridSpan w:val="2"/>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1,280</w:t>
            </w:r>
          </w:p>
        </w:tc>
        <w:tc>
          <w:tcPr>
            <w:tcW w:w="380" w:type="dxa"/>
            <w:vAlign w:val="bottom"/>
            <w:gridSpan w:val="2"/>
            <w:shd w:val="clear" w:color="auto" w:fill="CCEEFF"/>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1,821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80"/>
              <w:spacing w:after="0" w:line="189" w:lineRule="exact"/>
              <w:rPr>
                <w:sz w:val="20"/>
                <w:szCs w:val="20"/>
                <w:color w:val="auto"/>
              </w:rPr>
            </w:pPr>
            <w:r>
              <w:rPr>
                <w:rFonts w:ascii="Arial" w:cs="Arial" w:eastAsia="Arial" w:hAnsi="Arial"/>
                <w:sz w:val="18"/>
                <w:szCs w:val="18"/>
                <w:color w:val="auto"/>
              </w:rPr>
              <w:t>2,575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6,937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7"/>
              </w:rPr>
              <w:t>Interest income on note receivable from Preferred Operating</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Partnership unit holder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24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1,213</w:t>
            </w:r>
          </w:p>
        </w:tc>
        <w:tc>
          <w:tcPr>
            <w:tcW w:w="380" w:type="dxa"/>
            <w:vAlign w:val="bottom"/>
            <w:gridSpan w:val="2"/>
          </w:tcPr>
          <w:p>
            <w:pPr>
              <w:jc w:val="right"/>
              <w:ind w:right="125"/>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1,280</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line="189" w:lineRule="exact"/>
              <w:rPr>
                <w:sz w:val="20"/>
                <w:szCs w:val="20"/>
                <w:color w:val="auto"/>
              </w:rPr>
            </w:pPr>
            <w:r>
              <w:rPr>
                <w:rFonts w:ascii="Arial" w:cs="Arial" w:eastAsia="Arial" w:hAnsi="Arial"/>
                <w:sz w:val="18"/>
                <w:szCs w:val="18"/>
                <w:color w:val="auto"/>
              </w:rPr>
              <w:t>3,638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1,280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-8255</wp:posOffset>
            </wp:positionV>
            <wp:extent cx="673227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270" cy="128905"/>
                    </a:xfrm>
                    <a:prstGeom prst="rect">
                      <a:avLst/>
                    </a:prstGeom>
                    <a:noFill/>
                  </pic:spPr>
                </pic:pic>
              </a:graphicData>
            </a:graphic>
          </wp:anchor>
        </w:drawing>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in earnings of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6732270" cy="44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270" cy="4445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6" w:name="page17"/>
    <w:bookmarkEnd w:id="16"/>
    <w:p>
      <w:pPr>
        <w:spacing w:after="0" w:line="6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7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2,015</w:t>
            </w:r>
          </w:p>
        </w:tc>
        <w:tc>
          <w:tcPr>
            <w:tcW w:w="5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Loss on sale of investments available for sale</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74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85"/>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(1,415)</w:t>
            </w:r>
          </w:p>
        </w:tc>
        <w:tc>
          <w:tcPr>
            <w:tcW w:w="36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60" w:type="dxa"/>
            <w:vAlign w:val="bottom"/>
          </w:tcPr>
          <w:p>
            <w:pPr>
              <w:spacing w:after="0" w:line="161" w:lineRule="exact"/>
              <w:rPr>
                <w:sz w:val="20"/>
                <w:szCs w:val="20"/>
                <w:color w:val="auto"/>
              </w:rPr>
            </w:pPr>
            <w:r>
              <w:rPr>
                <w:rFonts w:ascii="Arial" w:cs="Arial" w:eastAsia="Arial" w:hAnsi="Arial"/>
                <w:sz w:val="18"/>
                <w:szCs w:val="18"/>
                <w:color w:val="auto"/>
                <w:w w:val="96"/>
              </w:rPr>
              <w:t>Fair value adjustment of obligation associated with Preferred</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Operating Partnership units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74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85"/>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1,054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Minority interests - Operating Partnership and other</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74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(619)</w:t>
            </w:r>
          </w:p>
        </w:tc>
        <w:tc>
          <w:tcPr>
            <w:tcW w:w="540" w:type="dxa"/>
            <w:vAlign w:val="bottom"/>
            <w:gridSpan w:val="2"/>
          </w:tcPr>
          <w:p>
            <w:pPr>
              <w:jc w:val="right"/>
              <w:ind w:right="285"/>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(756)</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(1,490)</w:t>
            </w:r>
          </w:p>
        </w:tc>
        <w:tc>
          <w:tcPr>
            <w:tcW w:w="36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tcPr>
          <w:p>
            <w:pPr>
              <w:spacing w:after="0" w:line="189" w:lineRule="exact"/>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740" w:type="dxa"/>
            <w:vAlign w:val="bottom"/>
            <w:gridSpan w:val="2"/>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(752)</w:t>
            </w:r>
          </w:p>
        </w:tc>
        <w:tc>
          <w:tcPr>
            <w:tcW w:w="540" w:type="dxa"/>
            <w:vAlign w:val="bottom"/>
            <w:gridSpan w:val="2"/>
            <w:shd w:val="clear" w:color="auto" w:fill="CCEEFF"/>
          </w:tcPr>
          <w:p>
            <w:pPr>
              <w:jc w:val="right"/>
              <w:ind w:right="285"/>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423</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(6,959)</w:t>
            </w:r>
          </w:p>
        </w:tc>
        <w:tc>
          <w:tcPr>
            <w:tcW w:w="36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13,079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10,915</w:t>
            </w:r>
          </w:p>
        </w:tc>
        <w:tc>
          <w:tcPr>
            <w:tcW w:w="34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34,887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28,093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12,327</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11,338</w:t>
            </w: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27,928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26,503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Depreciation and amortization expense</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740" w:type="dxa"/>
            <w:vAlign w:val="bottom"/>
            <w:gridSpan w:val="2"/>
          </w:tcPr>
          <w:p>
            <w:pPr>
              <w:jc w:val="right"/>
              <w:ind w:right="270"/>
              <w:spacing w:after="0" w:line="189"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368</w:t>
            </w:r>
          </w:p>
        </w:tc>
        <w:tc>
          <w:tcPr>
            <w:tcW w:w="540" w:type="dxa"/>
            <w:vAlign w:val="bottom"/>
            <w:gridSpan w:val="2"/>
          </w:tcPr>
          <w:p>
            <w:pPr>
              <w:jc w:val="right"/>
              <w:ind w:right="285"/>
              <w:spacing w:after="0" w:line="18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310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1,094</w:t>
            </w:r>
          </w:p>
        </w:tc>
        <w:tc>
          <w:tcPr>
            <w:tcW w:w="36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Rental operations</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11,987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10,288</w:t>
            </w: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34,539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12,355</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10,598</w:t>
            </w:r>
          </w:p>
        </w:tc>
        <w:tc>
          <w:tcPr>
            <w:tcW w:w="2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35,633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28,517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tcPr>
          <w:p>
            <w:pPr>
              <w:spacing w:after="0" w:line="189" w:lineRule="exact"/>
              <w:rPr>
                <w:sz w:val="20"/>
                <w:szCs w:val="20"/>
                <w:color w:val="auto"/>
              </w:rPr>
            </w:pPr>
            <w:r>
              <w:rPr>
                <w:rFonts w:ascii="Arial" w:cs="Arial" w:eastAsia="Arial" w:hAnsi="Arial"/>
                <w:sz w:val="18"/>
                <w:szCs w:val="18"/>
                <w:b w:val="1"/>
                <w:bCs w:val="1"/>
                <w:color w:val="auto"/>
              </w:rPr>
              <w:t>Statement of Cash Flows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Acquisition of real estate assets</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(55,602)</w:t>
            </w:r>
          </w:p>
        </w:tc>
        <w:tc>
          <w:tcPr>
            <w:tcW w:w="36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(144,347)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60" w:type="dxa"/>
            <w:vAlign w:val="bottom"/>
          </w:tcPr>
          <w:p>
            <w:pPr>
              <w:spacing w:after="0" w:line="189" w:lineRule="exact"/>
              <w:rPr>
                <w:sz w:val="20"/>
                <w:szCs w:val="20"/>
                <w:color w:val="auto"/>
              </w:rPr>
            </w:pPr>
            <w:r>
              <w:rPr>
                <w:rFonts w:ascii="Arial" w:cs="Arial" w:eastAsia="Arial" w:hAnsi="Arial"/>
                <w:sz w:val="18"/>
                <w:szCs w:val="18"/>
                <w:color w:val="auto"/>
              </w:rPr>
              <w:t>Development and construction of real estate assets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Property management, acquisition and development</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(42,126)</w:t>
            </w:r>
          </w:p>
        </w:tc>
        <w:tc>
          <w:tcPr>
            <w:tcW w:w="36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6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Company has guaranteed three construction loans for unconsolidated partnerships that own development properties in Baltimore, Maryland, Chicago, Illinois and Sacramento, California. These properties are owned by joint ventures in which the Company has between 10% and 50% equity interests. These guarantees were entered into in November 2004, July 2005 and August 2007, respectively. At September 30, 2008, the total amount of guaranteed mortgage debt relating to these joint ventures was $18,040. These mortgage loans mature December 1, 2008, July 29, 2009 and August 3, 2010, respectively. If the joint ventures default on the loans, the Company may be forced to repay the loans. Repossessing and/or selling the self-storage facilities and land that collateralize the loans could provide funds sufficient to reimburse the Company. The estimated fair market value of the encumbered assets at September 30, 2008 was $24,862. The Company recorded no liability in relation to these guarantees as of September 30, 2008, as the fair values of the guarantees were not material. To date, the joint ventures have not defaulted on their mortgage debt. The Company believes the risk of having to perform on the guarantees is remote.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been involved in routine litigation arising in the ordinary course of business. As of September 30, 2008, the Company was not involved in any material litigation nor, to its knowledge, was any material litigation threatened against it, or its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INCOME TAXES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adopted the provisions of FASB Interpretation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(“FIN 48”), an interpretation of FASB Statement No. 109 on January 1, 2007. The Company recognized no material adjustment in the liability for unrecognized income tax benefits as a result of the implementation of FIN 48. At September 30, 2008, there were no material uncertain tax positions.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and penalties related to uncertain tax positions will be recognized in income tax expense, when incurred. As of September 30, 2008, the Company had no interest or penalties related to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tax years 2005-2007 remain open to examination by the major taxing jurisdictions to which the Company is subject.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SUBSEQUENT EVENTS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September 29, 2008, the Company entered into a purchase agreement to sell 3.0 million shares of its common stock in a registered direct placement to certain clients of RREEF America L.L.C. The offering closed on October 3, 2008. The Company received proceeds from the offering of approximately $44,100.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October 2, 2008, the Company purchased two properties located in New York for approximately $27,500.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October 10, 2008, the Company purchased four properties in Indiana for approximately $18,300.</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October 2008, the Company repurchased approximately $40,300 of its exchangeable senior notes on the open market. The repurchase resulted in a gain of approximately $8,000 on early extinguishment of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ectPr>
          <w:pgSz w:w="11900" w:h="16902" w:orient="portrait"/>
          <w:cols w:equalWidth="0" w:num="1">
            <w:col w:w="11420"/>
          </w:cols>
          <w:pgMar w:left="240" w:top="122" w:right="239" w:bottom="0" w:gutter="0" w:footer="0" w:header="0"/>
        </w:sectPr>
      </w:pPr>
    </w:p>
    <w:bookmarkStart w:id="17" w:name="page18"/>
    <w:bookmarkEnd w:id="17"/>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property and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2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following discussion and analysis should be read in conjunction with our “</w:t>
      </w:r>
      <w:r>
        <w:rPr>
          <w:rFonts w:ascii="Arial" w:cs="Arial" w:eastAsia="Arial" w:hAnsi="Arial"/>
          <w:sz w:val="17"/>
          <w:szCs w:val="17"/>
          <w:i w:val="1"/>
          <w:iCs w:val="1"/>
          <w:color w:val="auto"/>
        </w:rPr>
        <w:t>Unaudited Condensed Consolidated Financial Statements”</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Unaudited Condensed Consolidated Financial Statements” </w:t>
      </w:r>
      <w:r>
        <w:rPr>
          <w:rFonts w:ascii="Arial" w:cs="Arial" w:eastAsia="Arial" w:hAnsi="Arial"/>
          <w:sz w:val="17"/>
          <w:szCs w:val="17"/>
          <w:color w:val="auto"/>
        </w:rPr>
        <w:t>contained in this report and the</w:t>
      </w:r>
      <w:r>
        <w:rPr>
          <w:rFonts w:ascii="Arial" w:cs="Arial" w:eastAsia="Arial" w:hAnsi="Arial"/>
          <w:sz w:val="17"/>
          <w:szCs w:val="17"/>
          <w:i w:val="1"/>
          <w:iCs w:val="1"/>
          <w:color w:val="auto"/>
        </w:rPr>
        <w:t xml:space="preserve"> “Consolidated Financial Statements,” “Notes to Consolidated Financial Statements”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contained in our Form 10-K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2007. The Company makes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Amounts are in thousands (except property and share data and unless otherwise 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consolidated financial statements contained elsewhere in this report and the audited financial statements contained in our Form 10-K for the year ended December 31, 2007 describe the significant accounting policies essential to our unaudited condensed consolidated financial statements. Preparation of our financial statements requires estimates, judgments and assumptions. We believe that the estimates, judgments and assumptions which we have used are appropriate and correct based on information available at the time that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a fully integrated, self-administered and self-managed real estate investment trust, or REIT, formed to continue the business commenced in 1977 by our predecessor company to own, operate, manage, acquire and develop self-storage properties. We derive a majority of our revenues from rents received from tenants under existing leases at each of our self-storage properties. Additional revenue is derived from management and franchise fees from our joint venture, franchisee and managed properties.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operate in competitive markets where consumers have multiple self-storage properties from which to choose. Competition has impacted, and will continue to impact our property results. We experience minor seasonal fluctuations in occupancy levels, with occupancy levels higher in the summer months due to increased moving activity. Our operating results depend materially on our ability to lease available self-storage space and on the ability of our tenants to make required rental payments. We believe we are able to respond quickly and effectively to changes in local, regional and national economic conditions by centrally adjusting rental rates through the combination of our revenue management team and our industry-leading technology systems.</w:t>
      </w:r>
    </w:p>
    <w:p>
      <w:pPr>
        <w:spacing w:after="0" w:line="15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continue to evaluate a range of new initiatives and opportunities in order to enable us to maximize stockholder value. Our strategies to maximize stockholder value include the following:</w:t>
      </w:r>
    </w:p>
    <w:p>
      <w:pPr>
        <w:spacing w:after="0" w:line="170" w:lineRule="exact"/>
        <w:rPr>
          <w:sz w:val="20"/>
          <w:szCs w:val="20"/>
          <w:color w:val="auto"/>
        </w:rPr>
      </w:pPr>
    </w:p>
    <w:p>
      <w:pPr>
        <w:ind w:left="760" w:right="80" w:hanging="374"/>
        <w:spacing w:after="0" w:line="25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Maximize the performance of properties through strategic, efficient and proactive management. </w:t>
      </w:r>
      <w:r>
        <w:rPr>
          <w:rFonts w:ascii="Arial" w:cs="Arial" w:eastAsia="Arial" w:hAnsi="Arial"/>
          <w:sz w:val="18"/>
          <w:szCs w:val="18"/>
          <w:color w:val="auto"/>
        </w:rPr>
        <w:t>We plan to pursue revenue generating and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minimizing opportunities in our operations. Our revenue management team will seek to maximize revenue by responding to changing market conditions through our technology system’s ability to provide real-time, interactive rental rate and discount management. Our size allows greater ability than the majority of our competitors to implement national, regional and local marketing programs, which we believe will attract more customers to our stores at a lower net cost.</w:t>
      </w:r>
    </w:p>
    <w:p>
      <w:pPr>
        <w:spacing w:after="0" w:line="188"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Focus on the acquisition of self-storage properties from strategic partners and third parties. </w:t>
      </w:r>
      <w:r>
        <w:rPr>
          <w:rFonts w:ascii="Arial" w:cs="Arial" w:eastAsia="Arial" w:hAnsi="Arial"/>
          <w:sz w:val="18"/>
          <w:szCs w:val="18"/>
          <w:color w:val="auto"/>
        </w:rPr>
        <w:t>Our acquisitions team will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60" w:right="20"/>
        <w:spacing w:after="0" w:line="264" w:lineRule="auto"/>
        <w:rPr>
          <w:sz w:val="20"/>
          <w:szCs w:val="20"/>
          <w:color w:val="auto"/>
        </w:rPr>
      </w:pPr>
      <w:r>
        <w:rPr>
          <w:rFonts w:ascii="Arial" w:cs="Arial" w:eastAsia="Arial" w:hAnsi="Arial"/>
          <w:sz w:val="18"/>
          <w:szCs w:val="18"/>
          <w:color w:val="auto"/>
        </w:rPr>
        <w:t>continue to pursue the acquisition of single properties and multi-property portfolios that we believe can provide stockholder value. We have established a reputation as a reliable, ethical buyer, which we believe enhances our ability to negotiate and close acquisitions. In addition, our status as an UPREIT enables flexibility when structuring deals.</w:t>
      </w:r>
    </w:p>
    <w:p>
      <w:pPr>
        <w:spacing w:after="0" w:line="181" w:lineRule="exact"/>
        <w:rPr>
          <w:sz w:val="20"/>
          <w:szCs w:val="20"/>
          <w:color w:val="auto"/>
        </w:rPr>
      </w:pPr>
    </w:p>
    <w:p>
      <w:pPr>
        <w:ind w:left="760" w:right="80" w:hanging="374"/>
        <w:spacing w:after="0" w:line="26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Develop new self-storage properties</w:t>
      </w:r>
      <w:r>
        <w:rPr>
          <w:rFonts w:ascii="Arial" w:cs="Arial" w:eastAsia="Arial" w:hAnsi="Arial"/>
          <w:sz w:val="18"/>
          <w:szCs w:val="18"/>
          <w:color w:val="auto"/>
        </w:rPr>
        <w:t>. We have joint venture and wholly-owned development properties and will continue to develop new self-storage properties in our core markets. Our development pipeline for the remainder of 2008 through 2009 includes 19 projects. The majority of the projects will be developed on a wholly-owned basis by the Company.</w:t>
      </w:r>
    </w:p>
    <w:p>
      <w:pPr>
        <w:spacing w:after="0" w:line="181" w:lineRule="exact"/>
        <w:rPr>
          <w:rFonts w:ascii="Arial" w:cs="Arial" w:eastAsia="Arial" w:hAnsi="Arial"/>
          <w:sz w:val="18"/>
          <w:szCs w:val="18"/>
          <w:color w:val="auto"/>
        </w:rPr>
      </w:pPr>
    </w:p>
    <w:p>
      <w:pPr>
        <w:ind w:left="760" w:right="260" w:hanging="374"/>
        <w:spacing w:after="0" w:line="31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Expand our management business</w:t>
      </w:r>
      <w:r>
        <w:rPr>
          <w:rFonts w:ascii="Arial" w:cs="Arial" w:eastAsia="Arial" w:hAnsi="Arial"/>
          <w:sz w:val="16"/>
          <w:szCs w:val="16"/>
          <w:color w:val="auto"/>
        </w:rPr>
        <w:t>. We see our management business as a future acquisition pipeline. We expect to pursue strategic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owners that should strengthen our acquisition pipeline through agreements which give us first right of refusal to purchase the managed property in the event of a potential sale. Nineteen of the 39 acquisitions completed by us in 2007 came from this channel.</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Recent U.S. and international market and economic conditions have been unprecedented and challenging, with tighter credit conditions and slower growth through the third quarter of 2008. For the nine months ended September 30, 2008, continued concerns about the systemic impact of inflation, energy costs, geopolitical issues, the availability and cost of credit and other macro-economic factors have contributed to increased market volatility and diminished expectations for the global economy and increased market uncertainty and instability. Continued turbulence in U.S. and international markets and economies may adversely affect our liquidity and financial condition, and the financial condition of our customers. If these market conditions continue, they may result in an adverse effect on our financial condition and results of operations.</w:t>
      </w:r>
    </w:p>
    <w:p>
      <w:pPr>
        <w:sectPr>
          <w:pgSz w:w="11900" w:h="16853" w:orient="portrait"/>
          <w:cols w:equalWidth="0" w:num="1">
            <w:col w:w="11420"/>
          </w:cols>
          <w:pgMar w:left="240" w:top="12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September 30, 2008, we owned or had ownership interests in 617 operating self-storage properties located in 33 states and Washington, D.C. Of these properties, 269 are wholly-owned and consolidated, three are held in joint ventures and consolidated and 345 are held in joint ventures accounted for using the equity method. In addition, we managed 67 properties for franchisees or third parties bringing the total numbers of properties which we own and/or manage to 684. We receive a management fee equal to approximately 6% of gross revenues to manage the joint venture, third party and franchise sites. As of September 30, 2008, we owned and/or managed approximately 50 million square feet of space with more than 300,000 customers.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Approximately 70% of our properties are clustered around the larger population centers, such as Atlanta, Baltimore/Washington, D.C., Boston, Chicago, Dallas, Houston, Las Vegas, Los Angeles, Miami, New York City, Orlando, Philadelphia, Phoenix, St. Petersburg/Tampa and San Francisco. These markets contain above-average population and income demographics for new self-storage properties. The clustering of assets around these population centers enables us to reduce our operating costs through economies of scale. Our acquisitions have given us increased scale in many core markets as well as a foothold in many markets where we had no previous presence.</w:t>
      </w:r>
    </w:p>
    <w:p>
      <w:pPr>
        <w:spacing w:after="0" w:line="18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consider a property to be in the lease-up stage after it has been issued a certificate of occupancy, but before it has achieved stabilization. We consider a property to be stabilized once it has achieved either an 80% occupancy rate for a full year measured as of January 1, or has been open for three years. Although leases are short-term in duration, the typical tenant tends to remain at our properties for an extended period of time. For properties that were stabilized as of September 30, 2008, the median length of stay was approximately eleven months.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property portfolio is a made up of different types of construction and building configurations depending on the site and the municipality where it is located.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stabilized properties on a state-by-state basis as of September 30, 2008 and 2007. The information as of September 30, 2007 is on a pro forma basis as though all the properties owned and/or managed at September 30, 2008 were under our control as of September 30,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Stabilized Property Data Based on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Number of Units</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Number of Units</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0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2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Square Foot</w:t>
            </w:r>
          </w:p>
        </w:tc>
        <w:tc>
          <w:tcPr>
            <w:tcW w:w="2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Square Foot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Occupancy %</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Occupancy %</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160" w:type="dxa"/>
            <w:vAlign w:val="bottom"/>
            <w:gridSpan w:val="2"/>
            <w:vMerge w:val="continue"/>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of September</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as of September</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720" w:type="dxa"/>
            <w:vAlign w:val="bottom"/>
            <w:gridSpan w:val="2"/>
            <w:vMerge w:val="continue"/>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Properties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30, 2008 (1)</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30, 2007</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2008 (2)</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Wholly-owned</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properties</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581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76,000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76,105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80.1%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76.4%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280,038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279,540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87.4%</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94.8%</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35,779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36,419</w:t>
            </w:r>
          </w:p>
        </w:tc>
        <w:tc>
          <w:tcPr>
            <w:tcW w:w="1260" w:type="dxa"/>
            <w:vAlign w:val="bottom"/>
          </w:tcPr>
          <w:p>
            <w:pPr>
              <w:jc w:val="right"/>
              <w:spacing w:after="0"/>
              <w:rPr>
                <w:sz w:val="20"/>
                <w:szCs w:val="20"/>
                <w:color w:val="auto"/>
              </w:rPr>
            </w:pPr>
            <w:r>
              <w:rPr>
                <w:rFonts w:ascii="Arial" w:cs="Arial" w:eastAsia="Arial" w:hAnsi="Arial"/>
                <w:sz w:val="18"/>
                <w:szCs w:val="18"/>
                <w:color w:val="auto"/>
              </w:rPr>
              <w:t>3,457,280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3,481,223</w:t>
            </w:r>
          </w:p>
        </w:tc>
        <w:tc>
          <w:tcPr>
            <w:tcW w:w="22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83.4%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420,194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418,669</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88.5%</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87.4%</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1,342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1,357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123,340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123,265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79.9%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81.6%</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19,330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2,027,186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82.1%</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85.6%</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6,430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6,445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835,632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835,386</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87.1%</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87.5%</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149,922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150,536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85.0%</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81.4%</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3,290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3,266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342,319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339,189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81.4%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87.1%</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62,250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85.0%</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93.9%</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504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49,740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49,940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88.0%</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90.1%</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194,270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194,420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88.6%</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92.8%</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1,405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1,407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148,315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147,690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90.8%</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89.5%</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7,945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847,054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841,341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84.3%</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85.8%</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14,859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14,870</w:t>
            </w:r>
          </w:p>
        </w:tc>
        <w:tc>
          <w:tcPr>
            <w:tcW w:w="1260" w:type="dxa"/>
            <w:vAlign w:val="bottom"/>
          </w:tcPr>
          <w:p>
            <w:pPr>
              <w:jc w:val="right"/>
              <w:spacing w:after="0"/>
              <w:rPr>
                <w:sz w:val="20"/>
                <w:szCs w:val="20"/>
                <w:color w:val="auto"/>
              </w:rPr>
            </w:pPr>
            <w:r>
              <w:rPr>
                <w:rFonts w:ascii="Arial" w:cs="Arial" w:eastAsia="Arial" w:hAnsi="Arial"/>
                <w:sz w:val="18"/>
                <w:szCs w:val="18"/>
                <w:color w:val="auto"/>
              </w:rPr>
              <w:t>1,575,597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1,581,181</w:t>
            </w:r>
          </w:p>
        </w:tc>
        <w:tc>
          <w:tcPr>
            <w:tcW w:w="22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85.3%</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83.6%</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136,466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134,882</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90.7%</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87.1%</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3,148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3,177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374,357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375,582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86.0%</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85.9%</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132,215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132,565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88.1%</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84.9%</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1,006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1,007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125,909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125,909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88.7%</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80.2%</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18,844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1,836,691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1,833,013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86.1%</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85.1%</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538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68,310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61,690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89.8%</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487,217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488,074</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80.5%</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83.9%</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Ohio</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2,026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2,031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273,492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273,876</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86.8%</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87.4%</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103,450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83.9%</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89.8%</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6,150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6,141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638,053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641,727</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86.5%</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85.7%</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75,521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75,601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89.8%</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85.9%</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1,554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1,554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178,719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178,689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89.3%</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93.7%</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474,327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477,227</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85.8%</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84.7%</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Texas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11,809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11,874</w:t>
            </w:r>
          </w:p>
        </w:tc>
        <w:tc>
          <w:tcPr>
            <w:tcW w:w="1260" w:type="dxa"/>
            <w:vAlign w:val="bottom"/>
          </w:tcPr>
          <w:p>
            <w:pPr>
              <w:jc w:val="right"/>
              <w:spacing w:after="0"/>
              <w:rPr>
                <w:sz w:val="20"/>
                <w:szCs w:val="20"/>
                <w:color w:val="auto"/>
              </w:rPr>
            </w:pPr>
            <w:r>
              <w:rPr>
                <w:rFonts w:ascii="Arial" w:cs="Arial" w:eastAsia="Arial" w:hAnsi="Arial"/>
                <w:sz w:val="18"/>
                <w:szCs w:val="18"/>
                <w:color w:val="auto"/>
              </w:rPr>
              <w:t>1,337,758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1,337,314</w:t>
            </w:r>
          </w:p>
        </w:tc>
        <w:tc>
          <w:tcPr>
            <w:tcW w:w="220" w:type="dxa"/>
            <w:vAlign w:val="bottom"/>
          </w:tcPr>
          <w:p>
            <w:pPr>
              <w:spacing w:after="0"/>
              <w:rPr>
                <w:sz w:val="18"/>
                <w:szCs w:val="18"/>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87.7%</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90.7%</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210,526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210,540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92.6%</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96.2%</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2,891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2,889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272,047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272,824</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85.3%</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306,025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306,115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90.9%</w:t>
            </w: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3"/>
              </w:rPr>
              <w:t>94.3%</w:t>
            </w:r>
          </w:p>
        </w:tc>
        <w:tc>
          <w:tcPr>
            <w:tcW w:w="0" w:type="dxa"/>
            <w:vAlign w:val="bottom"/>
          </w:tcPr>
          <w:p>
            <w:pPr>
              <w:spacing w:after="0"/>
              <w:rPr>
                <w:sz w:val="1"/>
                <w:szCs w:val="1"/>
                <w:color w:val="auto"/>
              </w:rPr>
            </w:pPr>
          </w:p>
        </w:tc>
      </w:tr>
      <w:tr>
        <w:trPr>
          <w:trHeight w:val="178"/>
        </w:trPr>
        <w:tc>
          <w:tcPr>
            <w:tcW w:w="17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Wholly-</w:t>
            </w: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ind w:left="820"/>
              <w:spacing w:after="0"/>
              <w:rPr>
                <w:sz w:val="20"/>
                <w:szCs w:val="20"/>
                <w:color w:val="auto"/>
              </w:rPr>
            </w:pPr>
            <w:r>
              <w:rPr>
                <w:rFonts w:ascii="Arial" w:cs="Arial" w:eastAsia="Arial" w:hAnsi="Arial"/>
                <w:sz w:val="18"/>
                <w:szCs w:val="18"/>
                <w:b w:val="1"/>
                <w:bCs w:val="1"/>
                <w:color w:val="auto"/>
              </w:rPr>
              <w:t>85.8%</w:t>
            </w:r>
          </w:p>
        </w:tc>
        <w:tc>
          <w:tcPr>
            <w:tcW w:w="1320" w:type="dxa"/>
            <w:vAlign w:val="bottom"/>
            <w:gridSpan w:val="2"/>
            <w:vMerge w:val="restart"/>
          </w:tcPr>
          <w:p>
            <w:pPr>
              <w:ind w:left="820"/>
              <w:spacing w:after="0"/>
              <w:rPr>
                <w:sz w:val="20"/>
                <w:szCs w:val="20"/>
                <w:color w:val="auto"/>
              </w:rPr>
            </w:pPr>
            <w:r>
              <w:rPr>
                <w:rFonts w:ascii="Arial" w:cs="Arial" w:eastAsia="Arial" w:hAnsi="Arial"/>
                <w:sz w:val="18"/>
                <w:szCs w:val="18"/>
                <w:b w:val="1"/>
                <w:bCs w:val="1"/>
                <w:color w:val="auto"/>
                <w:w w:val="93"/>
              </w:rPr>
              <w:t>86.0%</w:t>
            </w:r>
          </w:p>
        </w:tc>
        <w:tc>
          <w:tcPr>
            <w:tcW w:w="0" w:type="dxa"/>
            <w:vAlign w:val="bottom"/>
          </w:tcPr>
          <w:p>
            <w:pPr>
              <w:spacing w:after="0"/>
              <w:rPr>
                <w:sz w:val="1"/>
                <w:szCs w:val="1"/>
                <w:color w:val="auto"/>
              </w:rPr>
            </w:pPr>
          </w:p>
        </w:tc>
      </w:tr>
      <w:tr>
        <w:trPr>
          <w:trHeight w:val="234"/>
        </w:trPr>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Stabilized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168,575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169,469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17,620,220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17,637,570</w:t>
            </w:r>
          </w:p>
        </w:tc>
        <w:tc>
          <w:tcPr>
            <w:tcW w:w="13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Number of Units</w:t>
            </w: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Number of Units</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2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4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Square Foot</w:t>
            </w:r>
          </w:p>
        </w:tc>
        <w:tc>
          <w:tcPr>
            <w:tcW w:w="2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Square Foot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Occupancy %</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Occupancy %</w:t>
            </w:r>
          </w:p>
        </w:tc>
        <w:tc>
          <w:tcPr>
            <w:tcW w:w="0" w:type="dxa"/>
            <w:vAlign w:val="bottom"/>
          </w:tcPr>
          <w:p>
            <w:pPr>
              <w:spacing w:after="0"/>
              <w:rPr>
                <w:sz w:val="1"/>
                <w:szCs w:val="1"/>
                <w:color w:val="auto"/>
              </w:rPr>
            </w:pPr>
          </w:p>
        </w:tc>
      </w:tr>
      <w:tr>
        <w:trPr>
          <w:trHeight w:val="149"/>
        </w:trPr>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1100" w:type="dxa"/>
            <w:vAlign w:val="bottom"/>
            <w:gridSpan w:val="2"/>
            <w:vMerge w:val="continue"/>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as of September</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as of September</w:t>
            </w: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640" w:type="dxa"/>
            <w:vAlign w:val="bottom"/>
            <w:gridSpan w:val="3"/>
            <w:vMerge w:val="continue"/>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30, 2008 (1)</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30, 2007</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2008 (2)</w:t>
            </w:r>
          </w:p>
        </w:tc>
        <w:tc>
          <w:tcPr>
            <w:tcW w:w="2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Joint-venture</w:t>
            </w:r>
          </w:p>
        </w:tc>
        <w:tc>
          <w:tcPr>
            <w:tcW w:w="1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1,710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1,708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205,833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205,638</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85.9%</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6,862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751,184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751,156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86.6%</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54,495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54,574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5,588,362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5,591,925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88.8%</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1,334</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158,413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158,263</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85.3%</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5,992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5,979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693,032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690,724</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79.7%</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71,655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71,655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90.3%</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19,240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19,310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1,938,665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1,950,791</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84.2%</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246,926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246,406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83.6%</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3,998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4,020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430,117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432,517</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86.0%</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405,269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406,503</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85.6%</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1,215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1,214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161,500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163,030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85.0%</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268,358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268,427</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87.5%</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10,218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10,224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1,013,488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1,013,413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86.3%</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9,246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1,047,458</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1,047,450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82.8%</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5,947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5,959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787,118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783,993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88.9%</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117,715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118,195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90.1%</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4,611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4,629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618,818</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620,299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85.6%</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138,234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137,714</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86.0%</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15,675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15,711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1,647,956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1,655,758</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84.1%</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537,802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539,566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86.7%</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22,132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22,154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1,716,903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1,719,892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88.8%</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754,657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750,287</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82.7%</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1,294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1,292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136,980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137,140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86.9%</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7,228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764,980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764,354</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86.8%</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607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73,880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73,880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77.0%</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1,547,659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1,548,693</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86.6%</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Texas</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11,744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11,835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1,549,866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1,519,536</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83.2%</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59,300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59,500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81.1%</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11,278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11,282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1,191,543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1,190,933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87.6%</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62,730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62,730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83.1%</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1,536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102,003</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102,003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92.6%</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Stabilized</w:t>
            </w: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Joint-Ventures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229,132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229,560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24,788,404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24,782,371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86.2%</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w w:val="97"/>
              </w:rPr>
              <w:t>86.5%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Managed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95,175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95,207</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82.5%</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488,110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488,835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78.3%</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513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56,240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56,240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92.3%</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51,966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52,096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89.3%</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2,742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411,664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416,408</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77.3%</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248,460</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248,780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71.9%</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4,171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4,151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428,570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427,824</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88.1%</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171,555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171,555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87.4%</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3,906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3,797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362,160</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340,496</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80.0%</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131,967</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131,472</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84.7%</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77,955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78,075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86.1%</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176,211</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176,211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73.1%</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884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130,385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131,130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86.8%</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194,935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195,095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92.9%</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Utah</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46,905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46,955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97.7%</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344,862</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344,667</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83.8%</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Washington, DC</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1,255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1,255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111,759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111,759</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85.9%</w:t>
            </w: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w w:val="97"/>
              </w:rPr>
              <w:t>85.2%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Stabilized</w:t>
            </w: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Managed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31,433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31,386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3,528,879</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3,512,805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82.3%</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w w:val="97"/>
              </w:rPr>
              <w:t>83.0%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Stabilized</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630</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429,140</w:t>
            </w: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430,415</w:t>
            </w: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45,937,503</w:t>
            </w: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45,932,746</w:t>
            </w:r>
          </w:p>
        </w:tc>
        <w:tc>
          <w:tcPr>
            <w:tcW w:w="13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b w:val="1"/>
                <w:bCs w:val="1"/>
                <w:color w:val="auto"/>
              </w:rPr>
              <w:t>85.8%</w:t>
            </w:r>
          </w:p>
        </w:tc>
        <w:tc>
          <w:tcPr>
            <w:tcW w:w="1360" w:type="dxa"/>
            <w:vAlign w:val="bottom"/>
            <w:gridSpan w:val="2"/>
            <w:vMerge w:val="restart"/>
            <w:shd w:val="clear" w:color="auto" w:fill="CCEEFF"/>
          </w:tcPr>
          <w:p>
            <w:pPr>
              <w:ind w:left="840"/>
              <w:spacing w:after="0"/>
              <w:rPr>
                <w:sz w:val="20"/>
                <w:szCs w:val="20"/>
                <w:color w:val="auto"/>
              </w:rPr>
            </w:pPr>
            <w:r>
              <w:rPr>
                <w:rFonts w:ascii="Arial" w:cs="Arial" w:eastAsia="Arial" w:hAnsi="Arial"/>
                <w:sz w:val="18"/>
                <w:szCs w:val="18"/>
                <w:b w:val="1"/>
                <w:bCs w:val="1"/>
                <w:color w:val="auto"/>
                <w:w w:val="97"/>
              </w:rPr>
              <w:t>86.0%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1100" w:type="dxa"/>
            <w:vAlign w:val="bottom"/>
            <w:gridSpan w:val="2"/>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2008, which may differ from September 30, 2007 unit count due to unit conversions or expansions.</w:t>
      </w:r>
    </w:p>
    <w:p>
      <w:pPr>
        <w:spacing w:after="0" w:line="155" w:lineRule="exact"/>
        <w:rPr>
          <w:rFonts w:ascii="Arial" w:cs="Arial" w:eastAsia="Arial" w:hAnsi="Arial"/>
          <w:sz w:val="17"/>
          <w:szCs w:val="17"/>
          <w:i w:val="1"/>
          <w:iCs w:val="1"/>
          <w:color w:val="auto"/>
        </w:rPr>
      </w:pPr>
    </w:p>
    <w:p>
      <w:pPr>
        <w:ind w:right="160" w:firstLine="8"/>
        <w:spacing w:after="0" w:line="277" w:lineRule="auto"/>
        <w:tabs>
          <w:tab w:leader="none" w:pos="2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2008, which may differ from September 30, 2007 net rentable square feet due to unit conversions or expansions.</w:t>
      </w:r>
    </w:p>
    <w:p>
      <w:pPr>
        <w:sectPr>
          <w:pgSz w:w="11900" w:h="16838" w:orient="portrait"/>
          <w:cols w:equalWidth="0" w:num="1">
            <w:col w:w="11420"/>
          </w:cols>
          <w:pgMar w:left="240" w:top="341" w:right="239" w:bottom="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60" w:right="239" w:bottom="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table sets forth additional information regarding the occupancy of our lease-up properties on a state-by-state basis as of September 30, 2008 and 2007. The information as of September 30, 2007 is on a pro forma basis as though all the properties owned and/or managed at September 30, 2008 were under our control as of September 30,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Lease-up Property Data Based on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Number of Units</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Number of Units</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00" w:type="dxa"/>
            <w:vAlign w:val="bottom"/>
          </w:tcPr>
          <w:p>
            <w:pPr>
              <w:spacing w:after="0"/>
              <w:rPr>
                <w:sz w:val="10"/>
                <w:szCs w:val="10"/>
                <w:color w:val="auto"/>
              </w:rPr>
            </w:pP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 Rentable</w:t>
            </w:r>
          </w:p>
        </w:tc>
        <w:tc>
          <w:tcPr>
            <w:tcW w:w="22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Square Foot</w:t>
            </w:r>
          </w:p>
        </w:tc>
        <w:tc>
          <w:tcPr>
            <w:tcW w:w="22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Square Foot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Square Feet as of</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Occupancy %</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Occupancy %</w:t>
            </w:r>
          </w:p>
        </w:tc>
        <w:tc>
          <w:tcPr>
            <w:tcW w:w="0" w:type="dxa"/>
            <w:vAlign w:val="bottom"/>
          </w:tcPr>
          <w:p>
            <w:pPr>
              <w:spacing w:after="0"/>
              <w:rPr>
                <w:sz w:val="1"/>
                <w:szCs w:val="1"/>
                <w:color w:val="auto"/>
              </w:rPr>
            </w:pPr>
          </w:p>
        </w:tc>
      </w:tr>
      <w:tr>
        <w:trPr>
          <w:trHeight w:val="149"/>
        </w:trPr>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1160" w:type="dxa"/>
            <w:vAlign w:val="bottom"/>
            <w:gridSpan w:val="2"/>
            <w:vMerge w:val="continue"/>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 of September</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as of September</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1720" w:type="dxa"/>
            <w:vAlign w:val="bottom"/>
            <w:gridSpan w:val="3"/>
            <w:vMerge w:val="continue"/>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Properties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30, 2008 (1)</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30, 2007</w:t>
            </w:r>
          </w:p>
        </w:tc>
        <w:tc>
          <w:tcPr>
            <w:tcW w:w="2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2008 (2)</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Wholly-owned</w:t>
            </w:r>
          </w:p>
        </w:tc>
        <w:tc>
          <w:tcPr>
            <w:tcW w:w="2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586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67,375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67,375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79.3%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642,609</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331,491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41.2%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684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683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54,850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54,840</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74.7%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2,073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230,654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157,155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58.1%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1,913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202,925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24.1%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Maryland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79,958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45.9%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2,451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2,450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209,814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210,222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68.5%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46,930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46,910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79.4%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488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59,367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67,045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64,650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64,650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83.9%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Wholly-</w:t>
            </w: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Owned Lease-up</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15,508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9,271</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1,659,132</w:t>
            </w: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999,688</w:t>
            </w:r>
          </w:p>
        </w:tc>
        <w:tc>
          <w:tcPr>
            <w:tcW w:w="1360" w:type="dxa"/>
            <w:vAlign w:val="bottom"/>
            <w:gridSpan w:val="2"/>
          </w:tcPr>
          <w:p>
            <w:pPr>
              <w:ind w:left="820"/>
              <w:spacing w:after="0"/>
              <w:rPr>
                <w:sz w:val="20"/>
                <w:szCs w:val="20"/>
                <w:color w:val="auto"/>
              </w:rPr>
            </w:pPr>
            <w:r>
              <w:rPr>
                <w:rFonts w:ascii="Arial" w:cs="Arial" w:eastAsia="Arial" w:hAnsi="Arial"/>
                <w:sz w:val="18"/>
                <w:szCs w:val="18"/>
                <w:b w:val="1"/>
                <w:bCs w:val="1"/>
                <w:color w:val="auto"/>
              </w:rPr>
              <w:t>52.2%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Joint-venture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380,576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297,901</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61.4%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807</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793</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109,401</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115,625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37.4%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264,797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264,552</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78.9%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859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71,349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73,672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75.6%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117,423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57,335</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16.7%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1,574</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1,578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115,885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116,305</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82.0%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55,645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55,670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57.8%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Lease-up</w:t>
            </w: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Joint-Ventures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11,109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9,928</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1,115,076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981,060</w:t>
            </w:r>
          </w:p>
        </w:tc>
        <w:tc>
          <w:tcPr>
            <w:tcW w:w="1360" w:type="dxa"/>
            <w:vAlign w:val="bottom"/>
            <w:gridSpan w:val="2"/>
          </w:tcPr>
          <w:p>
            <w:pPr>
              <w:ind w:left="820"/>
              <w:spacing w:after="0"/>
              <w:rPr>
                <w:sz w:val="20"/>
                <w:szCs w:val="20"/>
                <w:color w:val="auto"/>
              </w:rPr>
            </w:pPr>
            <w:r>
              <w:rPr>
                <w:rFonts w:ascii="Arial" w:cs="Arial" w:eastAsia="Arial" w:hAnsi="Arial"/>
                <w:sz w:val="18"/>
                <w:szCs w:val="18"/>
                <w:b w:val="1"/>
                <w:bCs w:val="1"/>
                <w:color w:val="auto"/>
              </w:rPr>
              <w:t>61.4%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Managed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1,053</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7"/>
              </w:rPr>
              <w:t>11.6%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536</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60,870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35.9%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134,781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18.1%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3,189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374,341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14.8%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89.9%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2,790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2,145</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260,459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189,894</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53.2%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77,905</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78,030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45.1%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1,129</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104,875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19.5%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68,960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66,960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51.7%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63,809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20.6%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Lease-up</w:t>
            </w:r>
          </w:p>
        </w:tc>
        <w:tc>
          <w:tcPr>
            <w:tcW w:w="9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Managed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12,490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4,083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1,315,380</w:t>
            </w: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403,574</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31.8%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7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Lease-up</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w:t>
            </w:r>
          </w:p>
        </w:tc>
        <w:tc>
          <w:tcPr>
            <w:tcW w:w="14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39,107</w:t>
            </w:r>
          </w:p>
        </w:tc>
        <w:tc>
          <w:tcPr>
            <w:tcW w:w="14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23,282</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4,089,588</w:t>
            </w:r>
          </w:p>
        </w:tc>
        <w:tc>
          <w:tcPr>
            <w:tcW w:w="2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2,384,322</w:t>
            </w:r>
          </w:p>
        </w:tc>
        <w:tc>
          <w:tcPr>
            <w:tcW w:w="2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ind w:left="820"/>
              <w:spacing w:after="0"/>
              <w:rPr>
                <w:sz w:val="20"/>
                <w:szCs w:val="20"/>
                <w:color w:val="auto"/>
              </w:rPr>
            </w:pPr>
            <w:r>
              <w:rPr>
                <w:rFonts w:ascii="Arial" w:cs="Arial" w:eastAsia="Arial" w:hAnsi="Arial"/>
                <w:sz w:val="18"/>
                <w:szCs w:val="18"/>
                <w:b w:val="1"/>
                <w:bCs w:val="1"/>
                <w:color w:val="auto"/>
              </w:rPr>
              <w:t>48.1%</w:t>
            </w:r>
          </w:p>
        </w:tc>
        <w:tc>
          <w:tcPr>
            <w:tcW w:w="1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Properties</w:t>
            </w:r>
          </w:p>
        </w:tc>
        <w:tc>
          <w:tcPr>
            <w:tcW w:w="1160" w:type="dxa"/>
            <w:vAlign w:val="bottom"/>
            <w:gridSpan w:val="2"/>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Represents unit count as of September 30, 2008, which may differ from September 30, 2007 unit count due to unit conversions or expansions.</w:t>
      </w:r>
    </w:p>
    <w:p>
      <w:pPr>
        <w:spacing w:after="0" w:line="236" w:lineRule="exact"/>
        <w:rPr>
          <w:rFonts w:ascii="Arial" w:cs="Arial" w:eastAsia="Arial" w:hAnsi="Arial"/>
          <w:sz w:val="17"/>
          <w:szCs w:val="17"/>
          <w:i w:val="1"/>
          <w:iCs w:val="1"/>
          <w:color w:val="auto"/>
        </w:rPr>
      </w:pPr>
    </w:p>
    <w:p>
      <w:pPr>
        <w:ind w:right="160" w:firstLine="8"/>
        <w:spacing w:after="0" w:line="277" w:lineRule="auto"/>
        <w:tabs>
          <w:tab w:leader="none" w:pos="2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rentable square feet as of September 30, 2008, which may differ from September 30, 2007 net rentable square feet due to unit conversions or expansions.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Results for the three and nine months ended September 30, 2008 include the operations of 617 properties (272 of which were consolidated and 345 of which were in joint ventures accounted for using the equity method) compared to the results for the three and nine months ended September 30, 2007, which included the operations of 585 properties (252 of which were consolidated and 333 of which were in joint ventures accounted for using the equity method).</w:t>
      </w:r>
    </w:p>
    <w:p>
      <w:pPr>
        <w:sectPr>
          <w:pgSz w:w="11900" w:h="16838" w:orient="portrait"/>
          <w:cols w:equalWidth="0" w:num="1">
            <w:col w:w="11420"/>
          </w:cols>
          <w:pgMar w:left="240" w:top="260" w:right="239" w:bottom="0" w:gutter="0" w:footer="0" w:header="0"/>
          <w:type w:val="continuous"/>
        </w:sectPr>
      </w:pPr>
    </w:p>
    <w:bookmarkStart w:id="21" w:name="page22"/>
    <w:bookmarkEnd w:id="21"/>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revenues earned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 Change</w:t>
            </w:r>
          </w:p>
        </w:tc>
        <w:tc>
          <w:tcPr>
            <w:tcW w:w="1120" w:type="dxa"/>
            <w:vAlign w:val="bottom"/>
            <w:gridSpan w:val="2"/>
            <w:vMerge w:val="restart"/>
          </w:tcPr>
          <w:p>
            <w:pPr>
              <w:jc w:val="right"/>
              <w:ind w:right="284"/>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4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tcPr>
          <w:p>
            <w:pPr>
              <w:ind w:left="180"/>
              <w:spacing w:after="0"/>
              <w:rPr>
                <w:sz w:val="20"/>
                <w:szCs w:val="20"/>
                <w:color w:val="auto"/>
              </w:rPr>
            </w:pPr>
            <w:r>
              <w:rPr>
                <w:rFonts w:ascii="Arial" w:cs="Arial" w:eastAsia="Arial" w:hAnsi="Arial"/>
                <w:sz w:val="16"/>
                <w:szCs w:val="16"/>
                <w:color w:val="auto"/>
              </w:rPr>
              <w:t>Property rental</w:t>
            </w:r>
          </w:p>
        </w:tc>
        <w:tc>
          <w:tcPr>
            <w:tcW w:w="3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59,997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55,209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4,788</w:t>
            </w:r>
          </w:p>
        </w:tc>
        <w:tc>
          <w:tcPr>
            <w:tcW w:w="220" w:type="dxa"/>
            <w:vAlign w:val="bottom"/>
          </w:tcPr>
          <w:p>
            <w:pPr>
              <w:spacing w:after="0"/>
              <w:rPr>
                <w:sz w:val="17"/>
                <w:szCs w:val="17"/>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6"/>
                <w:szCs w:val="16"/>
                <w:color w:val="auto"/>
              </w:rPr>
              <w:t>8.7%</w:t>
            </w: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174,906</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149,832</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25,074</w:t>
            </w:r>
          </w:p>
        </w:tc>
        <w:tc>
          <w:tcPr>
            <w:tcW w:w="22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Management and franchise fees</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5,417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4.8%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2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440" w:type="dxa"/>
            <w:vAlign w:val="bottom"/>
          </w:tcPr>
          <w:p>
            <w:pPr>
              <w:ind w:left="180"/>
              <w:spacing w:after="0"/>
              <w:rPr>
                <w:sz w:val="20"/>
                <w:szCs w:val="20"/>
                <w:color w:val="auto"/>
              </w:rPr>
            </w:pPr>
            <w:r>
              <w:rPr>
                <w:rFonts w:ascii="Arial" w:cs="Arial" w:eastAsia="Arial" w:hAnsi="Arial"/>
                <w:sz w:val="16"/>
                <w:szCs w:val="16"/>
                <w:color w:val="auto"/>
              </w:rPr>
              <w:t>Tenant reinsurance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4,265</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3,027</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17"/>
                <w:szCs w:val="17"/>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11,723</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3,865</w:t>
            </w:r>
          </w:p>
        </w:tc>
        <w:tc>
          <w:tcPr>
            <w:tcW w:w="22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(517)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36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44"/>
              <w:spacing w:after="0"/>
              <w:rPr>
                <w:sz w:val="20"/>
                <w:szCs w:val="20"/>
                <w:color w:val="auto"/>
              </w:rPr>
            </w:pPr>
            <w:r>
              <w:rPr>
                <w:rFonts w:ascii="Arial" w:cs="Arial" w:eastAsia="Arial" w:hAnsi="Arial"/>
                <w:sz w:val="15"/>
                <w:szCs w:val="15"/>
                <w:color w:val="auto"/>
                <w:w w:val="74"/>
              </w:rPr>
              <w:t>%</w:t>
            </w: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7"/>
        </w:trPr>
        <w:tc>
          <w:tcPr>
            <w:tcW w:w="2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69,848</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63,826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6,022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vMerge w:val="continue"/>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202,891</w:t>
            </w:r>
          </w:p>
        </w:tc>
        <w:tc>
          <w:tcPr>
            <w:tcW w:w="2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174,152</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28,739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Property Rental — </w:t>
      </w:r>
      <w:r>
        <w:rPr>
          <w:rFonts w:ascii="Arial" w:cs="Arial" w:eastAsia="Arial" w:hAnsi="Arial"/>
          <w:sz w:val="18"/>
          <w:szCs w:val="18"/>
          <w:color w:val="auto"/>
        </w:rPr>
        <w:t>The increase in property rental revenue for the three and nine months ended September 30, 2008 consists of $3,221 and $20,885,</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associated with acquisitions completed during 2007 and 2008, $1,112 and $2,863, respectively, from rental rate increases at stabilized properties, and $455 and $1,326, respectively, from increases in occupancy and rental rates at lease-up properties.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Management and Franchise Fees — </w:t>
      </w:r>
      <w:r>
        <w:rPr>
          <w:rFonts w:ascii="Arial" w:cs="Arial" w:eastAsia="Arial" w:hAnsi="Arial"/>
          <w:sz w:val="18"/>
          <w:szCs w:val="18"/>
          <w:color w:val="auto"/>
        </w:rPr>
        <w:t>Management and franchise fees represent approximately 6% of gross revenues under management.</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Tenant Reinsurance — </w:t>
      </w:r>
      <w:r>
        <w:rPr>
          <w:rFonts w:ascii="Arial" w:cs="Arial" w:eastAsia="Arial" w:hAnsi="Arial"/>
          <w:sz w:val="18"/>
          <w:szCs w:val="18"/>
          <w:color w:val="auto"/>
        </w:rPr>
        <w:t>The increase in tenant reinsurance revenues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first three quarters of 2008. Overall customer participation increased to approximately 46% at September 30, 2008 compared to approximately 32% at September 30, 2007.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980" w:type="dxa"/>
            <w:vAlign w:val="bottom"/>
            <w:gridSpan w:val="2"/>
            <w:vMerge w:val="restart"/>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Expenses:</w:t>
            </w: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rPr>
                <w:sz w:val="20"/>
                <w:szCs w:val="20"/>
                <w:color w:val="auto"/>
              </w:rPr>
            </w:pPr>
            <w:r>
              <w:rPr>
                <w:rFonts w:ascii="Arial" w:cs="Arial" w:eastAsia="Arial" w:hAnsi="Arial"/>
                <w:sz w:val="16"/>
                <w:szCs w:val="16"/>
                <w:color w:val="auto"/>
              </w:rPr>
              <w:t>Property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21,367</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19,607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1,760</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9.0%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62,871</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53,855</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9,016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Tenant reinsurance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w:t>
            </w: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93"/>
        </w:trPr>
        <w:tc>
          <w:tcPr>
            <w:tcW w:w="2820" w:type="dxa"/>
            <w:vAlign w:val="bottom"/>
          </w:tcPr>
          <w:p>
            <w:pPr>
              <w:ind w:left="180"/>
              <w:spacing w:after="0"/>
              <w:rPr>
                <w:sz w:val="20"/>
                <w:szCs w:val="20"/>
                <w:color w:val="auto"/>
              </w:rPr>
            </w:pPr>
            <w:r>
              <w:rPr>
                <w:rFonts w:ascii="Arial" w:cs="Arial" w:eastAsia="Arial" w:hAnsi="Arial"/>
                <w:sz w:val="16"/>
                <w:szCs w:val="16"/>
                <w:color w:val="auto"/>
              </w:rPr>
              <w:t>Unrecovered development and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360"/>
              <w:spacing w:after="0"/>
              <w:rPr>
                <w:sz w:val="20"/>
                <w:szCs w:val="20"/>
                <w:color w:val="auto"/>
              </w:rPr>
            </w:pPr>
            <w:r>
              <w:rPr>
                <w:rFonts w:ascii="Arial" w:cs="Arial" w:eastAsia="Arial" w:hAnsi="Arial"/>
                <w:sz w:val="16"/>
                <w:szCs w:val="16"/>
                <w:color w:val="auto"/>
              </w:rPr>
              <w:t>acquisition costs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184</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(145)</w:t>
            </w:r>
          </w:p>
        </w:tc>
        <w:tc>
          <w:tcPr>
            <w:tcW w:w="1160" w:type="dxa"/>
            <w:vAlign w:val="bottom"/>
            <w:gridSpan w:val="2"/>
          </w:tcPr>
          <w:p>
            <w:pPr>
              <w:jc w:val="right"/>
              <w:ind w:right="19"/>
              <w:spacing w:after="0"/>
              <w:rPr>
                <w:sz w:val="20"/>
                <w:szCs w:val="20"/>
                <w:color w:val="auto"/>
              </w:rPr>
            </w:pPr>
            <w:r>
              <w:rPr>
                <w:rFonts w:ascii="Arial" w:cs="Arial" w:eastAsia="Arial" w:hAnsi="Arial"/>
                <w:sz w:val="16"/>
                <w:szCs w:val="16"/>
                <w:color w:val="auto"/>
              </w:rPr>
              <w:t>(78.8)%</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1,038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9,326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993</w:t>
            </w: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30,568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8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12,355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10,598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1,757</w:t>
            </w:r>
          </w:p>
        </w:tc>
        <w:tc>
          <w:tcPr>
            <w:tcW w:w="1160" w:type="dxa"/>
            <w:vAlign w:val="bottom"/>
            <w:gridSpan w:val="2"/>
          </w:tcPr>
          <w:p>
            <w:pPr>
              <w:jc w:val="right"/>
              <w:ind w:right="79"/>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35,633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28,517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7,116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Total expenses</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4"/>
              </w:rPr>
              <w:t>%</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line="20" w:lineRule="exact"/>
              <w:rPr>
                <w:sz w:val="1"/>
                <w:szCs w:val="1"/>
                <w:color w:val="auto"/>
              </w:rPr>
            </w:pPr>
          </w:p>
        </w:tc>
      </w:tr>
      <w:tr>
        <w:trPr>
          <w:trHeight w:val="207"/>
        </w:trPr>
        <w:tc>
          <w:tcPr>
            <w:tcW w:w="2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41,112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4,394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134,661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114,086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Property Operations—</w:t>
      </w:r>
      <w:r>
        <w:rPr>
          <w:rFonts w:ascii="Arial" w:cs="Arial" w:eastAsia="Arial" w:hAnsi="Arial"/>
          <w:sz w:val="18"/>
          <w:szCs w:val="18"/>
          <w:color w:val="auto"/>
        </w:rPr>
        <w:t>The increase in property operations expense during the three and nine months ended September 30, 2008 was due to increases of</w:t>
      </w:r>
      <w:r>
        <w:rPr>
          <w:rFonts w:ascii="Arial" w:cs="Arial" w:eastAsia="Arial" w:hAnsi="Arial"/>
          <w:sz w:val="18"/>
          <w:szCs w:val="18"/>
          <w:b w:val="1"/>
          <w:bCs w:val="1"/>
          <w:color w:val="auto"/>
        </w:rPr>
        <w:t xml:space="preserve"> </w:t>
      </w:r>
      <w:r>
        <w:rPr>
          <w:rFonts w:ascii="Arial" w:cs="Arial" w:eastAsia="Arial" w:hAnsi="Arial"/>
          <w:sz w:val="18"/>
          <w:szCs w:val="18"/>
          <w:color w:val="auto"/>
        </w:rPr>
        <w:t>$1,446 and $7,771, respectively, associated with acquisitions of new properties during 2007 and 2008, and $314 and $1,245, respectively, at existing stabilized and lease-up properties due to increases in snow removal and utilities.</w:t>
      </w:r>
    </w:p>
    <w:p>
      <w:pPr>
        <w:spacing w:after="0" w:line="17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tenant reinsurance expense is due to our continued success in promoting the tenant reinsurance program at our sites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first three quarters of 2008. Overall customer participation increased to approximately 46% at September 30, 2008 compared to approximately 32% at September 30, 2007.</w:t>
      </w:r>
    </w:p>
    <w:p>
      <w:pPr>
        <w:spacing w:after="0" w:line="176"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Unrecovered Development/Acquisition Costs</w:t>
      </w:r>
      <w:r>
        <w:rPr>
          <w:rFonts w:ascii="Arial" w:cs="Arial" w:eastAsia="Arial" w:hAnsi="Arial"/>
          <w:sz w:val="17"/>
          <w:szCs w:val="17"/>
          <w:color w:val="auto"/>
        </w:rPr>
        <w:t>—These costs relate to unsuccessful development and acquisition activities during the periods indicated. The</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 for the nine months ended September 30, 2008 is primarily due to the write-off of costs related to an unsuccessful acquisition.</w:t>
      </w:r>
    </w:p>
    <w:p>
      <w:pPr>
        <w:spacing w:after="0" w:line="13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General and Administrative</w:t>
      </w:r>
      <w:r>
        <w:rPr>
          <w:rFonts w:ascii="Arial" w:cs="Arial" w:eastAsia="Arial" w:hAnsi="Arial"/>
          <w:sz w:val="18"/>
          <w:szCs w:val="18"/>
          <w:color w:val="auto"/>
        </w:rPr>
        <w:t>—The increase in general and administrative expenses was primarily due to the increased costs associated with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additional properties that were added through acquisitions and development in 2007 and 2008.</w:t>
      </w:r>
    </w:p>
    <w:p>
      <w:pPr>
        <w:spacing w:after="0" w:line="162"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The increase in depreciation and amortization expense is a result of additional properties that were added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and development in 2007 and 2008.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other revenues and expenses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Other revenue and expenses:</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tcPr>
          <w:p>
            <w:pPr>
              <w:ind w:left="180"/>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(15,904)</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(16,079)</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(48,220)</w:t>
            </w: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(44,912)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(3,308)</w:t>
            </w: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income</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1,280</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(541)</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6,937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(4,362)</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30"/>
        </w:trPr>
        <w:tc>
          <w:tcPr>
            <w:tcW w:w="3060" w:type="dxa"/>
            <w:vAlign w:val="bottom"/>
          </w:tcPr>
          <w:p>
            <w:pPr>
              <w:ind w:left="180"/>
              <w:spacing w:after="0" w:line="130" w:lineRule="exact"/>
              <w:rPr>
                <w:sz w:val="20"/>
                <w:szCs w:val="20"/>
                <w:color w:val="auto"/>
              </w:rPr>
            </w:pPr>
            <w:r>
              <w:rPr>
                <w:rFonts w:ascii="Arial" w:cs="Arial" w:eastAsia="Arial" w:hAnsi="Arial"/>
                <w:sz w:val="14"/>
                <w:szCs w:val="14"/>
                <w:color w:val="auto"/>
              </w:rPr>
              <w:t>Interest income on note receivable from</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tcPr>
          <w:p>
            <w:pPr>
              <w:ind w:left="360"/>
              <w:spacing w:after="0"/>
              <w:rPr>
                <w:sz w:val="20"/>
                <w:szCs w:val="20"/>
                <w:color w:val="auto"/>
              </w:rPr>
            </w:pPr>
            <w:r>
              <w:rPr>
                <w:rFonts w:ascii="Arial" w:cs="Arial" w:eastAsia="Arial" w:hAnsi="Arial"/>
                <w:sz w:val="14"/>
                <w:szCs w:val="14"/>
                <w:color w:val="auto"/>
                <w:w w:val="99"/>
              </w:rPr>
              <w:t>Preferred Operating Partnership unit holder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1,213</w:t>
            </w:r>
          </w:p>
        </w:tc>
        <w:tc>
          <w:tcPr>
            <w:tcW w:w="1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1,280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(67)</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3,638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1,280</w:t>
            </w:r>
          </w:p>
        </w:tc>
        <w:tc>
          <w:tcPr>
            <w:tcW w:w="1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2,358</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97"/>
        </w:trPr>
        <w:tc>
          <w:tcPr>
            <w:tcW w:w="3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22" w:name="page23"/>
    <w:bookmarkEnd w:id="2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earnings of real estate ventures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2,015</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1,304</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711</w:t>
            </w:r>
          </w:p>
        </w:tc>
        <w:tc>
          <w:tcPr>
            <w:tcW w:w="10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54.5%</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4,610</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3,693</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20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24.8%</w:t>
            </w:r>
          </w:p>
        </w:tc>
      </w:tr>
      <w:tr>
        <w:trPr>
          <w:trHeight w:val="149"/>
        </w:trPr>
        <w:tc>
          <w:tcPr>
            <w:tcW w:w="3260" w:type="dxa"/>
            <w:vAlign w:val="bottom"/>
          </w:tcPr>
          <w:p>
            <w:pPr>
              <w:ind w:left="180"/>
              <w:spacing w:after="0" w:line="149" w:lineRule="exact"/>
              <w:rPr>
                <w:sz w:val="20"/>
                <w:szCs w:val="20"/>
                <w:color w:val="auto"/>
              </w:rPr>
            </w:pPr>
            <w:r>
              <w:rPr>
                <w:rFonts w:ascii="Arial" w:cs="Arial" w:eastAsia="Arial" w:hAnsi="Arial"/>
                <w:sz w:val="14"/>
                <w:szCs w:val="14"/>
                <w:color w:val="auto"/>
              </w:rPr>
              <w:t>Loss on sale of investments available for sale</w:t>
            </w:r>
          </w:p>
        </w:tc>
        <w:tc>
          <w:tcPr>
            <w:tcW w:w="200" w:type="dxa"/>
            <w:vAlign w:val="bottom"/>
          </w:tcPr>
          <w:p>
            <w:pPr>
              <w:spacing w:after="0"/>
              <w:rPr>
                <w:sz w:val="12"/>
                <w:szCs w:val="12"/>
                <w:color w:val="auto"/>
              </w:rPr>
            </w:pPr>
          </w:p>
        </w:tc>
        <w:tc>
          <w:tcPr>
            <w:tcW w:w="1020" w:type="dxa"/>
            <w:vAlign w:val="bottom"/>
            <w:gridSpan w:val="3"/>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40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3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(1,415)</w:t>
            </w:r>
          </w:p>
        </w:tc>
        <w:tc>
          <w:tcPr>
            <w:tcW w:w="220" w:type="dxa"/>
            <w:vAlign w:val="bottom"/>
          </w:tcPr>
          <w:p>
            <w:pPr>
              <w:spacing w:after="0"/>
              <w:rPr>
                <w:sz w:val="12"/>
                <w:szCs w:val="12"/>
                <w:color w:val="auto"/>
              </w:rPr>
            </w:pPr>
          </w:p>
        </w:tc>
        <w:tc>
          <w:tcPr>
            <w:tcW w:w="1060" w:type="dxa"/>
            <w:vAlign w:val="bottom"/>
            <w:gridSpan w:val="3"/>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(1,415)</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w:t>
            </w:r>
          </w:p>
        </w:tc>
      </w:tr>
      <w:tr>
        <w:trPr>
          <w:trHeight w:val="130"/>
        </w:trPr>
        <w:tc>
          <w:tcPr>
            <w:tcW w:w="32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Fair value adjustment of obligation associated</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67"/>
        </w:trPr>
        <w:tc>
          <w:tcPr>
            <w:tcW w:w="32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with Preferred Operating Partnership units</w:t>
            </w:r>
          </w:p>
        </w:tc>
        <w:tc>
          <w:tcPr>
            <w:tcW w:w="2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1,054</w:t>
            </w: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(1,054)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1,054</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(1,054)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(100.0)%</w:t>
            </w:r>
          </w:p>
        </w:tc>
      </w:tr>
      <w:tr>
        <w:trPr>
          <w:trHeight w:val="149"/>
        </w:trPr>
        <w:tc>
          <w:tcPr>
            <w:tcW w:w="3260" w:type="dxa"/>
            <w:vAlign w:val="bottom"/>
          </w:tcPr>
          <w:p>
            <w:pPr>
              <w:ind w:left="180"/>
              <w:spacing w:after="0" w:line="149" w:lineRule="exact"/>
              <w:rPr>
                <w:sz w:val="20"/>
                <w:szCs w:val="20"/>
                <w:color w:val="auto"/>
              </w:rPr>
            </w:pPr>
            <w:r>
              <w:rPr>
                <w:rFonts w:ascii="Arial" w:cs="Arial" w:eastAsia="Arial" w:hAnsi="Arial"/>
                <w:sz w:val="14"/>
                <w:szCs w:val="14"/>
                <w:color w:val="auto"/>
              </w:rPr>
              <w:t>Minority interest - Operating Partnership</w:t>
            </w:r>
          </w:p>
        </w:tc>
        <w:tc>
          <w:tcPr>
            <w:tcW w:w="20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(766)</w:t>
            </w:r>
          </w:p>
        </w:tc>
        <w:tc>
          <w:tcPr>
            <w:tcW w:w="220" w:type="dxa"/>
            <w:vAlign w:val="bottom"/>
          </w:tcPr>
          <w:p>
            <w:pPr>
              <w:spacing w:after="0"/>
              <w:rPr>
                <w:sz w:val="12"/>
                <w:szCs w:val="12"/>
                <w:color w:val="auto"/>
              </w:rPr>
            </w:pPr>
          </w:p>
        </w:tc>
        <w:tc>
          <w:tcPr>
            <w:tcW w:w="8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(869)</w:t>
            </w:r>
          </w:p>
        </w:tc>
        <w:tc>
          <w:tcPr>
            <w:tcW w:w="240" w:type="dxa"/>
            <w:vAlign w:val="bottom"/>
          </w:tcPr>
          <w:p>
            <w:pPr>
              <w:spacing w:after="0"/>
              <w:rPr>
                <w:sz w:val="12"/>
                <w:szCs w:val="12"/>
                <w:color w:val="auto"/>
              </w:rPr>
            </w:pPr>
          </w:p>
        </w:tc>
        <w:tc>
          <w:tcPr>
            <w:tcW w:w="7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103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w:t>
            </w:r>
          </w:p>
        </w:tc>
        <w:tc>
          <w:tcPr>
            <w:tcW w:w="200" w:type="dxa"/>
            <w:vAlign w:val="bottom"/>
          </w:tcPr>
          <w:p>
            <w:pPr>
              <w:spacing w:after="0"/>
              <w:rPr>
                <w:sz w:val="12"/>
                <w:szCs w:val="12"/>
                <w:color w:val="auto"/>
              </w:rPr>
            </w:pPr>
          </w:p>
        </w:tc>
        <w:tc>
          <w:tcPr>
            <w:tcW w:w="8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(1,893)</w:t>
            </w:r>
          </w:p>
        </w:tc>
        <w:tc>
          <w:tcPr>
            <w:tcW w:w="220" w:type="dxa"/>
            <w:vAlign w:val="bottom"/>
          </w:tcPr>
          <w:p>
            <w:pPr>
              <w:spacing w:after="0"/>
              <w:rPr>
                <w:sz w:val="12"/>
                <w:szCs w:val="12"/>
                <w:color w:val="auto"/>
              </w:rPr>
            </w:pPr>
          </w:p>
        </w:tc>
        <w:tc>
          <w:tcPr>
            <w:tcW w:w="8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(1,768)</w:t>
            </w:r>
          </w:p>
        </w:tc>
        <w:tc>
          <w:tcPr>
            <w:tcW w:w="260" w:type="dxa"/>
            <w:vAlign w:val="bottom"/>
          </w:tcPr>
          <w:p>
            <w:pPr>
              <w:spacing w:after="0"/>
              <w:rPr>
                <w:sz w:val="12"/>
                <w:szCs w:val="12"/>
                <w:color w:val="auto"/>
              </w:rPr>
            </w:pPr>
          </w:p>
        </w:tc>
        <w:tc>
          <w:tcPr>
            <w:tcW w:w="7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(125)</w:t>
            </w: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7.1%</w:t>
            </w:r>
          </w:p>
        </w:tc>
      </w:tr>
      <w:tr>
        <w:trPr>
          <w:trHeight w:val="149"/>
        </w:trPr>
        <w:tc>
          <w:tcPr>
            <w:tcW w:w="3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Minority interest - other</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113</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34</w:t>
            </w:r>
          </w:p>
        </w:tc>
        <w:tc>
          <w:tcPr>
            <w:tcW w:w="10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403</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2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163.4%</w:t>
            </w:r>
          </w:p>
        </w:tc>
      </w:tr>
      <w:tr>
        <w:trPr>
          <w:trHeight w:val="156"/>
        </w:trPr>
        <w:tc>
          <w:tcPr>
            <w:tcW w:w="3260" w:type="dxa"/>
            <w:vAlign w:val="bottom"/>
          </w:tcPr>
          <w:p>
            <w:pPr>
              <w:ind w:left="360"/>
              <w:spacing w:after="0" w:line="155" w:lineRule="exact"/>
              <w:rPr>
                <w:sz w:val="20"/>
                <w:szCs w:val="20"/>
                <w:color w:val="auto"/>
              </w:rPr>
            </w:pPr>
            <w:r>
              <w:rPr>
                <w:rFonts w:ascii="Arial" w:cs="Arial" w:eastAsia="Arial" w:hAnsi="Arial"/>
                <w:sz w:val="14"/>
                <w:szCs w:val="14"/>
                <w:color w:val="auto"/>
              </w:rPr>
              <w:t>Total other expense</w:t>
            </w: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(12,015</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(11,376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(639</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(40,302</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(33,563</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(6,739</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20.1</w:t>
            </w:r>
          </w:p>
        </w:tc>
        <w:tc>
          <w:tcPr>
            <w:tcW w:w="2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79"/>
              </w:rPr>
              <w:t>%</w:t>
            </w: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Interest Expense—</w:t>
      </w:r>
      <w:r>
        <w:rPr>
          <w:rFonts w:ascii="Arial" w:cs="Arial" w:eastAsia="Arial" w:hAnsi="Arial"/>
          <w:sz w:val="16"/>
          <w:szCs w:val="16"/>
          <w:color w:val="auto"/>
        </w:rPr>
        <w:t>The decrease in interest expense for the three months ended September 30, 2008 consists primarily of a decrease of $667 on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debt mainly as a result of an increase in capitalized interest, offset by an increase of $492 associated with new loans obtained on properties acquired in 2007 and 2008. The increase in interest expense for the nine months ended September 30, 2008 consists primarily of an increase of $2,989 associated with new loans obtained on properties acquired in 2007 and 2008 and an increase of approximately $617 on corporate debt related mainly to the $250,000 in exchangeable senior notes issued in March 2007, offset by a decrease of $298 related to an increase in capitalized interest.</w:t>
      </w:r>
    </w:p>
    <w:p>
      <w:pPr>
        <w:spacing w:after="0" w:line="15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Interest Income—</w:t>
      </w:r>
      <w:r>
        <w:rPr>
          <w:rFonts w:ascii="Arial" w:cs="Arial" w:eastAsia="Arial" w:hAnsi="Arial"/>
          <w:sz w:val="16"/>
          <w:szCs w:val="16"/>
          <w:color w:val="auto"/>
        </w:rPr>
        <w:t>For the three and nine months ended September 30, 2008, the decrease in interest income was due primarily to the fact that we held $49.2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of investments available for sale at September 30, 2007 versus having no investments available for sale at September 30, 2008. The investments available for sale were purchased with cash that was generated by the exchangeable senior notes offering in March 2007. This decrease was partially offset by the additional interest generated from the proceeds from the common stock offering in May 2008 held in cash and cash equivalents.</w:t>
      </w:r>
    </w:p>
    <w:p>
      <w:pPr>
        <w:spacing w:after="0" w:line="15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Interest Income on Note Receivable from Preferred Operating Partnership Unit Holder</w:t>
      </w:r>
      <w:r>
        <w:rPr>
          <w:rFonts w:ascii="Arial" w:cs="Arial" w:eastAsia="Arial" w:hAnsi="Arial"/>
          <w:sz w:val="17"/>
          <w:szCs w:val="17"/>
          <w:b w:val="1"/>
          <w:bCs w:val="1"/>
          <w:color w:val="auto"/>
        </w:rPr>
        <w:t>—</w:t>
      </w:r>
      <w:r>
        <w:rPr>
          <w:rFonts w:ascii="Arial" w:cs="Arial" w:eastAsia="Arial" w:hAnsi="Arial"/>
          <w:sz w:val="18"/>
          <w:szCs w:val="18"/>
          <w:color w:val="auto"/>
        </w:rPr>
        <w:t>Represents interest on a $100,000 loan to the 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OP units.</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Equity in Earnings of Real Estate Ventures—</w:t>
      </w:r>
      <w:r>
        <w:rPr>
          <w:rFonts w:ascii="Arial" w:cs="Arial" w:eastAsia="Arial" w:hAnsi="Arial"/>
          <w:sz w:val="18"/>
          <w:szCs w:val="18"/>
          <w:color w:val="auto"/>
        </w:rPr>
        <w:t>The increase in equity in earnings of real estate ventures for the three and nine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2008 is due to the increase in our investment in the VRS joint venture from 5% to 45% on July 1, 2008.</w:t>
      </w:r>
    </w:p>
    <w:p>
      <w:pPr>
        <w:spacing w:after="0" w:line="16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Loss on Sale of Investments Available for Sale</w:t>
      </w:r>
      <w:r>
        <w:rPr>
          <w:rFonts w:ascii="Arial" w:cs="Arial" w:eastAsia="Arial" w:hAnsi="Arial"/>
          <w:sz w:val="17"/>
          <w:szCs w:val="17"/>
          <w:b w:val="1"/>
          <w:bCs w:val="1"/>
          <w:color w:val="auto"/>
        </w:rPr>
        <w:t>—</w:t>
      </w:r>
      <w:r>
        <w:rPr>
          <w:rFonts w:ascii="Arial" w:cs="Arial" w:eastAsia="Arial" w:hAnsi="Arial"/>
          <w:sz w:val="18"/>
          <w:szCs w:val="18"/>
          <w:color w:val="auto"/>
        </w:rPr>
        <w:t>Represents the amount of loss recorded on February 29, 2008 related to the liquidation of auction rates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in investments available for sale.</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Minority Interest—Operating Partnership—</w:t>
      </w:r>
      <w:r>
        <w:rPr>
          <w:rFonts w:ascii="Arial" w:cs="Arial" w:eastAsia="Arial" w:hAnsi="Arial"/>
          <w:sz w:val="18"/>
          <w:szCs w:val="18"/>
          <w:color w:val="auto"/>
        </w:rPr>
        <w:t>Income allocated to the Operating Partnership (including the Preferred OP units) represents 5.83% and 7.14%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net income before minority interest for the three months ended September 30, 2008 and 2007, respectively.</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Minority Interest—Other—</w:t>
      </w:r>
      <w:r>
        <w:rPr>
          <w:rFonts w:ascii="Arial" w:cs="Arial" w:eastAsia="Arial" w:hAnsi="Arial"/>
          <w:sz w:val="18"/>
          <w:szCs w:val="18"/>
          <w:color w:val="auto"/>
        </w:rPr>
        <w:t>Income allocated to the other minority interest represents the losses allocated to partners in consolidated joint ventures on three</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that are in lease-up.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because net earnings assumes that the values of real estate assets diminish predictably over time as reflected through depreciation and amortization expenses. We believe that the values of real estate assets fluctuate due to market conditions and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properties, plus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 The following table sets forth the calculation of FFO (amounts are in thousands, except for share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Real estate depreciation</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10,791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30,526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Joint venture real estate depreciation and amortization</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Joint venture loss on sale of properties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5"/>
              </w:rPr>
              <w:t>Fair value adjustment of obligation associated with Preferred Operating</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Partnership units</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paid on Preferred Operating Partnership units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Income allocated to Operating Partnership minority interest</w:t>
            </w: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Funds from operations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25,046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20,799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63,181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number of shares - diluted</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87,263,018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70,567,078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79,226,236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69,702,837</w:t>
            </w:r>
          </w:p>
        </w:tc>
        <w:tc>
          <w:tcPr>
            <w:tcW w:w="0" w:type="dxa"/>
            <w:vAlign w:val="bottom"/>
          </w:tcPr>
          <w:p>
            <w:pPr>
              <w:spacing w:after="0"/>
              <w:rPr>
                <w:sz w:val="1"/>
                <w:szCs w:val="1"/>
                <w:color w:val="auto"/>
              </w:rPr>
            </w:pPr>
          </w:p>
        </w:tc>
      </w:tr>
      <w:tr>
        <w:trPr>
          <w:trHeight w:val="418"/>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SAME-STORE STABILIZED PROPERTY RESULTS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We consider our same-store stabilized portfolio to consist of only those properties which were wholly-owned at the beginning and at the end of the applicable periods presented that have achieved stabilization as of the first day of such period. The following table sets forth operating data for our same-store portfolio.</w:t>
      </w:r>
    </w:p>
    <w:p>
      <w:pPr>
        <w:sectPr>
          <w:pgSz w:w="11900" w:h="16881" w:orient="portrait"/>
          <w:cols w:equalWidth="0" w:num="1">
            <w:col w:w="11420"/>
          </w:cols>
          <w:pgMar w:left="240" w:top="127" w:right="239" w:bottom="0" w:gutter="0" w:footer="0" w:header="0"/>
        </w:sectPr>
      </w:pPr>
    </w:p>
    <w:bookmarkStart w:id="23" w:name="page24"/>
    <w:bookmarkEnd w:id="23"/>
    <w:p>
      <w:pPr>
        <w:spacing w:after="0" w:line="62"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We consider the following same-store presentation to be meaningful in regards to the properties shown below. These results provide information relating to property-level operating changes without the effects of acquisitions or completed developments.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Same-store rental 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139,569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Same-store operating expenses</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16,292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16,313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48,564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48,266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Same-store net operating income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31,196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91,005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88,746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Non same-store rental revenues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35,337</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Non same-store operating expenses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3,294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14,307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5,589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Total rental revenues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59,997</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55,209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280" w:type="dxa"/>
            <w:vAlign w:val="bottom"/>
            <w:gridSpan w:val="2"/>
          </w:tcPr>
          <w:p>
            <w:pPr>
              <w:jc w:val="right"/>
              <w:ind w:right="85"/>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174,906</w:t>
            </w:r>
          </w:p>
        </w:tc>
        <w:tc>
          <w:tcPr>
            <w:tcW w:w="400" w:type="dxa"/>
            <w:vAlign w:val="bottom"/>
            <w:gridSpan w:val="2"/>
          </w:tcPr>
          <w:p>
            <w:pPr>
              <w:jc w:val="right"/>
              <w:ind w:right="205"/>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149,832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21,367</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62,871</w:t>
            </w:r>
          </w:p>
        </w:tc>
        <w:tc>
          <w:tcPr>
            <w:tcW w:w="4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Same-store square foot occupancy as of</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w:t>
            </w: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w:t>
            </w: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Properties included in same-store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increase in same-store rental revenues for the three and nine months ended September 30, 2008 over the prior year was due to increased rental rates to existing customers and our ability to maintain occupancy. For the three and nine months ended September 30, 2008, operating expenses were similar to the same periods in the prior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Cash flows provided by operating activities were $74,395 and $78,852, respectively, for the nine months ended September 30, 2008 and 2007. The decrease compared to the prior year primarily relates to the increase in receivables from related parties offset by the increase in depreciation and amortization and the loss on investments available for sale.</w:t>
      </w:r>
    </w:p>
    <w:p>
      <w:pPr>
        <w:spacing w:after="0" w:line="18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Cash used in investing activities was $128,937 and $221,007, respectively, for the nine months ended September 30, 2008 and 2007. The decrease relates primarily to the change in investments available for sale. For the nine months ended September 30, 2008, there were proceeds from the sale of investments available for sale of $21,812 compared to purchases of investments available for sale of $49,200 for the same period in the prior year. Additionally, for the nine months ended September 30, 2008, $55,602 was paid for the acquisition of real estate assets, compared to $144,347 for the nine months ended September 30,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decreases were offset by an increase in cash paid for investments in real estate ventures, which was $48,941 for the nine months ended September 30, 2008, compared to $4,769 for the nine months ended September 30, 2007.</w:t>
      </w:r>
    </w:p>
    <w:p>
      <w:pPr>
        <w:spacing w:after="0" w:line="17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Cash provided by financing activities was $149,241 and $113,184, respectively, for the nine months ended September 30, 2008 and 2007. The increase in cash provided by financing activities over the prior period relates primarily to the proceeds from the sale of common stock in May 2008 of $232,718. In March 2007, we issued $250,000 in exchangeable senior notes and in June 2007 we issued a $100,000 loan to a Preferred OP unit 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CONTINGENT SHARES AND COMMON CONTINGENT UNIT PROPERTY PERFORMANCE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Operating Partnership’s CCUs will convert into additional shares of common stock and OP units, respectively.</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September 30, 2008, 2,508,920 CCSs and 129,061 CCUs have converted to common stock and OP units, respectively. Based on the performance of the properties as of September 30, 2008, an additional 292,133 CCSs and 15,028 CCUs became eligible for conversion. The board of directors approved the conversion of these CCSs and CCUs on October 30, 2008 as per our charter, and the shares and units were issued on November 5,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outlines the performance of the properties for the three and nine months ended September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CCS/CCU rental revenues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CCS/CCU operating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1,341</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3,878</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CCS/CCU net operating income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6,073</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Non CCS/CCU rental revenues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56,624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164,955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140,886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Non CCS/CCU operating expenses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20,079</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18,266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58,993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49,882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rental revenues</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59,997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55,209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174,906</w:t>
            </w:r>
          </w:p>
        </w:tc>
        <w:tc>
          <w:tcPr>
            <w:tcW w:w="400" w:type="dxa"/>
            <w:vAlign w:val="bottom"/>
            <w:gridSpan w:val="2"/>
          </w:tcPr>
          <w:p>
            <w:pPr>
              <w:jc w:val="right"/>
              <w:ind w:right="20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149,832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21,367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62,871</w:t>
            </w:r>
          </w:p>
        </w:tc>
        <w:tc>
          <w:tcPr>
            <w:tcW w:w="4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53,855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CCS/CCU square foot occupancy as of</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quarter end</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Properties included in CCS/CCU</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4" w:name="page25"/>
    <w:bookmarkEnd w:id="24"/>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increase in CCS/CCU rental revenues for the three and nine months ended September 30, 2008 was primarily due to increased rental rates and increased occupancy. The decrease in expenses for the three and nine months ended September 30, 2008 was primarily due to a reduction in advertising costs and payroll.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SUMMARY</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nine months ended September 30, 2008, we continued our same-store property revenue growth with a revenue increase of 1.9% compared to the same period in 2007. Occupancy at our same-store properties was fairly consistent on a year-to-year basis, reaching 86.0% as of September 30, 2008 compared to 86.8% as of September 30, 2007.</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the nine months ended September 30, 2008, the markets of Chicago, Dallas, Houston, Sacramento and San Francisco/Oakland were the top performers among our stabilized properties. Markets performing below our portfolio average in revenue growth included Las Vegas, Miami/Fort Lauderdale, Philadelphia, and Phoenix.</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Property revenue growth was evident in the majority of markets in which we operate. The growth in property revenue is the result of increases in occupancy and rental rates to both new and existing customers. Property expenses increased primarily as a result of increases in snow removal and utilities.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the first nine months of 2008, we continued to see a generally stable climate for self-storage in the United States. Rental activity was flat overall when compared with the first nine months of 2007 and vacates increased slightly when compared to the same period. Despite the lack of increased demand, we were able to raise same-store and overall portfolio revenue through increased rental rates to existing customers. We continue to selectively discount certain sites and units based on occupancy, availability, and competitive parameters that are controlled through our centralized, real-time technology systems and revenue management team.</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anticipate generally stable self-storage fundamentals to continue in our core markets. We believe that the ability exists to increase revenues in the remainder of 2008 over levels achieved in 2007. We anticipate continued competition from all operators, both public and private, in all of the markets in which we operate. However, we believe that the quality and location of our property portfolio, our revenue management systems, and the strength of our self-storage fundamentals will provide opportunities to grow revenues in the remainder of 2008.</w:t>
      </w:r>
    </w:p>
    <w:p>
      <w:pPr>
        <w:spacing w:after="0" w:line="18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continually seeking to drive rental activity and revenue growth by actively managing both pricing and promotional strategies through our revenue management team and utilizing the yield management features of our technology system. In-house training, operational initiatives and marketing promotions, including national cable television advertising, continue to be implemented. These activities also provide support for increased rentals at the store level.</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taxes are seen as a primary driver of expenses in the coming year. As we continue to acquire existing self-storage facilities, tax reassessments will continue to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September 30, 2008, we had $112,076 available in cash and cash equivalents. This cash resulted primarily from the issuance and sale of approximately 15.0 million shares of our common stock pursuant to a public offering in May 2008. Additionally, on September 29, 2008 we entered into a purchase agreement to sell 3.0 million shares of our common stock in a registered direct placement. The offering closed on October 3, 2008, and we received net proceeds of approximately $44,100 as a result. We intend to use our cash to purchase additional self-storage properties and for general corporate purposes, including repaying indebtedness as it comes due in 2009, and to fund other working capital needs during the remainder of 2008. Additionally, we are required to distribute at least 90% of our net taxable income, excluding net capital gains, to our stockholders on an annual basis to maintain our qualification as a REIT. Therefore, it is unlikely that we will have any substantial cash balances that could be used to meet our liquidity needs. Instead, these needs must be met from cash generated from operations and external sources of capital.</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cash and cash equivalents are held in accounts managed by third party financial institutions and consist of invested cash and cash in our operating accounts. To date, we have experienced no loss or lack of access to our cash or cash equivalents; however, there can be no assurance that access to our cash and cash equivalents will not be impacted by adverse conditions in the financial markets.</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October 19, 2007, we entered into a $100,000 revolving line of credit (the “Credit Line”). We intend to use the proceeds from the Credit Line for general corporate purposes and acquisitions. The Credit Line has an interest rate of between 100 and 250 basis points over LIBOR, depending on certain of our financial ratios. The Credit Line is collateralized by mortgages on certain real estate assets. The Credit Line matures October 31, 2010 with two one-year extensions available. There were no amounts outstanding under the Credit Line as of September 30, 2008 or December 31, 2007.</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September 30, 2008, we had $1,299,678 of debt, resulting in a debt to total capitalization ratio of 49.2%. As of September 30, 2008, the ratio of total fixed rate debt and other instruments to total debt was 91.5% ($61,770 on which we have a reverse interest rate swap has been included as variable rate debt). The weighted average interest rate of the total of fixed and variable rate debt at September 30, 2008 was 5.0%.</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 estate assets are pledged as collateral for our debt. We are subject to certain restrictive covenants relating to our outstanding debt. We were in compliance with all covenants at September 30, 2008.</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 units and interest on our outstanding indebtedness out of our operating cash flow, cash on hand and borrowings under the Credit Line.</w:t>
      </w:r>
    </w:p>
    <w:p>
      <w:pPr>
        <w:spacing w:after="0" w:line="124"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Our liquidity needs also consist of new facility development, property acquisitions, principal payments under our borrowings and non-recurring capital expenditures. In addition, we evaluate, on an ongoing basis, the merits of strategic acquisitions and other relationships, which may require us to raise additional funds. We do not expect that our operating cash flow will be sufficient to fund our liquidity needs and instead expect to fund such needs out of</w:t>
      </w:r>
    </w:p>
    <w:p>
      <w:pPr>
        <w:sectPr>
          <w:pgSz w:w="11900" w:h="16885" w:orient="portrait"/>
          <w:cols w:equalWidth="0" w:num="1">
            <w:col w:w="11420"/>
          </w:cols>
          <w:pgMar w:left="240" w:top="341" w:right="239" w:bottom="0" w:gutter="0" w:footer="0" w:header="0"/>
        </w:sectPr>
      </w:pPr>
    </w:p>
    <w:bookmarkStart w:id="25" w:name="page26"/>
    <w:bookmarkEnd w:id="25"/>
    <w:p>
      <w:pPr>
        <w:spacing w:after="0" w:line="279" w:lineRule="auto"/>
        <w:rPr>
          <w:sz w:val="20"/>
          <w:szCs w:val="20"/>
          <w:color w:val="auto"/>
        </w:rPr>
      </w:pPr>
      <w:r>
        <w:rPr>
          <w:rFonts w:ascii="Arial" w:cs="Arial" w:eastAsia="Arial" w:hAnsi="Arial"/>
          <w:sz w:val="17"/>
          <w:szCs w:val="17"/>
          <w:color w:val="auto"/>
        </w:rPr>
        <w:t>additional borrowings of secured or unsecured indebtedness, joint ventures with third parties and from the proceeds of public and private offerings of equity and debt. Additional capital may not be available on terms favorable to us, or at all. Any additional issuance of equity or equity–linked securities may result in dilution to our stockholders. In addition, any new securities we issue could have rights, preferences and privileges senior to holders of our common stock. We may also use OP units as currency to fund acquisitions from self-storage owners who desire tax-deferral in their exiting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credit markets have recently experienced significant dislocations and liquidity disruptions which have caused the spreads on prospective debt financings to widen considerably. These circumstances have materially impacted liquidity in the debt markets, making financing terms for borrowers less attractive, and in certain cases have resulted in the unavailability of certain types of debt financing. Continued uncertainty in the credit markets may negatively impact our ability to access additional debt financing or to refinance existing debt maturities on favorable terms (or at all), which may negatively affect our ability to make acquisitions and fund current and future development projects. In addition, the financial condition of the lenders under our credit facilities may worsen to the point they default on their obligations to make available to us the funds under those facilities. A prolonged downturn in the credit markets may cause us to seek alternative sources of potentially less attractive financing, and may require us to adjust our business plan accordingly. In addition, these factors may make it more difficult for us to sell properties or may adversely affect the price we receive for properties that we do sell, as prospective buyers may experience increased costs of debt financing or difficulties in obtaining debt financing. These events in the credit markets have also had an adverse effect on other financial markets in the United States, which may make it more difficult or costly for us to raise capital through the issuance of common stock, preferred stock or other equity securities. These disruptions in the financial markets may have other adverse effects on us or the economy generally.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will continue to employ leverage in our capital structure in amounts determined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187"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 rate of the proposed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the financing impacts flexibility in managing our properties;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prepayment penalties and restrictions on refinancing;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price of properties acquired with debt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long-term objectives with respect to the financing;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 investment returns;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particular properties, and our Company as a whole, to generate cash flow sufficient to cover expected debt service payments;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level of consolidated indebtedness;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debt and lease maturities;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provisions that require recourse and cross-collateralization;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corporate credit ratios including debt service coverage, debt to total capitalization and debt to undepreciated assets;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overall ratio of fixed and variable rate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indebtedness may be recourse, non-recourse or cross-collateralized. If the indebtedness is non-recourse, the collateral will be limited to the particular properties to which the indebtedness relates. In addition, we may invest in properties subject to existing loans collateralized by mortgages or similar liens on our properties, or may refinance properties acquired on a leveraged basis. We may use the proceeds from any borrowings to refinance existing indebtedness, to refinance investments, including the redevelopment of existing properties, for general working capital or to purchase additional interests in partnerships or joint ventures or for other purposes when we believe it is advisable.</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may from time to time seek to retire, repurchase or redeem our outstanding debt, shares of common stock or other securities in open market purchases, privately negotiated transactions or otherwise. Such repurchases or redemptions, if any, will depend on prevailing market conditions, our liquidity requirements, contractual restrictions and other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Except as disclosed in the notes to our unaudited condensed consolidated financial statements, we do not currently have any relationships with unconsolidated entities or financial partnerships, such as entities often referred to as structured finance or special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26" w:name="page27"/>
    <w:bookmarkEnd w:id="26"/>
    <w:p>
      <w:pPr>
        <w:ind w:right="220"/>
        <w:spacing w:after="0" w:line="259" w:lineRule="auto"/>
        <w:rPr>
          <w:sz w:val="20"/>
          <w:szCs w:val="20"/>
          <w:color w:val="auto"/>
        </w:rPr>
      </w:pPr>
      <w:r>
        <w:rPr>
          <w:rFonts w:ascii="Arial" w:cs="Arial" w:eastAsia="Arial" w:hAnsi="Arial"/>
          <w:sz w:val="18"/>
          <w:szCs w:val="18"/>
          <w:color w:val="auto"/>
        </w:rPr>
        <w:t>purposes entities, which typically are established for the purpose of facilitating off-balance sheet arrangements or other contractually narrow or limited purposes. Further, except as disclosed in the notes to our unaudited condensed consolidated financial statements, we have not guaranteed any obligations of unconsolidated entities nor do we have any commitments to provide funding to any such entities. Accordingly, we are not materially exposed to any financing, liquidity, market or credit risk that could arise if we had engaged in these relationships.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exchangeable senior notes provide for excess exchange value to be paid in shares of our common stock if our stock price exceeds a certain amount. See the notes to our financial statements for a further description of our exchangeable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September 30, 2008:</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Less Than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1-3 Years</w:t>
            </w:r>
          </w:p>
        </w:tc>
        <w:tc>
          <w:tcPr>
            <w:tcW w:w="200" w:type="dxa"/>
            <w:vAlign w:val="bottom"/>
          </w:tcPr>
          <w:p>
            <w:pPr>
              <w:spacing w:after="0"/>
              <w:rPr>
                <w:sz w:val="10"/>
                <w:szCs w:val="10"/>
                <w:color w:val="auto"/>
              </w:rPr>
            </w:pPr>
          </w:p>
        </w:tc>
        <w:tc>
          <w:tcPr>
            <w:tcW w:w="10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337"/>
              <w:spacing w:after="0" w:line="119" w:lineRule="exact"/>
              <w:rPr>
                <w:sz w:val="20"/>
                <w:szCs w:val="20"/>
                <w:color w:val="auto"/>
              </w:rPr>
            </w:pPr>
            <w:r>
              <w:rPr>
                <w:rFonts w:ascii="Arial" w:cs="Arial" w:eastAsia="Arial" w:hAnsi="Arial"/>
                <w:sz w:val="13"/>
                <w:szCs w:val="13"/>
                <w:b w:val="1"/>
                <w:bCs w:val="1"/>
                <w:color w:val="auto"/>
              </w:rPr>
              <w:t>After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w w:val="99"/>
              </w:rPr>
              <w:t>Notes payable, exchangeable senior notes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notes payable to trusts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559,003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92,912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327,945</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1,299,678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282,584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226,974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30,483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759,637</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1,917,986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September 30, 2008, the weighted-average interest rate for all fixed rate loans was 5.0%, and the weighted-average interest rate for all variable rate loans was 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self-storage business is subject to seasonal fluctuations. A greater portion of revenues and profits are realized from May through</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September. Historically, our highest level of occupancy has been as of the end of July, while our lowest level of occupancy has been in late February and early March. Results for any quarter may not be indicative of the results that may be achieved for the full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of September 30, 2008, we had $1,299,678 in total debt, of which $110,746 was subject to variable interest rates (including the $61,770 on which we have a reverse interest rate swap). If LIBOR were to increase or decrease by 100 basis points, the increase or decrease in interest expense on the variable rate debt would increase or decrease future earnings and cash flows by $1,107 annually.</w:t>
      </w:r>
    </w:p>
    <w:p>
      <w:pPr>
        <w:spacing w:after="0" w:line="1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fair value of our fixed rate notes payable, exchangeable senior notes and notes payable to trusts at September 30, 2008 was $1,280,751. The carrying value of these fixed rate notes payable, exchangeable senior notes and notes payable to trusts at September 30, 2008 was $1,188,932.</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formed a disclosure committee to ensure that all disclosures made by the Company to its security holders or to the investment community will be accurate and complete and fairly present the Company’s financial condition and results of operations in all material respects, and are made on a timely basis as required by applicable laws, regulations and stock exchange requirements.</w:t>
      </w:r>
    </w:p>
    <w:p>
      <w:pPr>
        <w:sectPr>
          <w:pgSz w:w="11900" w:h="16838" w:orient="portrait"/>
          <w:cols w:equalWidth="0" w:num="1">
            <w:col w:w="11420"/>
          </w:cols>
          <w:pgMar w:left="240" w:top="125" w:right="239" w:bottom="0" w:gutter="0" w:footer="0" w:header="0"/>
        </w:sectPr>
      </w:pPr>
    </w:p>
    <w:bookmarkStart w:id="27" w:name="page28"/>
    <w:bookmarkEnd w:id="27"/>
    <w:p>
      <w:pPr>
        <w:ind w:right="10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are involved in various litigation and proceedings in the ordinary course of business. We are not a party to any material litigation or legal proceedings, or to the best of our knowledge, any threatened litigation or legal proceedings, which, in the opinion of management, will have a material adverse effect on our financial condition or results of operations either individually or in the aggregate.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disclosed in our 2007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described in the notes to our unaudited condensed consolidated financial statements, upon the achievement of certain levels of net operating income with respect to 14 of our properties, our CCSs and our CCUs will convert into additional shares of common stock and OP units, respectively. Subject to certain lock-up periods and adjustments, the units are generally exchangeable for shares of common stock on a one-for-one basis or an equivalent amount of cash, at the option of the Company.</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September 30, 2008, 2,508,920 CCSs and 129,061 CCUs have converted to common stock and OP units, respectively. Based on the performance of the properties as of September 30, 2008, an additional 292,133 CCSs and 15,028 CCUs became eligible for conversion. The board of directors approved the conversion of these CCSs and CCUs on October 30, 2008 as per our charter, and the shares and units were issued on November 5, 2008. The shares and units were issued in private placements in reliance on Section 3(a)(9) and Section 4(2) of the Securities Act of 1933, as amended, and the rules and regulations promulgated thereunder. We received no additional consideration for the conversions.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800" w:right="160" w:hanging="676"/>
        <w:spacing w:after="0" w:line="277"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Amended and Restated Employment Agreement, dated as of August 28, 2008, by and between Extra Space Storage Inc., Extra Space Storage LP and Kenneth M. Woolley (incorporated by reference to Exhibit 10.1 of Form 8-K filed on September 4, 2008).</w:t>
      </w:r>
    </w:p>
    <w:p>
      <w:pPr>
        <w:spacing w:after="0" w:line="170" w:lineRule="exact"/>
        <w:rPr>
          <w:sz w:val="20"/>
          <w:szCs w:val="20"/>
          <w:color w:val="auto"/>
        </w:rPr>
      </w:pPr>
    </w:p>
    <w:p>
      <w:pPr>
        <w:ind w:left="800" w:right="160" w:hanging="676"/>
        <w:spacing w:after="0" w:line="277"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Employment Agreement, dated as of August 28, 2008, by and between Extra Space Storage Inc., Extra Space Storage LP and Kent W. Christensen (incorporated by reference to Exhibit 10.2 of Form 8-K filed on September 4, 2008).</w:t>
      </w:r>
    </w:p>
    <w:p>
      <w:pPr>
        <w:spacing w:after="0" w:line="170" w:lineRule="exact"/>
        <w:rPr>
          <w:sz w:val="20"/>
          <w:szCs w:val="20"/>
          <w:color w:val="auto"/>
        </w:rPr>
      </w:pPr>
    </w:p>
    <w:p>
      <w:pPr>
        <w:ind w:left="800" w:right="160" w:hanging="676"/>
        <w:spacing w:after="0" w:line="277"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Employment Agreement, dated as of August 28, 2008, by and between Extra Space Storage Inc., Extra Space Storage LP and Karl Haas (incorporated by reference to Exhibit 10.3 of Form 8-K filed on September 4, 2008).</w:t>
      </w:r>
    </w:p>
    <w:p>
      <w:pPr>
        <w:spacing w:after="0" w:line="170" w:lineRule="exact"/>
        <w:rPr>
          <w:sz w:val="20"/>
          <w:szCs w:val="20"/>
          <w:color w:val="auto"/>
        </w:rPr>
      </w:pPr>
    </w:p>
    <w:p>
      <w:pPr>
        <w:ind w:left="800" w:right="160" w:hanging="676"/>
        <w:spacing w:after="0" w:line="277"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and Restated Employment Agreement, dated as of August 28, 2008, by and between Extra Space Storage Inc., Extra Space Storage LP and Charles L. Allen (incorporated by reference to Exhibit 10.4 of Form 8-K filed on September 4, 2008).</w:t>
      </w:r>
    </w:p>
    <w:p>
      <w:pPr>
        <w:spacing w:after="0" w:line="170"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Second Amended and Restated Agreement of Limited Partnership of Extra Space Storage LP, filed herewith.</w:t>
      </w:r>
    </w:p>
    <w:p>
      <w:pPr>
        <w:spacing w:after="0" w:line="225"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120"/>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800" w:right="180" w:hanging="722"/>
        <w:spacing w:after="0" w:line="277" w:lineRule="auto"/>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Certifications of the Chief Executive Officer and Chief Financial Officer pursuant to 18 U.S.C. Section 1350, as adopted pursuant to Section 906 of the Sarbanes-Oxley Act of 2002.</w:t>
      </w:r>
    </w:p>
    <w:p>
      <w:pPr>
        <w:sectPr>
          <w:pgSz w:w="11900" w:h="16838" w:orient="portrait"/>
          <w:cols w:equalWidth="0" w:num="1">
            <w:col w:w="11400"/>
          </w:cols>
          <w:pgMar w:left="240" w:top="341" w:right="259" w:bottom="0" w:gutter="0" w:footer="0" w:header="0"/>
        </w:sectPr>
      </w:pPr>
    </w:p>
    <w:bookmarkStart w:id="28" w:name="page29"/>
    <w:bookmarkEnd w:id="28"/>
    <w:p>
      <w:pPr>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t>*</w:t>
      </w:r>
      <w:r>
        <w:rPr>
          <w:rFonts w:ascii="Arial" w:cs="Arial" w:eastAsia="Arial" w:hAnsi="Arial"/>
          <w:sz w:val="18"/>
          <w:szCs w:val="18"/>
          <w:color w:val="auto"/>
        </w:rPr>
        <w:t>These certifications are being furnished solely to accompany this quarterly report pursuant to 18 U.S.C. Section 1350, and are not being filed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18 of the Securities Exchange Act of 1934 and are not to be incorporated by reference into any filing of Extra Space Storage Inc., whether made before or after the date hereof, regardless of any general incorporation language in such filing.</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EXTRA SPACE STORAGE INC.</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2008</w:t>
            </w:r>
          </w:p>
        </w:tc>
        <w:tc>
          <w:tcPr>
            <w:tcW w:w="200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M. Woolley</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Chairman and Chief Executive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5, 2008</w:t>
            </w:r>
          </w:p>
        </w:tc>
        <w:tc>
          <w:tcPr>
            <w:tcW w:w="200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Kent W. Christensen</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r>
      <w:tr>
        <w:trPr>
          <w:trHeight w:val="132"/>
        </w:trPr>
        <w:tc>
          <w:tcPr>
            <w:tcW w:w="370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43" w:right="199" w:bottom="1440" w:gutter="0" w:footer="0" w:header="0"/>
        </w:sectPr>
      </w:pPr>
    </w:p>
    <w:bookmarkStart w:id="29" w:name="page30"/>
    <w:bookmarkEnd w:id="29"/>
    <w:p>
      <w:pPr>
        <w:spacing w:after="0" w:line="2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ind w:left="260" w:right="420"/>
        <w:spacing w:after="0" w:line="282" w:lineRule="auto"/>
        <w:rPr>
          <w:sz w:val="20"/>
          <w:szCs w:val="20"/>
          <w:color w:val="auto"/>
        </w:rPr>
      </w:pPr>
      <w:r>
        <w:rPr>
          <w:rFonts w:ascii="Arial" w:cs="Arial" w:eastAsia="Arial" w:hAnsi="Arial"/>
          <w:sz w:val="18"/>
          <w:szCs w:val="18"/>
          <w:b w:val="1"/>
          <w:bCs w:val="1"/>
          <w:color w:val="auto"/>
        </w:rPr>
        <w:t>FIRST AMENDMENT TO SECOND AMENDED AND RESTATED AGREEMENT OF LIMITED PARTNERSHIP OF EXTRA SPACE STORAGE LP</w:t>
      </w:r>
    </w:p>
    <w:p>
      <w:pPr>
        <w:spacing w:after="0" w:line="166"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 xml:space="preserve">This First Amendment to Second Amended and Restated Agreement of Limited Partnership of Extra Space Storage LP, dated September 18, 2008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is entered into by and among ESS Holdings Business Trust I, a Massachusetts business trust (the </w:t>
      </w:r>
      <w:r>
        <w:rPr>
          <w:rFonts w:ascii="Arial" w:cs="Arial" w:eastAsia="Arial" w:hAnsi="Arial"/>
          <w:sz w:val="18"/>
          <w:szCs w:val="18"/>
          <w:b w:val="1"/>
          <w:bCs w:val="1"/>
          <w:i w:val="1"/>
          <w:iCs w:val="1"/>
          <w:color w:val="auto"/>
        </w:rPr>
        <w:t>“General Partner”</w:t>
      </w:r>
      <w:r>
        <w:rPr>
          <w:rFonts w:ascii="Arial" w:cs="Arial" w:eastAsia="Arial" w:hAnsi="Arial"/>
          <w:sz w:val="18"/>
          <w:szCs w:val="18"/>
          <w:color w:val="auto"/>
        </w:rPr>
        <w:t xml:space="preserve">) and the limited partners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“Limited Partners”</w:t>
      </w:r>
      <w:r>
        <w:rPr>
          <w:rFonts w:ascii="Arial" w:cs="Arial" w:eastAsia="Arial" w:hAnsi="Arial"/>
          <w:sz w:val="18"/>
          <w:szCs w:val="18"/>
          <w:color w:val="auto"/>
        </w:rPr>
        <w:t>).</w:t>
      </w:r>
    </w:p>
    <w:p>
      <w:pPr>
        <w:spacing w:after="0" w:line="177"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General Partner and ESS Holdings Business Trust II, a Massachusetts business trust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“Parent Limited Partner”</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collectively with the General Partner and the Limited Partners, the </w:t>
      </w:r>
      <w:r>
        <w:rPr>
          <w:rFonts w:ascii="Arial" w:cs="Arial" w:eastAsia="Arial" w:hAnsi="Arial"/>
          <w:sz w:val="18"/>
          <w:szCs w:val="18"/>
          <w:b w:val="1"/>
          <w:bCs w:val="1"/>
          <w:i w:val="1"/>
          <w:iCs w:val="1"/>
          <w:color w:val="auto"/>
        </w:rPr>
        <w:t>“Partners”</w:t>
      </w:r>
      <w:r>
        <w:rPr>
          <w:rFonts w:ascii="Arial" w:cs="Arial" w:eastAsia="Arial" w:hAnsi="Arial"/>
          <w:sz w:val="18"/>
          <w:szCs w:val="18"/>
          <w:color w:val="auto"/>
        </w:rPr>
        <w:t xml:space="preserve">), entered into that certain First Amended and Restated Agreement of Limited Partnership of Extra Space Storage LP dated as of August 17, 2004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jc w:val="both"/>
        <w:ind w:right="140" w:firstLine="648"/>
        <w:spacing w:after="0" w:line="303"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General Partner and the Parent Limited Partner amended and restated the Original Agreement by entering into that certain Second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Amended and Restated Agreement of Limited Partnership of Extra Space Storage LP (the </w:t>
      </w:r>
      <w:r>
        <w:rPr>
          <w:rFonts w:ascii="Arial" w:cs="Arial" w:eastAsia="Arial" w:hAnsi="Arial"/>
          <w:sz w:val="16"/>
          <w:szCs w:val="16"/>
          <w:b w:val="1"/>
          <w:bCs w:val="1"/>
          <w:i w:val="1"/>
          <w:iCs w:val="1"/>
          <w:color w:val="auto"/>
        </w:rPr>
        <w:t>“Partnership Agreement”</w:t>
      </w:r>
      <w:r>
        <w:rPr>
          <w:rFonts w:ascii="Arial" w:cs="Arial" w:eastAsia="Arial" w:hAnsi="Arial"/>
          <w:sz w:val="16"/>
          <w:szCs w:val="16"/>
          <w:color w:val="auto"/>
        </w:rPr>
        <w:t xml:space="preserve">) dated as of June 25, 2007, in order to admit the Limited Partners into Extra Space Storage LP (the </w:t>
      </w:r>
      <w:r>
        <w:rPr>
          <w:rFonts w:ascii="Arial" w:cs="Arial" w:eastAsia="Arial" w:hAnsi="Arial"/>
          <w:sz w:val="16"/>
          <w:szCs w:val="16"/>
          <w:b w:val="1"/>
          <w:bCs w:val="1"/>
          <w:i w:val="1"/>
          <w:iCs w:val="1"/>
          <w:color w:val="auto"/>
        </w:rPr>
        <w:t>“Partnership”</w:t>
      </w:r>
      <w:r>
        <w:rPr>
          <w:rFonts w:ascii="Arial" w:cs="Arial" w:eastAsia="Arial" w:hAnsi="Arial"/>
          <w:sz w:val="16"/>
          <w:szCs w:val="16"/>
          <w:color w:val="auto"/>
        </w:rPr>
        <w:t>), including the admission of those Limited Partners that hold Series A Preferred Units (as defined in the Partnership Agreement), and to set forth the rights and responsibilities of the Partners and the Partnership;</w:t>
      </w:r>
    </w:p>
    <w:p>
      <w:pPr>
        <w:spacing w:after="0" w:line="15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Partners wish to clarify in this Amendment the allocation provisions of the Partnership Agreement to reflect the original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and agreement among the parties with respect to the treatment of depreciation in allocations of Net Income and Net Loss to Holders of Series A Preferred Units, as set forth herein; and</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herein contained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adequacy and sufficiency of which are hereby acknowledged, the parties hereto, intending legally to be bound, hereby amend the Partnership Agreement as follows:</w:t>
      </w:r>
    </w:p>
    <w:p>
      <w:pPr>
        <w:spacing w:after="0" w:line="180" w:lineRule="exact"/>
        <w:rPr>
          <w:sz w:val="20"/>
          <w:szCs w:val="20"/>
          <w:color w:val="auto"/>
        </w:rPr>
      </w:pPr>
    </w:p>
    <w:p>
      <w:pPr>
        <w:ind w:left="1320" w:hanging="664"/>
        <w:spacing w:after="0"/>
        <w:tabs>
          <w:tab w:leader="none" w:pos="13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unless otherwise defined herein, shall have the same meanings as set forth in the Partnership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the Partnership Agreement is hereby amended to include the following definition in alphabetical order:</w:t>
      </w:r>
    </w:p>
    <w:p>
      <w:pPr>
        <w:spacing w:after="0" w:line="225" w:lineRule="exact"/>
        <w:rPr>
          <w:rFonts w:ascii="Arial" w:cs="Arial" w:eastAsia="Arial" w:hAnsi="Arial"/>
          <w:sz w:val="18"/>
          <w:szCs w:val="18"/>
          <w:color w:val="auto"/>
        </w:rPr>
      </w:pPr>
    </w:p>
    <w:p>
      <w:pPr>
        <w:ind w:left="19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Section 704(b) Net Income</w:t>
      </w:r>
      <w:r>
        <w:rPr>
          <w:rFonts w:ascii="Arial" w:cs="Arial" w:eastAsia="Arial" w:hAnsi="Arial"/>
          <w:sz w:val="18"/>
          <w:szCs w:val="18"/>
          <w:color w:val="auto"/>
        </w:rPr>
        <w:t xml:space="preserve">” means, for any Partnership Year or other applicable period, (i) the Partnership’s Net Income for such Partnership Year or other applicable period as determined under the Code,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that portion of the Series A Preferred Priority Return for such Partnership Year or other applicable period that consists of an amount, with respect to each Series A Preferred Unit, equal to 5.00% per annum on the Series A Preferred Stated Value per Series A Preferred Unit, commencing on the date of original issuance of the Series A Preferred Units.”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the Partnership Agreement is hereby amended by adding a new paragraph D. as follows:</w:t>
      </w:r>
    </w:p>
    <w:p>
      <w:pPr>
        <w:spacing w:after="0" w:line="225" w:lineRule="exact"/>
        <w:rPr>
          <w:sz w:val="20"/>
          <w:szCs w:val="20"/>
          <w:color w:val="auto"/>
        </w:rPr>
      </w:pPr>
    </w:p>
    <w:p>
      <w:pPr>
        <w:ind w:left="1960" w:right="20"/>
        <w:spacing w:after="0" w:line="289"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Depreciation Adjustments</w:t>
      </w:r>
      <w:r>
        <w:rPr>
          <w:rFonts w:ascii="Arial" w:cs="Arial" w:eastAsia="Arial" w:hAnsi="Arial"/>
          <w:sz w:val="16"/>
          <w:szCs w:val="16"/>
          <w:color w:val="auto"/>
        </w:rPr>
        <w:t xml:space="preserve">. Notwithstanding anything to the contrary in </w:t>
      </w:r>
      <w:r>
        <w:rPr>
          <w:rFonts w:ascii="Arial" w:cs="Arial" w:eastAsia="Arial" w:hAnsi="Arial"/>
          <w:sz w:val="16"/>
          <w:szCs w:val="16"/>
          <w:u w:val="single" w:color="auto"/>
          <w:color w:val="auto"/>
        </w:rPr>
        <w:t>Section 6.2.A(a)(iv)</w:t>
      </w:r>
      <w:r>
        <w:rPr>
          <w:rFonts w:ascii="Arial" w:cs="Arial" w:eastAsia="Arial" w:hAnsi="Arial"/>
          <w:sz w:val="16"/>
          <w:szCs w:val="16"/>
          <w:color w:val="auto"/>
        </w:rPr>
        <w:t xml:space="preserve"> of this Agreement, for any Partnership year or other applicable period, (a) allocations of Net Income to the Series A Preferred Units with respect to that portion of their Series A Preferred Priority Return consisting of 5.00% per annum on the Series A Preferred Stated Value per Series A Preferred Unit shall be exclusive of Depreciation, and (b) the Series A Preferred Units shall be allocated Depreciation on a proportionate basis with respect to the remaining portion of their Series A Preferred Priority Return consisting of the Series A Preferred Priority Return consisting of the Series A Preferred Return. For purposes of </w:t>
      </w:r>
      <w:r>
        <w:rPr>
          <w:rFonts w:ascii="Arial" w:cs="Arial" w:eastAsia="Arial" w:hAnsi="Arial"/>
          <w:sz w:val="16"/>
          <w:szCs w:val="16"/>
          <w:u w:val="single" w:color="auto"/>
          <w:color w:val="auto"/>
        </w:rPr>
        <w:t>Section 6.2.D.(b)</w:t>
      </w:r>
      <w:r>
        <w:rPr>
          <w:rFonts w:ascii="Arial" w:cs="Arial" w:eastAsia="Arial" w:hAnsi="Arial"/>
          <w:sz w:val="16"/>
          <w:szCs w:val="16"/>
          <w:color w:val="auto"/>
        </w:rPr>
        <w:t xml:space="preserve"> above, Depreciation shall be allocated to the Series A Preferred Units based on a fraction, the numerator of which is that portion of the Series A Preferred Priority Return for a Partnership Year or other applicable period that constitutes the Series A Preferred Return, and the denominator of which is the Adjusted Section 704(b) Net Income for such Partnership Year or other applicable period.”</w:t>
      </w:r>
    </w:p>
    <w:p>
      <w:pPr>
        <w:spacing w:after="0" w:line="167" w:lineRule="exact"/>
        <w:rPr>
          <w:sz w:val="20"/>
          <w:szCs w:val="20"/>
          <w:color w:val="auto"/>
        </w:rPr>
      </w:pPr>
    </w:p>
    <w:p>
      <w:pPr>
        <w:ind w:right="400" w:firstLine="656"/>
        <w:spacing w:after="0" w:line="277" w:lineRule="auto"/>
        <w:tabs>
          <w:tab w:leader="none" w:pos="131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Because this Amendment sets forth the original agreement among the parties and is intended to be only for purposes of clarification, the parties agree that this Amendment shall be effective as of June 25, 2007.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59" w:lineRule="auto"/>
        <w:tabs>
          <w:tab w:leader="none" w:pos="131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Continuing Effect of Partnership Agreement</w:t>
      </w:r>
      <w:r>
        <w:rPr>
          <w:rFonts w:ascii="Arial" w:cs="Arial" w:eastAsia="Arial" w:hAnsi="Arial"/>
          <w:sz w:val="18"/>
          <w:szCs w:val="18"/>
          <w:color w:val="auto"/>
        </w:rPr>
        <w:t xml:space="preserve">. Except as modified herein, the Partnership Agreement is hereby ratified and confirmed in its entirety and shall remain and continue in full force and effect,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there shall be a conflict between the provisions of the Partnership Agreement and this Amendment, the provisions in this Amendment shall prevail. All references in any document to the Partnership Agreement shall mean the Partnership Agreement, as amended hereby.</w:t>
      </w:r>
    </w:p>
    <w:p>
      <w:pPr>
        <w:spacing w:after="0" w:line="186" w:lineRule="exact"/>
        <w:rPr>
          <w:rFonts w:ascii="Arial" w:cs="Arial" w:eastAsia="Arial" w:hAnsi="Arial"/>
          <w:sz w:val="18"/>
          <w:szCs w:val="18"/>
          <w:color w:val="auto"/>
        </w:rPr>
      </w:pPr>
    </w:p>
    <w:p>
      <w:pPr>
        <w:ind w:right="120" w:firstLine="656"/>
        <w:spacing w:after="0" w:line="312" w:lineRule="auto"/>
        <w:tabs>
          <w:tab w:leader="none" w:pos="131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each of which shall be deemed to be an original and all of which shall constitute one and the same agreement. Facsimile signatures shall be deemed effective execution of this Amendment and may be relied upon as such. In the event facsimile signatures are delivered, originals of such signatures shall be delivered within three (3) business days after execution.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Blank Intentionally]</w:t>
      </w:r>
    </w:p>
    <w:p>
      <w:pPr>
        <w:sectPr>
          <w:pgSz w:w="11900" w:h="16862"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62" w:orient="portrait"/>
          <w:cols w:equalWidth="0" w:num="1">
            <w:col w:w="11420"/>
          </w:cols>
          <w:pgMar w:left="240" w:top="121" w:right="239" w:bottom="0" w:gutter="0" w:footer="0" w:header="0"/>
          <w:type w:val="continuous"/>
        </w:sectPr>
      </w:pPr>
    </w:p>
    <w:bookmarkStart w:id="30" w:name="page31"/>
    <w:bookmarkEnd w:id="30"/>
    <w:p>
      <w:pPr>
        <w:ind w:left="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8"/>
          <w:szCs w:val="18"/>
          <w:color w:val="auto"/>
        </w:rPr>
        <w:t>this Amendment has been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b w:val="1"/>
          <w:bCs w:val="1"/>
          <w:u w:val="single" w:color="auto"/>
          <w:color w:val="auto"/>
        </w:rPr>
        <w:t>GENERAL PARTNER</w:t>
      </w:r>
      <w:r>
        <w:rPr>
          <w:rFonts w:ascii="Arial" w:cs="Arial" w:eastAsia="Arial" w:hAnsi="Arial"/>
          <w:sz w:val="18"/>
          <w:szCs w:val="18"/>
          <w:b w:val="1"/>
          <w:bCs w:val="1"/>
          <w:color w:val="auto"/>
        </w:rPr>
        <w: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ESS HOLDINGS BUSINESS TRUST I</w:t>
      </w:r>
    </w:p>
    <w:p>
      <w:pPr>
        <w:spacing w:after="0" w:line="200" w:lineRule="exact"/>
        <w:rPr>
          <w:sz w:val="20"/>
          <w:szCs w:val="20"/>
          <w:color w:val="auto"/>
        </w:rPr>
      </w:pPr>
    </w:p>
    <w:p>
      <w:pPr>
        <w:spacing w:after="0" w:line="24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Kent W. Christensen</w:t>
            </w:r>
          </w:p>
        </w:tc>
      </w:tr>
      <w:tr>
        <w:trPr>
          <w:trHeight w:val="195"/>
        </w:trPr>
        <w:tc>
          <w:tcPr>
            <w:tcW w:w="360" w:type="dxa"/>
            <w:vAlign w:val="bottom"/>
          </w:tcPr>
          <w:p>
            <w:pPr>
              <w:spacing w:after="0"/>
              <w:rPr>
                <w:sz w:val="16"/>
                <w:szCs w:val="16"/>
                <w:color w:val="auto"/>
              </w:rPr>
            </w:pPr>
          </w:p>
        </w:tc>
        <w:tc>
          <w:tcPr>
            <w:tcW w:w="5540" w:type="dxa"/>
            <w:vAlign w:val="bottom"/>
          </w:tcPr>
          <w:p>
            <w:pPr>
              <w:ind w:left="360"/>
              <w:spacing w:after="0" w:line="195" w:lineRule="exact"/>
              <w:rPr>
                <w:sz w:val="20"/>
                <w:szCs w:val="20"/>
                <w:color w:val="auto"/>
              </w:rPr>
            </w:pPr>
            <w:r>
              <w:rPr>
                <w:rFonts w:ascii="Arial" w:cs="Arial" w:eastAsia="Arial" w:hAnsi="Arial"/>
                <w:sz w:val="18"/>
                <w:szCs w:val="18"/>
                <w:color w:val="auto"/>
              </w:rPr>
              <w:t>Name: Kent W. Christensen</w:t>
            </w:r>
          </w:p>
        </w:tc>
      </w:tr>
      <w:tr>
        <w:trPr>
          <w:trHeight w:val="230"/>
        </w:trPr>
        <w:tc>
          <w:tcPr>
            <w:tcW w:w="360" w:type="dxa"/>
            <w:vAlign w:val="bottom"/>
          </w:tcPr>
          <w:p>
            <w:pPr>
              <w:spacing w:after="0"/>
              <w:rPr>
                <w:sz w:val="20"/>
                <w:szCs w:val="20"/>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Title: Trustee</w:t>
            </w:r>
          </w:p>
        </w:tc>
      </w:tr>
    </w:tbl>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8"/>
          <w:szCs w:val="18"/>
          <w:b w:val="1"/>
          <w:bCs w:val="1"/>
          <w:u w:val="single" w:color="auto"/>
          <w:color w:val="auto"/>
        </w:rPr>
        <w:t>LIMITED PARTNERS</w:t>
      </w:r>
      <w:r>
        <w:rPr>
          <w:rFonts w:ascii="Arial" w:cs="Arial" w:eastAsia="Arial" w:hAnsi="Arial"/>
          <w:sz w:val="18"/>
          <w:szCs w:val="18"/>
          <w:b w:val="1"/>
          <w:bCs w:val="1"/>
          <w:color w:val="auto"/>
        </w:rPr>
        <w:t>:</w:t>
      </w:r>
    </w:p>
    <w:p>
      <w:pPr>
        <w:spacing w:after="0" w:line="225" w:lineRule="exact"/>
        <w:rPr>
          <w:sz w:val="20"/>
          <w:szCs w:val="20"/>
          <w:color w:val="auto"/>
        </w:rPr>
      </w:pPr>
    </w:p>
    <w:p>
      <w:pPr>
        <w:jc w:val="right"/>
        <w:ind w:right="2860"/>
        <w:spacing w:after="0"/>
        <w:rPr>
          <w:sz w:val="20"/>
          <w:szCs w:val="20"/>
          <w:color w:val="auto"/>
        </w:rPr>
      </w:pPr>
      <w:r>
        <w:rPr>
          <w:rFonts w:ascii="Arial" w:cs="Arial" w:eastAsia="Arial" w:hAnsi="Arial"/>
          <w:sz w:val="18"/>
          <w:szCs w:val="18"/>
          <w:b w:val="1"/>
          <w:bCs w:val="1"/>
          <w:color w:val="auto"/>
        </w:rPr>
        <w:t>ESS HOLDINGS BUSINESS TRUST II</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jc w:val="right"/>
              <w:ind w:right="1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Kent W. Christensen</w:t>
            </w:r>
          </w:p>
        </w:tc>
        <w:tc>
          <w:tcPr>
            <w:tcW w:w="40" w:type="dxa"/>
            <w:vAlign w:val="bottom"/>
          </w:tcPr>
          <w:p>
            <w:pPr>
              <w:spacing w:after="0"/>
              <w:rPr>
                <w:sz w:val="20"/>
                <w:szCs w:val="20"/>
                <w:color w:val="auto"/>
              </w:rPr>
            </w:pPr>
          </w:p>
        </w:tc>
      </w:tr>
      <w:tr>
        <w:trPr>
          <w:trHeight w:val="195"/>
        </w:trPr>
        <w:tc>
          <w:tcPr>
            <w:tcW w:w="5880" w:type="dxa"/>
            <w:vAlign w:val="bottom"/>
          </w:tcPr>
          <w:p>
            <w:pPr>
              <w:spacing w:after="0"/>
              <w:rPr>
                <w:sz w:val="16"/>
                <w:szCs w:val="16"/>
                <w:color w:val="auto"/>
              </w:rPr>
            </w:pPr>
          </w:p>
        </w:tc>
        <w:tc>
          <w:tcPr>
            <w:tcW w:w="5540" w:type="dxa"/>
            <w:vAlign w:val="bottom"/>
          </w:tcPr>
          <w:p>
            <w:pPr>
              <w:ind w:left="360"/>
              <w:spacing w:after="0" w:line="195" w:lineRule="exact"/>
              <w:rPr>
                <w:sz w:val="20"/>
                <w:szCs w:val="20"/>
                <w:color w:val="auto"/>
              </w:rPr>
            </w:pPr>
            <w:r>
              <w:rPr>
                <w:rFonts w:ascii="Arial" w:cs="Arial" w:eastAsia="Arial" w:hAnsi="Arial"/>
                <w:sz w:val="18"/>
                <w:szCs w:val="18"/>
                <w:color w:val="auto"/>
              </w:rPr>
              <w:t>Name: Kent W. Christensen</w:t>
            </w:r>
          </w:p>
        </w:tc>
        <w:tc>
          <w:tcPr>
            <w:tcW w:w="40" w:type="dxa"/>
            <w:vAlign w:val="bottom"/>
          </w:tcPr>
          <w:p>
            <w:pPr>
              <w:spacing w:after="0"/>
              <w:rPr>
                <w:sz w:val="16"/>
                <w:szCs w:val="16"/>
                <w:color w:val="auto"/>
              </w:rPr>
            </w:pPr>
          </w:p>
        </w:tc>
      </w:tr>
      <w:tr>
        <w:trPr>
          <w:trHeight w:val="230"/>
        </w:trPr>
        <w:tc>
          <w:tcPr>
            <w:tcW w:w="5880" w:type="dxa"/>
            <w:vAlign w:val="bottom"/>
          </w:tcPr>
          <w:p>
            <w:pPr>
              <w:spacing w:after="0"/>
              <w:rPr>
                <w:sz w:val="20"/>
                <w:szCs w:val="20"/>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Title: Trustee</w:t>
            </w:r>
          </w:p>
        </w:tc>
        <w:tc>
          <w:tcPr>
            <w:tcW w:w="40" w:type="dxa"/>
            <w:vAlign w:val="bottom"/>
          </w:tcPr>
          <w:p>
            <w:pPr>
              <w:spacing w:after="0"/>
              <w:rPr>
                <w:sz w:val="20"/>
                <w:szCs w:val="20"/>
                <w:color w:val="auto"/>
              </w:rPr>
            </w:pPr>
          </w:p>
        </w:tc>
      </w:tr>
      <w:tr>
        <w:trPr>
          <w:trHeight w:val="432"/>
        </w:trPr>
        <w:tc>
          <w:tcPr>
            <w:tcW w:w="5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80" w:type="dxa"/>
            <w:vAlign w:val="bottom"/>
            <w:tcBorders>
              <w:bottom w:val="single" w:sz="8" w:color="010101"/>
            </w:tcBorders>
          </w:tcPr>
          <w:p>
            <w:pPr>
              <w:spacing w:after="0"/>
              <w:rPr>
                <w:sz w:val="11"/>
                <w:szCs w:val="11"/>
                <w:color w:val="auto"/>
              </w:rPr>
            </w:pPr>
          </w:p>
        </w:tc>
        <w:tc>
          <w:tcPr>
            <w:tcW w:w="5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LIMITED PARTNERS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31" w:name="page32"/>
    <w:bookmarkEnd w:id="31"/>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M. Woolley,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20" w:hanging="644"/>
        <w:spacing w:after="0" w:line="264"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2008</w:t>
            </w:r>
          </w:p>
        </w:tc>
        <w:tc>
          <w:tcPr>
            <w:tcW w:w="7700" w:type="dxa"/>
            <w:vAlign w:val="bottom"/>
            <w:gridSpan w:val="2"/>
          </w:tcPr>
          <w:p>
            <w:pPr>
              <w:ind w:left="1920"/>
              <w:spacing w:after="0"/>
              <w:rPr>
                <w:sz w:val="20"/>
                <w:szCs w:val="20"/>
                <w:color w:val="auto"/>
              </w:rPr>
            </w:pPr>
            <w:r>
              <w:rPr>
                <w:rFonts w:ascii="Arial" w:cs="Arial" w:eastAsia="Arial" w:hAnsi="Arial"/>
                <w:sz w:val="18"/>
                <w:szCs w:val="18"/>
                <w:color w:val="auto"/>
              </w:rPr>
              <w:t>By:  /s/ Kenneth M. Woolley</w:t>
            </w:r>
          </w:p>
        </w:tc>
        <w:tc>
          <w:tcPr>
            <w:tcW w:w="40" w:type="dxa"/>
            <w:vAlign w:val="bottom"/>
          </w:tcPr>
          <w:p>
            <w:pPr>
              <w:spacing w:after="0"/>
              <w:rPr>
                <w:sz w:val="20"/>
                <w:szCs w:val="20"/>
                <w:color w:val="auto"/>
              </w:rPr>
            </w:pPr>
          </w:p>
        </w:tc>
      </w:tr>
      <w:tr>
        <w:trPr>
          <w:trHeight w:val="182"/>
        </w:trPr>
        <w:tc>
          <w:tcPr>
            <w:tcW w:w="3720" w:type="dxa"/>
            <w:vAlign w:val="bottom"/>
          </w:tcPr>
          <w:p>
            <w:pPr>
              <w:spacing w:after="0"/>
              <w:rPr>
                <w:sz w:val="15"/>
                <w:szCs w:val="15"/>
                <w:color w:val="auto"/>
              </w:rPr>
            </w:pPr>
          </w:p>
        </w:tc>
        <w:tc>
          <w:tcPr>
            <w:tcW w:w="2340" w:type="dxa"/>
            <w:vAlign w:val="bottom"/>
          </w:tcPr>
          <w:p>
            <w:pPr>
              <w:ind w:left="1920"/>
              <w:spacing w:after="0" w:line="182" w:lineRule="exact"/>
              <w:rPr>
                <w:sz w:val="20"/>
                <w:szCs w:val="20"/>
                <w:color w:val="auto"/>
              </w:rPr>
            </w:pPr>
            <w:r>
              <w:rPr>
                <w:rFonts w:ascii="Arial" w:cs="Arial" w:eastAsia="Arial" w:hAnsi="Arial"/>
                <w:sz w:val="18"/>
                <w:szCs w:val="18"/>
                <w:color w:val="auto"/>
                <w:w w:val="75"/>
              </w:rPr>
              <w:t>Name:</w:t>
            </w:r>
          </w:p>
        </w:tc>
        <w:tc>
          <w:tcPr>
            <w:tcW w:w="536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Kenneth M. Woolley</w:t>
            </w:r>
          </w:p>
        </w:tc>
        <w:tc>
          <w:tcPr>
            <w:tcW w:w="40" w:type="dxa"/>
            <w:vAlign w:val="bottom"/>
          </w:tcPr>
          <w:p>
            <w:pPr>
              <w:spacing w:after="0"/>
              <w:rPr>
                <w:sz w:val="15"/>
                <w:szCs w:val="15"/>
                <w:color w:val="auto"/>
              </w:rPr>
            </w:pPr>
          </w:p>
        </w:tc>
      </w:tr>
      <w:tr>
        <w:trPr>
          <w:trHeight w:val="230"/>
        </w:trPr>
        <w:tc>
          <w:tcPr>
            <w:tcW w:w="3720" w:type="dxa"/>
            <w:vAlign w:val="bottom"/>
          </w:tcPr>
          <w:p>
            <w:pPr>
              <w:spacing w:after="0"/>
              <w:rPr>
                <w:sz w:val="20"/>
                <w:szCs w:val="20"/>
                <w:color w:val="auto"/>
              </w:rPr>
            </w:pPr>
          </w:p>
        </w:tc>
        <w:tc>
          <w:tcPr>
            <w:tcW w:w="7700" w:type="dxa"/>
            <w:vAlign w:val="bottom"/>
            <w:gridSpan w:val="2"/>
          </w:tcPr>
          <w:p>
            <w:pPr>
              <w:ind w:left="1920"/>
              <w:spacing w:after="0"/>
              <w:rPr>
                <w:sz w:val="20"/>
                <w:szCs w:val="20"/>
                <w:color w:val="auto"/>
              </w:rPr>
            </w:pPr>
            <w:r>
              <w:rPr>
                <w:rFonts w:ascii="Arial" w:cs="Arial" w:eastAsia="Arial" w:hAnsi="Arial"/>
                <w:sz w:val="18"/>
                <w:szCs w:val="18"/>
                <w:color w:val="auto"/>
              </w:rPr>
              <w:t>Title: Chairman and Chief Executive Officer</w:t>
            </w:r>
          </w:p>
        </w:tc>
        <w:tc>
          <w:tcPr>
            <w:tcW w:w="40" w:type="dxa"/>
            <w:vAlign w:val="bottom"/>
          </w:tcPr>
          <w:p>
            <w:pPr>
              <w:spacing w:after="0"/>
              <w:rPr>
                <w:sz w:val="20"/>
                <w:szCs w:val="20"/>
                <w:color w:val="auto"/>
              </w:rPr>
            </w:pPr>
          </w:p>
        </w:tc>
      </w:tr>
      <w:tr>
        <w:trPr>
          <w:trHeight w:val="348"/>
        </w:trPr>
        <w:tc>
          <w:tcPr>
            <w:tcW w:w="372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c>
          <w:tcPr>
            <w:tcW w:w="53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Kent W. Christensen,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ind w:left="340" w:right="16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6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1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80" w:hanging="644"/>
        <w:spacing w:after="0" w:line="264"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U.S generally accepted accounting principles;</w:t>
      </w:r>
    </w:p>
    <w:p>
      <w:pPr>
        <w:spacing w:after="0" w:line="181" w:lineRule="exact"/>
        <w:rPr>
          <w:rFonts w:ascii="Arial" w:cs="Arial" w:eastAsia="Arial" w:hAnsi="Arial"/>
          <w:sz w:val="18"/>
          <w:szCs w:val="18"/>
          <w:color w:val="auto"/>
        </w:rPr>
      </w:pPr>
    </w:p>
    <w:p>
      <w:pPr>
        <w:ind w:left="1300" w:right="480" w:hanging="644"/>
        <w:spacing w:after="0" w:line="264" w:lineRule="auto"/>
        <w:tabs>
          <w:tab w:leader="none" w:pos="1297"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20" w:hanging="644"/>
        <w:spacing w:after="0" w:line="342" w:lineRule="auto"/>
        <w:tabs>
          <w:tab w:leader="none" w:pos="129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29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November 5, 2008</w:t>
            </w:r>
          </w:p>
        </w:tc>
        <w:tc>
          <w:tcPr>
            <w:tcW w:w="7680" w:type="dxa"/>
            <w:vAlign w:val="bottom"/>
            <w:gridSpan w:val="2"/>
          </w:tcPr>
          <w:p>
            <w:pPr>
              <w:ind w:left="1960"/>
              <w:spacing w:after="0"/>
              <w:rPr>
                <w:sz w:val="20"/>
                <w:szCs w:val="20"/>
                <w:color w:val="auto"/>
              </w:rPr>
            </w:pPr>
            <w:r>
              <w:rPr>
                <w:rFonts w:ascii="Arial" w:cs="Arial" w:eastAsia="Arial" w:hAnsi="Arial"/>
                <w:sz w:val="18"/>
                <w:szCs w:val="18"/>
                <w:color w:val="auto"/>
              </w:rPr>
              <w:t>By:   /s/ Kent W. Christensen</w:t>
            </w:r>
          </w:p>
        </w:tc>
        <w:tc>
          <w:tcPr>
            <w:tcW w:w="40" w:type="dxa"/>
            <w:vAlign w:val="bottom"/>
          </w:tcPr>
          <w:p>
            <w:pPr>
              <w:spacing w:after="0"/>
              <w:rPr>
                <w:sz w:val="20"/>
                <w:szCs w:val="20"/>
                <w:color w:val="auto"/>
              </w:rPr>
            </w:pPr>
          </w:p>
        </w:tc>
      </w:tr>
      <w:tr>
        <w:trPr>
          <w:trHeight w:val="195"/>
        </w:trPr>
        <w:tc>
          <w:tcPr>
            <w:tcW w:w="37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Kent W. Christensen</w:t>
            </w:r>
          </w:p>
        </w:tc>
        <w:tc>
          <w:tcPr>
            <w:tcW w:w="40" w:type="dxa"/>
            <w:vAlign w:val="bottom"/>
          </w:tcPr>
          <w:p>
            <w:pPr>
              <w:spacing w:after="0"/>
              <w:rPr>
                <w:sz w:val="16"/>
                <w:szCs w:val="16"/>
                <w:color w:val="auto"/>
              </w:rPr>
            </w:pPr>
          </w:p>
        </w:tc>
      </w:tr>
      <w:tr>
        <w:trPr>
          <w:trHeight w:val="230"/>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c>
          <w:tcPr>
            <w:tcW w:w="40" w:type="dxa"/>
            <w:vAlign w:val="bottom"/>
          </w:tcPr>
          <w:p>
            <w:pPr>
              <w:spacing w:after="0"/>
              <w:rPr>
                <w:sz w:val="20"/>
                <w:szCs w:val="20"/>
                <w:color w:val="auto"/>
              </w:rPr>
            </w:pPr>
          </w:p>
        </w:tc>
      </w:tr>
      <w:tr>
        <w:trPr>
          <w:trHeight w:val="348"/>
        </w:trPr>
        <w:tc>
          <w:tcPr>
            <w:tcW w:w="374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 C. Section 1350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September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M. Woolley</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Kenneth M. Woolley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November 5, 2008</w:t>
      </w:r>
    </w:p>
    <w:p>
      <w:pPr>
        <w:spacing w:after="0" w:line="21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September 30, 2008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Kent W. Christensen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Kent W.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November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7"/>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
    </w:lvl>
    <w:lvl w:ilvl="1">
      <w:lvlJc w:val="left"/>
      <w:lvlText w:val="%2."/>
      <w:numFmt w:val="lowerLetter"/>
      <w:start w:val="1"/>
    </w:lvl>
  </w:abstractNum>
  <w:abstractNum w:abstractNumId="16">
    <w:nsid w:val="3F2DBA31"/>
    <w:multiLevelType w:val="hybridMultilevel"/>
    <w:lvl w:ilvl="0">
      <w:lvlJc w:val="left"/>
      <w:lvlText w:val="%1."/>
      <w:numFmt w:val="decimal"/>
      <w:start w:val="3"/>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2019-12-11T15:50:10Z</dcterms:created>
  <dcterms:modified xsi:type="dcterms:W3CDTF">2019-12-11T15:50:10Z</dcterms:modified>
</cp:coreProperties>
</file>