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82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Dickens Zachary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2795 EAST COTTONWOOD PARKWAY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Extra Space Storage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EVP, Chief Investment Officer</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35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84121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6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1,920</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28,587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7,018</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35,605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173</w:t>
            </w:r>
            <w:r>
              <w:rPr>
                <w:rFonts w:ascii="Times New Roman" w:cs="Times New Roman" w:eastAsia="Times New Roman" w:hAnsi="Times New Roman"/>
                <w:sz w:val="22"/>
                <w:szCs w:val="22"/>
                <w:color w:val="008000"/>
                <w:w w:val="89"/>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35,432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351</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35,081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444</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34,637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761</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33,876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issued upon the vesting of performance stock units (PSUs). Each PSU represented a contingent right to receive shares of the Issuers common stock. The PSUs were originally granted on March 1, 2023 and were eligible to vest based on the Issuer achievement of certain performance objectives during the three-year performance period ending December 31, 2025. On February 10, 2026, the Compensation Committee of the Board of Directors of the Issuer certified the Issuer achievement relative to the applicable performance objectives and approved the vesting of the PSUs with respect to these shares effective March 1, 2026.</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awards vest 25% annually over four years, beginning on the first anniversary of the grant date.</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in payment of the tax liability arising in connection with the settlement of vested restricted stock awards. Restricted stock awards vest 25% annually over four years, beginning on the first anniversary of the grant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Grace Kunde, Attorney-in-  </w:t>
      </w:r>
      <w:r>
        <w:rPr>
          <w:rFonts w:ascii="Times New Roman" w:cs="Times New Roman" w:eastAsia="Times New Roman" w:hAnsi="Times New Roman"/>
          <w:sz w:val="34"/>
          <w:szCs w:val="34"/>
          <w:color w:val="0000FF"/>
          <w:vertAlign w:val="subscript"/>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9962" TargetMode="External"/><Relationship Id="rId14" Type="http://schemas.openxmlformats.org/officeDocument/2006/relationships/hyperlink" Target="http://www.sec.gov/cgi-bin/browse-edgar?action=getcompany&amp;CIK=0001289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2026-03-03T19:33:11Z</dcterms:created>
  <dcterms:modified xsi:type="dcterms:W3CDTF">2026-03-03T19:33:11Z</dcterms:modified>
</cp:coreProperties>
</file>