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333-278690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Supplement dated June 24, 2026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Prospectus dated April 15, 2024</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180" w:type="dxa"/>
            <w:vAlign w:val="bottom"/>
            <w:gridSpan w:val="2"/>
          </w:tcPr>
          <w:p>
            <w:pPr>
              <w:jc w:val="center"/>
              <w:ind w:right="470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20"/>
        </w:trPr>
        <w:tc>
          <w:tcPr>
            <w:tcW w:w="3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22"/>
        </w:trPr>
        <w:tc>
          <w:tcPr>
            <w:tcW w:w="3180" w:type="dxa"/>
            <w:vAlign w:val="bottom"/>
          </w:tcPr>
          <w:p>
            <w:pPr>
              <w:spacing w:after="0"/>
              <w:rPr>
                <w:sz w:val="24"/>
                <w:szCs w:val="24"/>
                <w:color w:val="auto"/>
              </w:rPr>
            </w:pPr>
          </w:p>
        </w:tc>
        <w:tc>
          <w:tcPr>
            <w:tcW w:w="7760" w:type="dxa"/>
            <w:vAlign w:val="bottom"/>
            <w:gridSpan w:val="3"/>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8"/>
              </w:rPr>
              <w:t>EXTRA SPACE STORAGE LP</w:t>
            </w:r>
          </w:p>
        </w:tc>
      </w:tr>
      <w:tr>
        <w:trPr>
          <w:trHeight w:val="216"/>
        </w:trPr>
        <w:tc>
          <w:tcPr>
            <w:tcW w:w="3180" w:type="dxa"/>
            <w:vAlign w:val="bottom"/>
          </w:tcPr>
          <w:p>
            <w:pPr>
              <w:spacing w:after="0"/>
              <w:rPr>
                <w:sz w:val="18"/>
                <w:szCs w:val="18"/>
                <w:color w:val="auto"/>
              </w:rPr>
            </w:pPr>
          </w:p>
        </w:tc>
        <w:tc>
          <w:tcPr>
            <w:tcW w:w="7760" w:type="dxa"/>
            <w:vAlign w:val="bottom"/>
            <w:gridSpan w:val="3"/>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$550,000,000 4.900% Senior Notes due 2032</w:t>
            </w:r>
          </w:p>
        </w:tc>
      </w:tr>
      <w:tr>
        <w:trPr>
          <w:trHeight w:val="238"/>
        </w:trPr>
        <w:tc>
          <w:tcPr>
            <w:tcW w:w="3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80" w:type="dxa"/>
            <w:vAlign w:val="bottom"/>
            <w:gridSpan w:val="2"/>
          </w:tcPr>
          <w:p>
            <w:pPr>
              <w:jc w:val="center"/>
              <w:ind w:right="4700"/>
              <w:spacing w:after="0"/>
              <w:rPr>
                <w:sz w:val="20"/>
                <w:szCs w:val="20"/>
                <w:color w:val="auto"/>
              </w:rPr>
            </w:pPr>
            <w:r>
              <w:rPr>
                <w:rFonts w:ascii="Times New Roman" w:cs="Times New Roman" w:eastAsia="Times New Roman" w:hAnsi="Times New Roman"/>
                <w:sz w:val="18"/>
                <w:szCs w:val="18"/>
                <w:b w:val="1"/>
                <w:bCs w:val="1"/>
                <w:color w:val="auto"/>
                <w:w w:val="99"/>
              </w:rPr>
              <w:t>June 24, 2026</w:t>
            </w:r>
          </w:p>
        </w:tc>
      </w:tr>
      <w:tr>
        <w:trPr>
          <w:trHeight w:val="459"/>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Extra Space Storage LP</w:t>
            </w: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Extra Space Storage Inc., ESS Holdings Business Trust I and ESS Holdings Business Trust II</w:t>
            </w: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$550,000,000</w:t>
            </w:r>
          </w:p>
        </w:tc>
        <w:tc>
          <w:tcPr>
            <w:tcW w:w="14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February 1, 2032</w:t>
            </w: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4.900%</w:t>
            </w:r>
          </w:p>
        </w:tc>
        <w:tc>
          <w:tcPr>
            <w:tcW w:w="14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99.702% of the principal amount</w:t>
            </w: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4.961%</w:t>
            </w:r>
          </w:p>
        </w:tc>
        <w:tc>
          <w:tcPr>
            <w:tcW w:w="14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+78 basis points</w:t>
            </w: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4.125% due May 31, 2031</w:t>
            </w: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 Price and Yield:</w:t>
            </w: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99-24 / 4.181%</w:t>
            </w:r>
          </w:p>
        </w:tc>
        <w:tc>
          <w:tcPr>
            <w:tcW w:w="14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February 1 and August 1, commencing February 1, 2027</w:t>
            </w:r>
          </w:p>
        </w:tc>
      </w:tr>
      <w:tr>
        <w:trPr>
          <w:trHeight w:val="30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Prior to January 1, 2032 (one month prior to the Maturity Date of the Notes), make-whole redemption at</w:t>
            </w:r>
          </w:p>
        </w:tc>
      </w:tr>
      <w:tr>
        <w:trPr>
          <w:trHeight w:val="216"/>
        </w:trPr>
        <w:tc>
          <w:tcPr>
            <w:tcW w:w="3180" w:type="dxa"/>
            <w:vAlign w:val="bottom"/>
          </w:tcPr>
          <w:p>
            <w:pPr>
              <w:spacing w:after="0"/>
              <w:rPr>
                <w:sz w:val="18"/>
                <w:szCs w:val="18"/>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Treasury Rate (as defined) plus 15 basis points, plus accrued and unpaid interest to, but excluding,</w:t>
            </w:r>
          </w:p>
        </w:tc>
      </w:tr>
      <w:tr>
        <w:trPr>
          <w:trHeight w:val="216"/>
        </w:trPr>
        <w:tc>
          <w:tcPr>
            <w:tcW w:w="3180" w:type="dxa"/>
            <w:vAlign w:val="bottom"/>
          </w:tcPr>
          <w:p>
            <w:pPr>
              <w:spacing w:after="0"/>
              <w:rPr>
                <w:sz w:val="18"/>
                <w:szCs w:val="18"/>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redemption date. On and after January 1, 2032 (one month prior to the Maturity Date of the Notes),</w:t>
            </w:r>
          </w:p>
        </w:tc>
      </w:tr>
      <w:tr>
        <w:trPr>
          <w:trHeight w:val="216"/>
        </w:trPr>
        <w:tc>
          <w:tcPr>
            <w:tcW w:w="3180" w:type="dxa"/>
            <w:vAlign w:val="bottom"/>
          </w:tcPr>
          <w:p>
            <w:pPr>
              <w:spacing w:after="0"/>
              <w:rPr>
                <w:sz w:val="18"/>
                <w:szCs w:val="18"/>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plus accrued and unpaid interest to, but</w:t>
            </w:r>
          </w:p>
        </w:tc>
      </w:tr>
      <w:tr>
        <w:trPr>
          <w:trHeight w:val="216"/>
        </w:trPr>
        <w:tc>
          <w:tcPr>
            <w:tcW w:w="3180" w:type="dxa"/>
            <w:vAlign w:val="bottom"/>
          </w:tcPr>
          <w:p>
            <w:pPr>
              <w:spacing w:after="0"/>
              <w:rPr>
                <w:sz w:val="18"/>
                <w:szCs w:val="18"/>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excluding, the redemption date. See the preliminary prospectus supplement for the definition of</w:t>
            </w:r>
          </w:p>
        </w:tc>
      </w:tr>
      <w:tr>
        <w:trPr>
          <w:trHeight w:val="216"/>
        </w:trPr>
        <w:tc>
          <w:tcPr>
            <w:tcW w:w="3180" w:type="dxa"/>
            <w:vAlign w:val="bottom"/>
          </w:tcPr>
          <w:p>
            <w:pPr>
              <w:spacing w:after="0"/>
              <w:rPr>
                <w:sz w:val="18"/>
                <w:szCs w:val="18"/>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“Treasury Rate” and for further terms and provisions applicable to optional redemption and the</w:t>
            </w:r>
          </w:p>
        </w:tc>
      </w:tr>
      <w:tr>
        <w:trPr>
          <w:trHeight w:val="234"/>
        </w:trPr>
        <w:tc>
          <w:tcPr>
            <w:tcW w:w="3180" w:type="dxa"/>
            <w:vAlign w:val="bottom"/>
          </w:tcPr>
          <w:p>
            <w:pPr>
              <w:spacing w:after="0"/>
              <w:rPr>
                <w:sz w:val="20"/>
                <w:szCs w:val="20"/>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calculation of the redemption price.</w:t>
            </w:r>
          </w:p>
        </w:tc>
      </w:tr>
      <w:tr>
        <w:trPr>
          <w:trHeight w:val="32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June 24, 2026</w:t>
            </w:r>
          </w:p>
        </w:tc>
      </w:tr>
    </w:tbl>
    <w:p>
      <w:pPr>
        <w:sectPr>
          <w:pgSz w:w="11900" w:h="16838" w:orient="portrait"/>
          <w:cols w:equalWidth="0" w:num="1">
            <w:col w:w="11020"/>
          </w:cols>
          <w:pgMar w:left="440" w:top="225"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Settlement Date:</w:t>
      </w:r>
    </w:p>
    <w:p>
      <w:pPr>
        <w:spacing w:after="0" w:line="20" w:lineRule="exact"/>
        <w:rPr>
          <w:sz w:val="20"/>
          <w:szCs w:val="20"/>
          <w:color w:val="auto"/>
        </w:rPr>
      </w:pPr>
      <w:r>
        <w:rPr>
          <w:sz w:val="20"/>
          <w:szCs w:val="20"/>
          <w:color w:val="auto"/>
        </w:rPr>
        <w:br w:type="column"/>
      </w:r>
    </w:p>
    <w:p>
      <w:pPr>
        <w:ind w:right="20"/>
        <w:spacing w:after="0" w:line="274" w:lineRule="auto"/>
        <w:rPr>
          <w:sz w:val="20"/>
          <w:szCs w:val="20"/>
          <w:color w:val="auto"/>
        </w:rPr>
      </w:pPr>
      <w:r>
        <w:rPr>
          <w:rFonts w:ascii="Times New Roman" w:cs="Times New Roman" w:eastAsia="Times New Roman" w:hAnsi="Times New Roman"/>
          <w:sz w:val="17"/>
          <w:szCs w:val="17"/>
          <w:color w:val="auto"/>
        </w:rPr>
        <w:t>July 6, 2026 (T+7); under Rule 15c6-1 under the Securities Exchange Act of 1934, as amended, trades in the secondary market generally are required to settle in one business day, unless the parties to that trade expressly agree otherwise. Accordingly, purchasers who wish to trade the Notes prior to the date that is one business day preceding the Settlement Date will be required, by virtue of the fact that the Notes initially will settle on a delayed basis, to specify an alternate settlement cycle at the time of any such trade to prevent a failed settlement, and should consult their own advisors with respect to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-932180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2704" w:space="720"/>
            <w:col w:w="7560"/>
          </w:cols>
          <w:pgMar w:left="436" w:top="266" w:right="479" w:bottom="1440" w:gutter="0" w:footer="0" w:header="0"/>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30225V AW7</w:t>
      </w:r>
    </w:p>
    <w:p>
      <w:pPr>
        <w:spacing w:after="0" w:line="124" w:lineRule="exact"/>
        <w:rPr>
          <w:sz w:val="20"/>
          <w:szCs w:val="20"/>
          <w:color w:val="auto"/>
        </w:rPr>
      </w:pPr>
    </w:p>
    <w:p>
      <w:pPr>
        <w:sectPr>
          <w:pgSz w:w="11900" w:h="16838" w:orient="portrait"/>
          <w:cols w:equalWidth="0" w:num="2">
            <w:col w:w="2704" w:space="720"/>
            <w:col w:w="756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US30225VAW72</w:t>
      </w:r>
    </w:p>
    <w:p>
      <w:pPr>
        <w:spacing w:after="0" w:line="125" w:lineRule="exact"/>
        <w:rPr>
          <w:sz w:val="20"/>
          <w:szCs w:val="20"/>
          <w:color w:val="auto"/>
        </w:rPr>
      </w:pPr>
    </w:p>
    <w:p>
      <w:pPr>
        <w:sectPr>
          <w:pgSz w:w="11900" w:h="16838" w:orient="portrait"/>
          <w:cols w:equalWidth="0" w:num="2">
            <w:col w:w="2704" w:space="720"/>
            <w:col w:w="756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Baa2 / BBB+ (Moody’s/S&amp;P)</w:t>
      </w:r>
    </w:p>
    <w:p>
      <w:pPr>
        <w:spacing w:after="0" w:line="124" w:lineRule="exact"/>
        <w:rPr>
          <w:sz w:val="20"/>
          <w:szCs w:val="20"/>
          <w:color w:val="auto"/>
        </w:rPr>
      </w:pPr>
    </w:p>
    <w:p>
      <w:pPr>
        <w:sectPr>
          <w:pgSz w:w="11900" w:h="16838" w:orient="portrait"/>
          <w:cols w:equalWidth="0" w:num="2">
            <w:col w:w="2704" w:space="720"/>
            <w:col w:w="756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Minimum 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5" w:lineRule="exact"/>
        <w:rPr>
          <w:sz w:val="20"/>
          <w:szCs w:val="20"/>
          <w:color w:val="auto"/>
        </w:rPr>
      </w:pPr>
    </w:p>
    <w:p>
      <w:pPr>
        <w:sectPr>
          <w:pgSz w:w="11900" w:h="16838" w:orient="portrait"/>
          <w:cols w:equalWidth="0" w:num="2">
            <w:col w:w="2704" w:space="720"/>
            <w:col w:w="756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Joint Bookrunners: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Bancorp Investments, Inc.</w:t>
      </w:r>
    </w:p>
    <w:p>
      <w:pPr>
        <w:spacing w:after="0" w:line="120" w:lineRule="exact"/>
        <w:rPr>
          <w:sz w:val="20"/>
          <w:szCs w:val="20"/>
          <w:color w:val="auto"/>
        </w:rPr>
      </w:pPr>
    </w:p>
    <w:p>
      <w:pPr>
        <w:sectPr>
          <w:pgSz w:w="11900" w:h="16838" w:orient="portrait"/>
          <w:cols w:equalWidth="0" w:num="2">
            <w:col w:w="2704" w:space="720"/>
            <w:col w:w="756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Zions Direct,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BOK Financial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Samuel A. Ramirez &amp; Company, Inc.</w:t>
      </w:r>
    </w:p>
    <w:p>
      <w:pPr>
        <w:spacing w:after="0" w:line="200" w:lineRule="exact"/>
        <w:rPr>
          <w:sz w:val="20"/>
          <w:szCs w:val="20"/>
          <w:color w:val="auto"/>
        </w:rPr>
      </w:pPr>
    </w:p>
    <w:p>
      <w:pPr>
        <w:sectPr>
          <w:pgSz w:w="11900" w:h="16838" w:orient="portrait"/>
          <w:cols w:equalWidth="0" w:num="2">
            <w:col w:w="2704" w:space="720"/>
            <w:col w:w="7560"/>
          </w:cols>
          <w:pgMar w:left="436" w:top="266" w:right="479" w:bottom="1440" w:gutter="0" w:footer="0" w:header="0"/>
          <w:type w:val="continuous"/>
        </w:sectPr>
      </w:pPr>
    </w:p>
    <w:p>
      <w:pPr>
        <w:spacing w:after="0" w:line="55"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A securities rating is not a recommendation to buy, sell or hold securities and may be revised or withdrawn at any time.</w:t>
      </w:r>
    </w:p>
    <w:p>
      <w:pPr>
        <w:spacing w:after="0" w:line="225"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Wells Fargo Securities, LLC toll free at 1-800-645-3751, J.P. Morgan Securities LLC at 1-212-834-4533, or Truist Securities, Inc. toll free at 1-800-685-4786.</w:t>
      </w:r>
    </w:p>
    <w:sectPr>
      <w:pgSz w:w="11900" w:h="16838" w:orient="portrait"/>
      <w:cols w:equalWidth="0" w:num="1">
        <w:col w:w="10984"/>
      </w:cols>
      <w:pgMar w:left="436" w:top="26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2026-06-24T15:35:08Z</dcterms:created>
  <dcterms:modified xsi:type="dcterms:W3CDTF">2026-06-24T15:35:08Z</dcterms:modified>
</cp:coreProperties>
</file>