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001-32269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EXTRA SPACE STORAGE INC. </w:t>
      </w:r>
    </w:p>
    <w:p>
      <w:pPr>
        <w:pStyle w:val="TextBody"/>
        <w:spacing w:lineRule="auto" w:line="288" w:before="0" w:after="0"/>
        <w:jc w:val="center"/>
        <w:rPr/>
      </w:pPr>
      <w:r>
        <w:rPr>
          <w:rFonts w:ascii="Times New Roman;sans-serif" w:hAnsi="Times New Roman;sans-serif"/>
          <w:b/>
          <w:color w:val="000000"/>
          <w:sz w:val="20"/>
        </w:rPr>
        <w:t>(Exact name of registrant as specified in its charter)</w:t>
      </w: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181" w:type="dxa"/>
        <w:jc w:val="left"/>
        <w:tblInd w:w="0" w:type="dxa"/>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20-1076777</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2795 East Cottonwood Parkway, Suite 300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Salt Lake City, Utah 84121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(801) 365-4600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Securities Exchange Act of 1934</w:t>
      </w:r>
    </w:p>
    <w:tbl>
      <w:tblPr>
        <w:tblW w:w="8024" w:type="dxa"/>
        <w:jc w:val="center"/>
        <w:tblInd w:w="0" w:type="dxa"/>
        <w:tblCellMar>
          <w:top w:w="28" w:type="dxa"/>
          <w:left w:w="28" w:type="dxa"/>
          <w:bottom w:w="28" w:type="dxa"/>
          <w:right w:w="28" w:type="dxa"/>
        </w:tblCellMar>
      </w:tblPr>
      <w:tblGrid>
        <w:gridCol w:w="986"/>
        <w:gridCol w:w="867"/>
        <w:gridCol w:w="877"/>
        <w:gridCol w:w="489"/>
        <w:gridCol w:w="489"/>
        <w:gridCol w:w="491"/>
        <w:gridCol w:w="1118"/>
        <w:gridCol w:w="1118"/>
        <w:gridCol w:w="1589"/>
      </w:tblGrid>
      <w:tr>
        <w:trPr/>
        <w:tc>
          <w:tcPr>
            <w:tcW w:w="98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EXR</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spacing w:before="0" w:after="0"/>
        <w:jc w:val="center"/>
        <w:rPr/>
      </w:pPr>
      <w:r>
        <w:rPr/>
      </w:r>
    </w:p>
    <w:p>
      <w:pPr>
        <w:pStyle w:val="TextBody"/>
        <w:spacing w:lineRule="auto" w:line="288" w:before="0" w:after="0"/>
        <w:jc w:val="center"/>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spacing w:before="0" w:after="0"/>
        <w:ind w:left="0" w:right="0" w:firstLine="495"/>
        <w:rPr/>
      </w:pPr>
      <w:r>
        <w:rPr/>
      </w:r>
    </w:p>
    <w:p>
      <w:pPr>
        <w:pStyle w:val="TextBody"/>
        <w:spacing w:lineRule="auto" w:line="288" w:before="0" w:after="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spacing w:before="0" w:after="0"/>
        <w:ind w:left="0" w:right="0" w:firstLine="495"/>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spacing w:before="0" w:after="0"/>
        <w:ind w:left="0" w:right="0" w:firstLine="495"/>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par value $0.01 per share, as of May 1, 2023, was 135,049,531.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4e6fed1e04304add9e6b4f59c0e63d00_7">
        <w:r>
          <w:rPr>
            <w:rStyle w:val="InternetLink"/>
            <w:rFonts w:ascii="Times New Roman;sans-serif" w:hAnsi="Times New Roman;sans-serif"/>
            <w:b/>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562"/>
        <w:gridCol w:w="3132"/>
        <w:gridCol w:w="3137"/>
        <w:gridCol w:w="109"/>
        <w:gridCol w:w="109"/>
        <w:gridCol w:w="156"/>
      </w:tblGrid>
      <w:tr>
        <w:trPr/>
        <w:tc>
          <w:tcPr>
            <w:tcW w:w="3562" w:type="dxa"/>
            <w:tcBorders/>
            <w:shd w:fill="auto" w:val="clear"/>
            <w:vAlign w:val="center"/>
          </w:tcPr>
          <w:p>
            <w:pPr>
              <w:pStyle w:val="TableContents"/>
              <w:spacing w:before="0" w:after="283"/>
              <w:rPr>
                <w:sz w:val="4"/>
                <w:szCs w:val="4"/>
              </w:rPr>
            </w:pPr>
            <w:r>
              <w:rPr>
                <w:sz w:val="4"/>
                <w:szCs w:val="4"/>
              </w:rPr>
            </w:r>
          </w:p>
        </w:tc>
        <w:tc>
          <w:tcPr>
            <w:tcW w:w="3132" w:type="dxa"/>
            <w:tcBorders/>
            <w:shd w:fill="auto" w:val="clear"/>
            <w:vAlign w:val="center"/>
          </w:tcPr>
          <w:p>
            <w:pPr>
              <w:pStyle w:val="TableContents"/>
              <w:spacing w:before="0" w:after="283"/>
              <w:rPr>
                <w:sz w:val="4"/>
                <w:szCs w:val="4"/>
              </w:rPr>
            </w:pPr>
            <w:r>
              <w:rPr>
                <w:sz w:val="4"/>
                <w:szCs w:val="4"/>
              </w:rPr>
            </w:r>
          </w:p>
        </w:tc>
        <w:tc>
          <w:tcPr>
            <w:tcW w:w="3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0">
              <w:r>
                <w:rPr>
                  <w:rStyle w:val="InternetLink"/>
                  <w:rFonts w:ascii="Times New Roman;sans-serif" w:hAnsi="Times New Roman;sans-serif"/>
                  <w:b/>
                  <w:color w:val="0000FF"/>
                  <w:sz w:val="20"/>
                  <w:u w:val="single"/>
                </w:rPr>
                <w:t>STATEMENT ON FORWARD-LOOKING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0">
              <w:r>
                <w:rPr>
                  <w:rStyle w:val="InternetLink"/>
                  <w:rFonts w:ascii="Times New Roman;sans-serif" w:hAnsi="Times New Roman;sans-serif"/>
                  <w:b w:val="false"/>
                  <w:color w:val="0000FF"/>
                  <w:sz w:val="20"/>
                  <w:u w:val="single"/>
                </w:rPr>
                <w:t>4</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3">
              <w:r>
                <w:rPr>
                  <w:rStyle w:val="InternetLink"/>
                  <w:rFonts w:ascii="Times New Roman;sans-serif" w:hAnsi="Times New Roman;sans-serif"/>
                  <w:b/>
                  <w:color w:val="0000FF"/>
                  <w:sz w:val="20"/>
                  <w:u w:val="single"/>
                </w:rPr>
                <w:t>PART I. FINANCIAL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3">
              <w:r>
                <w:rPr>
                  <w:rStyle w:val="InternetLink"/>
                  <w:rFonts w:ascii="Times New Roman;sans-serif" w:hAnsi="Times New Roman;sans-serif"/>
                  <w:b w:val="false"/>
                  <w:color w:val="0000FF"/>
                  <w:sz w:val="20"/>
                  <w:u w:val="single"/>
                </w:rPr>
                <w:t>6</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6">
              <w:r>
                <w:rPr>
                  <w:rStyle w:val="InternetLink"/>
                  <w:rFonts w:ascii="Times New Roman;sans-serif" w:hAnsi="Times New Roman;sans-serif"/>
                  <w:b/>
                  <w:color w:val="0000FF"/>
                  <w:sz w:val="20"/>
                  <w:u w:val="single"/>
                </w:rPr>
                <w:t>ITEM 1. FINANCIAL STATEMENTS (unaudited)</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6">
              <w:r>
                <w:rPr>
                  <w:rStyle w:val="InternetLink"/>
                  <w:rFonts w:ascii="Times New Roman;sans-serif" w:hAnsi="Times New Roman;sans-serif"/>
                  <w:b w:val="false"/>
                  <w:color w:val="0000FF"/>
                  <w:sz w:val="20"/>
                  <w:u w:val="single"/>
                </w:rPr>
                <w:t>6</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34">
              <w:r>
                <w:rPr>
                  <w:rStyle w:val="InternetLink"/>
                  <w:rFonts w:ascii="Times New Roman;sans-serif" w:hAnsi="Times New Roman;sans-serif"/>
                  <w:b/>
                  <w:color w:val="0000FF"/>
                  <w:sz w:val="20"/>
                  <w:u w:val="single"/>
                </w:rPr>
                <w:t>NOTES TO CONDENSED CONSOLIDATED FINANCIAL STATEMENTS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34">
              <w:r>
                <w:rPr>
                  <w:rStyle w:val="InternetLink"/>
                  <w:rFonts w:ascii="Times New Roman;sans-serif" w:hAnsi="Times New Roman;sans-serif"/>
                  <w:b w:val="false"/>
                  <w:color w:val="0000FF"/>
                  <w:sz w:val="20"/>
                  <w:u w:val="single"/>
                </w:rPr>
                <w:t>12</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810"/>
              <w:jc w:val="left"/>
              <w:rPr/>
            </w:pPr>
            <w:hyperlink w:anchor="i4e6fed1e04304add9e6b4f59c0e63d00_94">
              <w:r>
                <w:rPr>
                  <w:rStyle w:val="InternetLink"/>
                  <w:rFonts w:ascii="Times New Roman;sans-serif" w:hAnsi="Times New Roman;sans-serif"/>
                  <w:b/>
                  <w:color w:val="0000FF"/>
                  <w:sz w:val="20"/>
                  <w:u w:val="single"/>
                </w:rPr>
                <w:t>ITEM 2. MANAGEMENT’S DISCUSSION AND ANALYSIS OF FINANCIAL CONDITION AND RESULTS OF OPERATIONS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94">
              <w:r>
                <w:rPr>
                  <w:rStyle w:val="InternetLink"/>
                  <w:rFonts w:ascii="Times New Roman;sans-serif" w:hAnsi="Times New Roman;sans-serif"/>
                  <w:b w:val="false"/>
                  <w:color w:val="0000FF"/>
                  <w:sz w:val="20"/>
                  <w:u w:val="single"/>
                </w:rPr>
                <w:t>29</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27">
              <w:r>
                <w:rPr>
                  <w:rStyle w:val="InternetLink"/>
                  <w:rFonts w:ascii="Times New Roman;sans-serif" w:hAnsi="Times New Roman;sans-serif"/>
                  <w:b/>
                  <w:color w:val="0000FF"/>
                  <w:sz w:val="20"/>
                  <w:u w:val="single"/>
                </w:rPr>
                <w:t>ITEM 3. QUANTITATIVE AND QUALITATIVE DISCLOSURES ABOUT MARKET RISK</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27">
              <w:r>
                <w:rPr>
                  <w:rStyle w:val="InternetLink"/>
                  <w:rFonts w:ascii="Times New Roman;sans-serif" w:hAnsi="Times New Roman;sans-serif"/>
                  <w:b w:val="false"/>
                  <w:color w:val="0000FF"/>
                  <w:sz w:val="20"/>
                  <w:u w:val="single"/>
                </w:rPr>
                <w:t>38</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30">
              <w:r>
                <w:rPr>
                  <w:rStyle w:val="InternetLink"/>
                  <w:rFonts w:ascii="Times New Roman;sans-serif" w:hAnsi="Times New Roman;sans-serif"/>
                  <w:b/>
                  <w:color w:val="0000FF"/>
                  <w:sz w:val="20"/>
                  <w:u w:val="single"/>
                </w:rPr>
                <w:t>ITEM 4. CONTROLS AND PROCEDURES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30">
              <w:r>
                <w:rPr>
                  <w:rStyle w:val="InternetLink"/>
                  <w:rFonts w:ascii="Times New Roman;sans-serif" w:hAnsi="Times New Roman;sans-serif"/>
                  <w:b w:val="false"/>
                  <w:color w:val="0000FF"/>
                  <w:sz w:val="20"/>
                  <w:u w:val="single"/>
                </w:rPr>
                <w:t>39</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33">
              <w:r>
                <w:rPr>
                  <w:rStyle w:val="InternetLink"/>
                  <w:rFonts w:ascii="Times New Roman;sans-serif" w:hAnsi="Times New Roman;sans-serif"/>
                  <w:b/>
                  <w:color w:val="0000FF"/>
                  <w:sz w:val="20"/>
                  <w:u w:val="single"/>
                </w:rPr>
                <w:t>PART II. 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33">
              <w:r>
                <w:rPr>
                  <w:rStyle w:val="InternetLink"/>
                  <w:rFonts w:ascii="Times New Roman;sans-serif" w:hAnsi="Times New Roman;sans-serif"/>
                  <w:b w:val="false"/>
                  <w:color w:val="0000FF"/>
                  <w:sz w:val="20"/>
                  <w:u w:val="single"/>
                </w:rPr>
                <w:t>40</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36">
              <w:r>
                <w:rPr>
                  <w:rStyle w:val="InternetLink"/>
                  <w:rFonts w:ascii="Times New Roman;sans-serif" w:hAnsi="Times New Roman;sans-serif"/>
                  <w:b/>
                  <w:color w:val="0000FF"/>
                  <w:sz w:val="20"/>
                  <w:u w:val="single"/>
                </w:rPr>
                <w:t>ITEM 1. LEGAL PROCEEDINGS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36">
              <w:r>
                <w:rPr>
                  <w:rStyle w:val="InternetLink"/>
                  <w:rFonts w:ascii="Times New Roman;sans-serif" w:hAnsi="Times New Roman;sans-serif"/>
                  <w:b w:val="false"/>
                  <w:color w:val="0000FF"/>
                  <w:sz w:val="20"/>
                  <w:u w:val="single"/>
                </w:rPr>
                <w:t>40</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39">
              <w:r>
                <w:rPr>
                  <w:rStyle w:val="InternetLink"/>
                  <w:rFonts w:ascii="Times New Roman;sans-serif" w:hAnsi="Times New Roman;sans-serif"/>
                  <w:b/>
                  <w:color w:val="0000FF"/>
                  <w:sz w:val="20"/>
                  <w:u w:val="single"/>
                </w:rPr>
                <w:t>ITEM 1A. RISK FACTORS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39">
              <w:r>
                <w:rPr>
                  <w:rStyle w:val="InternetLink"/>
                  <w:rFonts w:ascii="Times New Roman;sans-serif" w:hAnsi="Times New Roman;sans-serif"/>
                  <w:b w:val="false"/>
                  <w:color w:val="0000FF"/>
                  <w:sz w:val="20"/>
                  <w:u w:val="single"/>
                </w:rPr>
                <w:t>40</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42">
              <w:r>
                <w:rPr>
                  <w:rStyle w:val="InternetLink"/>
                  <w:rFonts w:ascii="Times New Roman;sans-serif" w:hAnsi="Times New Roman;sans-serif"/>
                  <w:b/>
                  <w:color w:val="0000FF"/>
                  <w:sz w:val="20"/>
                  <w:u w:val="single"/>
                </w:rPr>
                <w:t>ITEM 2. UNREGISTERED SALES OF EQUITY SECURITIES AND USE OF PROCEEDS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42">
              <w:r>
                <w:rPr>
                  <w:rStyle w:val="InternetLink"/>
                  <w:rFonts w:ascii="Times New Roman;sans-serif" w:hAnsi="Times New Roman;sans-serif"/>
                  <w:b w:val="false"/>
                  <w:color w:val="0000FF"/>
                  <w:sz w:val="20"/>
                  <w:u w:val="single"/>
                </w:rPr>
                <w:t>43</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45">
              <w:r>
                <w:rPr>
                  <w:rStyle w:val="InternetLink"/>
                  <w:rFonts w:ascii="Times New Roman;sans-serif" w:hAnsi="Times New Roman;sans-serif"/>
                  <w:b/>
                  <w:color w:val="0000FF"/>
                  <w:sz w:val="20"/>
                  <w:u w:val="single"/>
                </w:rPr>
                <w:t>ITEM 3. DEFAULTS UPON SENIOR SECURITIES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45">
              <w:r>
                <w:rPr>
                  <w:rStyle w:val="InternetLink"/>
                  <w:rFonts w:ascii="Times New Roman;sans-serif" w:hAnsi="Times New Roman;sans-serif"/>
                  <w:b w:val="false"/>
                  <w:color w:val="0000FF"/>
                  <w:sz w:val="20"/>
                  <w:u w:val="single"/>
                </w:rPr>
                <w:t>43</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48">
              <w:r>
                <w:rPr>
                  <w:rStyle w:val="InternetLink"/>
                  <w:rFonts w:ascii="Times New Roman;sans-serif" w:hAnsi="Times New Roman;sans-serif"/>
                  <w:b/>
                  <w:color w:val="0000FF"/>
                  <w:sz w:val="20"/>
                  <w:u w:val="single"/>
                </w:rPr>
                <w:t>ITEM 4. MINE SAFETY DISCLOSURES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48">
              <w:r>
                <w:rPr>
                  <w:rStyle w:val="InternetLink"/>
                  <w:rFonts w:ascii="Times New Roman;sans-serif" w:hAnsi="Times New Roman;sans-serif"/>
                  <w:b w:val="false"/>
                  <w:color w:val="0000FF"/>
                  <w:sz w:val="20"/>
                  <w:u w:val="single"/>
                </w:rPr>
                <w:t>43</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51">
              <w:r>
                <w:rPr>
                  <w:rStyle w:val="InternetLink"/>
                  <w:rFonts w:ascii="Times New Roman;sans-serif" w:hAnsi="Times New Roman;sans-serif"/>
                  <w:b/>
                  <w:color w:val="0000FF"/>
                  <w:sz w:val="20"/>
                  <w:u w:val="single"/>
                </w:rPr>
                <w:t>ITEM 5. OTHER INFORMATION</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51">
              <w:r>
                <w:rPr>
                  <w:rStyle w:val="InternetLink"/>
                  <w:rFonts w:ascii="Times New Roman;sans-serif" w:hAnsi="Times New Roman;sans-serif"/>
                  <w:b w:val="false"/>
                  <w:color w:val="0000FF"/>
                  <w:sz w:val="20"/>
                  <w:u w:val="single"/>
                </w:rPr>
                <w:t>43</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54">
              <w:r>
                <w:rPr>
                  <w:rStyle w:val="InternetLink"/>
                  <w:rFonts w:ascii="Times New Roman;sans-serif" w:hAnsi="Times New Roman;sans-serif"/>
                  <w:b/>
                  <w:color w:val="0000FF"/>
                  <w:sz w:val="20"/>
                  <w:u w:val="single"/>
                </w:rPr>
                <w:t>ITEM 6. EXHIBITS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54">
              <w:r>
                <w:rPr>
                  <w:rStyle w:val="InternetLink"/>
                  <w:rFonts w:ascii="Times New Roman;sans-serif" w:hAnsi="Times New Roman;sans-serif"/>
                  <w:b w:val="false"/>
                  <w:color w:val="0000FF"/>
                  <w:sz w:val="20"/>
                  <w:u w:val="single"/>
                </w:rPr>
                <w:t>44</w:t>
              </w:r>
            </w:hyperlink>
          </w:p>
        </w:tc>
      </w:tr>
      <w:tr>
        <w:trPr/>
        <w:tc>
          <w:tcPr>
            <w:tcW w:w="983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e6fed1e04304add9e6b4f59c0e63d00_157">
              <w:r>
                <w:rPr>
                  <w:rStyle w:val="InternetLink"/>
                  <w:rFonts w:ascii="Times New Roman;sans-serif" w:hAnsi="Times New Roman;sans-serif"/>
                  <w:b/>
                  <w:color w:val="0000FF"/>
                  <w:sz w:val="20"/>
                  <w:u w:val="single"/>
                </w:rPr>
                <w:t>SIGNATURES</w:t>
              </w:r>
            </w:hyperlink>
          </w:p>
        </w:tc>
        <w:tc>
          <w:tcPr>
            <w:tcW w:w="374"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e6fed1e04304add9e6b4f59c0e63d00_157">
              <w:r>
                <w:rPr>
                  <w:rStyle w:val="InternetLink"/>
                  <w:rFonts w:ascii="Times New Roman;sans-serif" w:hAnsi="Times New Roman;sans-serif"/>
                  <w:b w:val="false"/>
                  <w:color w:val="0000FF"/>
                  <w:sz w:val="20"/>
                  <w:u w:val="single"/>
                </w:rPr>
                <w:t>45</w:t>
              </w:r>
            </w:hyperlink>
          </w:p>
        </w:tc>
      </w:tr>
    </w:tbl>
    <w:p>
      <w:pPr>
        <w:pStyle w:val="TextBody"/>
        <w:spacing w:before="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STATEMENT ON FORWARD-LOOKING INFORMATION</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Certain information presented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pStyle w:val="TextBody"/>
        <w:spacing w:lineRule="auto" w:line="288" w:before="0" w:after="0"/>
        <w:ind w:left="0" w:right="0" w:firstLine="495"/>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adverse changes in general economic conditions, the real estate industry and the markets in which we operate;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failure to close pending acquisitions and developments on expected terms, or at all;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risks associated with our ability to consummate the mergers with Life Storage, Inc. (“Life Storage”) and the timing and closing of the mergers including, among other things, our ability to obtain stockholder approval required to consummate the mergers, the satisfaction or waiver of other conditions to closing in the merger agreement, unanticipated difficulties or expenditures relating to the mergers, potential difficulties in employee retention as a result of the mergers, the occurrence of any event, change or other circumstances that could give rise to the termination of the mergers and the outcome of legal proceedings instituted against us, our directors and others related to the mergers;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effect of competition from new and existing stores or other storage alternatives, which could cause rents and occupancy rates to decline;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potential liability for uninsured losses and environmental contamination;</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disruptions in credit and financial markets and resulting difficulties in raising capital or obtaining credit at reasonable rates or at all, which could impede our ability to grow;</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impacts from the COVID-19 pandemic or the future outbreak of other highly infectious or contagious diseases, including reduced demand for self-storage space and ancillary products and services such as tenant reinsurance, and potential decreases in occupancy and rental rates and staffing levels, which could adversely affect our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reliance on information technologies, which are vulnerable to, among other things, attack from computer viruses and malware, hacking, cyberattacks and other unauthorized access or misuse, any of which could adversely affect our business and results;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increased interest rates;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reductions in asset valuations and related impairment charges;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lack of sole decision-making authority with respect to our joint venture investments;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ability to recover losses under our insurance policies;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effect of recent or future changes to U.S. tax laws;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failure to maintain our REIT status for U.S. federal income tax purposes;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economic uncertainty due to the impact of natural disasters, war or terrorism, which could adversely affect our business plan.</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jc w:val="center"/>
        <w:rPr/>
      </w:pPr>
      <w:r>
        <w:rPr/>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disclaim any duty or obligation to update or revise any forward-looking statements set forth in this report to reflect new information, future events or otherwise.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802"/>
        <w:gridCol w:w="2089"/>
        <w:gridCol w:w="2098"/>
        <w:gridCol w:w="211"/>
        <w:gridCol w:w="1081"/>
        <w:gridCol w:w="109"/>
        <w:gridCol w:w="109"/>
        <w:gridCol w:w="109"/>
        <w:gridCol w:w="109"/>
        <w:gridCol w:w="216"/>
        <w:gridCol w:w="1111"/>
        <w:gridCol w:w="161"/>
      </w:tblGrid>
      <w:tr>
        <w:trPr/>
        <w:tc>
          <w:tcPr>
            <w:tcW w:w="2802" w:type="dxa"/>
            <w:tcBorders/>
            <w:shd w:fill="auto" w:val="clear"/>
            <w:vAlign w:val="center"/>
          </w:tcPr>
          <w:p>
            <w:pPr>
              <w:pStyle w:val="TableContents"/>
              <w:spacing w:before="0" w:after="283"/>
              <w:rPr>
                <w:sz w:val="4"/>
                <w:szCs w:val="4"/>
              </w:rPr>
            </w:pPr>
            <w:r>
              <w:rPr>
                <w:sz w:val="4"/>
                <w:szCs w:val="4"/>
              </w:rPr>
            </w:r>
          </w:p>
        </w:tc>
        <w:tc>
          <w:tcPr>
            <w:tcW w:w="2089"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9,991,446 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221,725 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582,412 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debt securities and notes receivable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8" w:type="dxa"/>
            <w:gridSpan w:val="3"/>
            <w:tcBorders/>
            <w:shd w:fill="auto" w:val="cle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Noncontrolling Interests and Equity:</w:t>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1,288,555 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term loans, net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2,672,668 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2,340,116 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Unsecured senior notes, net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3,258,329 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2,757,791 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lines of credit</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distributions in unconsolidated real estate ventures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171,680 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8,089,184 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and Equity:</w:t>
            </w:r>
          </w:p>
        </w:tc>
        <w:tc>
          <w:tcPr>
            <w:tcW w:w="14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 stockholders' equity:</w:t>
            </w:r>
          </w:p>
        </w:tc>
        <w:tc>
          <w:tcPr>
            <w:tcW w:w="14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50,000,000 shares authorized, no shares issued or outstanding</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500,000,000 shares authorized, 135,007,280 and 133,921,020 shares issued and outstanding at March 31, 2023 and December 31, 2022, respectively</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3,345,332 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(135,872)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Extra Space Storage Inc.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3,259,597 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Noncontrolling interest represented by Preferred Operating Partnership units, net </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 in Operating Partnership, net and other noncontrolling interests</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557,175 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noncontrolling interests and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4,078,274 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noncontrolling interests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12,132,669 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12,167,458 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2252"/>
        <w:gridCol w:w="1863"/>
        <w:gridCol w:w="1867"/>
        <w:gridCol w:w="242"/>
        <w:gridCol w:w="876"/>
        <w:gridCol w:w="126"/>
        <w:gridCol w:w="126"/>
        <w:gridCol w:w="126"/>
        <w:gridCol w:w="126"/>
        <w:gridCol w:w="242"/>
        <w:gridCol w:w="876"/>
        <w:gridCol w:w="126"/>
        <w:gridCol w:w="109"/>
        <w:gridCol w:w="109"/>
        <w:gridCol w:w="109"/>
        <w:gridCol w:w="109"/>
        <w:gridCol w:w="109"/>
        <w:gridCol w:w="109"/>
        <w:gridCol w:w="109"/>
        <w:gridCol w:w="109"/>
        <w:gridCol w:w="109"/>
        <w:gridCol w:w="109"/>
        <w:gridCol w:w="109"/>
        <w:gridCol w:w="158"/>
      </w:tblGrid>
      <w:tr>
        <w:trPr/>
        <w:tc>
          <w:tcPr>
            <w:tcW w:w="2252" w:type="dxa"/>
            <w:tcBorders/>
            <w:shd w:fill="auto" w:val="clear"/>
            <w:vAlign w:val="center"/>
          </w:tcPr>
          <w:p>
            <w:pPr>
              <w:pStyle w:val="TableContents"/>
              <w:spacing w:before="0" w:after="283"/>
              <w:rPr>
                <w:sz w:val="4"/>
                <w:szCs w:val="4"/>
              </w:rPr>
            </w:pPr>
            <w:r>
              <w:rPr>
                <w:sz w:val="4"/>
                <w:szCs w:val="4"/>
              </w:rPr>
            </w:r>
          </w:p>
        </w:tc>
        <w:tc>
          <w:tcPr>
            <w:tcW w:w="1863"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3" w:type="dxa"/>
            <w:gridSpan w:val="6"/>
            <w:tcBorders/>
            <w:shd w:fill="auto" w:val="clear"/>
          </w:tcPr>
          <w:p>
            <w:pPr>
              <w:pStyle w:val="TableContents"/>
              <w:spacing w:before="0" w:after="283"/>
              <w:rPr>
                <w:sz w:val="4"/>
                <w:szCs w:val="4"/>
              </w:rPr>
            </w:pPr>
            <w:r>
              <w:rPr>
                <w:sz w:val="4"/>
                <w:szCs w:val="4"/>
              </w:rPr>
            </w:r>
          </w:p>
        </w:tc>
      </w:tr>
      <w:tr>
        <w:trPr/>
        <w:tc>
          <w:tcPr>
            <w:tcW w:w="5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rental</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433,962 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379,808 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 fees and other income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21,384 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443,562 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Expenses:</w:t>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operations</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117,166 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103,542 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Tenant reinsurance </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7,042 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34,763 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67,906 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239,508 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208,252 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263,542 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235,310 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(80,099)</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(42,538)</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19,438 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equity in earnings and dividend income from unconsolidated real estate entities and income tax expense</w:t>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202,881 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c>
          <w:tcPr>
            <w:tcW w:w="124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208,878 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217,717 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allocated to Preferred Operating Partnership noncontrolling interests</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allocated to Operating Partnership and other noncontrolling interests</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(10,320)</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(9,805)</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Diluted </w:t>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w:t>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134,511,273 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134,180,175 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142,940,384 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141,581,862 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59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paid per common share</w:t>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26"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955" w:type="dxa"/>
        <w:jc w:val="center"/>
        <w:tblInd w:w="0" w:type="dxa"/>
        <w:tblCellMar>
          <w:top w:w="28" w:type="dxa"/>
          <w:left w:w="28" w:type="dxa"/>
          <w:bottom w:w="28" w:type="dxa"/>
          <w:right w:w="28" w:type="dxa"/>
        </w:tblCellMar>
      </w:tblPr>
      <w:tblGrid>
        <w:gridCol w:w="1824"/>
        <w:gridCol w:w="1606"/>
        <w:gridCol w:w="1625"/>
        <w:gridCol w:w="242"/>
        <w:gridCol w:w="912"/>
        <w:gridCol w:w="135"/>
        <w:gridCol w:w="135"/>
        <w:gridCol w:w="135"/>
        <w:gridCol w:w="135"/>
        <w:gridCol w:w="242"/>
        <w:gridCol w:w="912"/>
        <w:gridCol w:w="135"/>
        <w:gridCol w:w="109"/>
        <w:gridCol w:w="109"/>
        <w:gridCol w:w="109"/>
        <w:gridCol w:w="109"/>
        <w:gridCol w:w="109"/>
        <w:gridCol w:w="109"/>
        <w:gridCol w:w="109"/>
        <w:gridCol w:w="154"/>
      </w:tblGrid>
      <w:tr>
        <w:trPr/>
        <w:tc>
          <w:tcPr>
            <w:tcW w:w="1824"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2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208,878 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Change in fair value of interest rate swaps</w:t>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(14,510)</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51,649 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income</w:t>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194,368 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269,366 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18"/>
              </w:rPr>
              <w:t>Less: comprehensive income attributable to noncontrolling interests</w:t>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11,781 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attributable to common stockholders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182,587 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252,582 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 of Noncontrolling Interests and Equity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share data)</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spacing w:before="0" w:after="0"/>
        <w:jc w:val="center"/>
        <w:rPr/>
      </w:pPr>
      <w:r>
        <w:rPr/>
      </w:r>
    </w:p>
    <w:p>
      <w:pPr>
        <w:pStyle w:val="TextBody"/>
        <w:spacing w:before="0" w:after="0"/>
        <w:jc w:val="center"/>
        <w:rPr/>
      </w:pPr>
      <w:r>
        <w:rPr/>
      </w:r>
    </w:p>
    <w:tbl>
      <w:tblPr>
        <w:tblW w:w="13979" w:type="dxa"/>
        <w:jc w:val="center"/>
        <w:tblInd w:w="0" w:type="dxa"/>
        <w:tblCellMar>
          <w:top w:w="28" w:type="dxa"/>
          <w:left w:w="28" w:type="dxa"/>
          <w:bottom w:w="28" w:type="dxa"/>
          <w:right w:w="28" w:type="dxa"/>
        </w:tblCellMar>
      </w:tblPr>
      <w:tblGrid>
        <w:gridCol w:w="636"/>
        <w:gridCol w:w="282"/>
        <w:gridCol w:w="283"/>
        <w:gridCol w:w="109"/>
        <w:gridCol w:w="109"/>
        <w:gridCol w:w="109"/>
        <w:gridCol w:w="196"/>
        <w:gridCol w:w="751"/>
        <w:gridCol w:w="109"/>
        <w:gridCol w:w="109"/>
        <w:gridCol w:w="109"/>
        <w:gridCol w:w="109"/>
        <w:gridCol w:w="196"/>
        <w:gridCol w:w="751"/>
        <w:gridCol w:w="109"/>
        <w:gridCol w:w="109"/>
        <w:gridCol w:w="109"/>
        <w:gridCol w:w="109"/>
        <w:gridCol w:w="196"/>
        <w:gridCol w:w="571"/>
        <w:gridCol w:w="109"/>
        <w:gridCol w:w="109"/>
        <w:gridCol w:w="109"/>
        <w:gridCol w:w="109"/>
        <w:gridCol w:w="533"/>
        <w:gridCol w:w="533"/>
        <w:gridCol w:w="196"/>
        <w:gridCol w:w="109"/>
        <w:gridCol w:w="109"/>
        <w:gridCol w:w="109"/>
        <w:gridCol w:w="196"/>
        <w:gridCol w:w="57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7"/>
        <w:gridCol w:w="893"/>
        <w:gridCol w:w="156"/>
      </w:tblGrid>
      <w:tr>
        <w:trPr/>
        <w:tc>
          <w:tcPr>
            <w:tcW w:w="63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9"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9"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Extra Space Storage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Operating Partnership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Partnership</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Noncontrolling Interests and Equity</w:t>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259,110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410,053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133,922,305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3,285,948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(42,546)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(128,245)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3,785,976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share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142,784 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grants cancelled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Operating Partnership units for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B Units in the Operating Partnership for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conjunction with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186,766 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49,003 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Operating Partnership units held by noncontrolling interests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 at $1.50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(202,527)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256,051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411,581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134,251,076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3,329,608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6,457</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(127,193)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3,878,164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261,502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556,095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1,080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133,921,020</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3,345,332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48,798</w:t>
            </w: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(135,872)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4,078,274</w:t>
            </w: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in connection with share 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89,564 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upon net settlement of share 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(7,449)</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grants cancelled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(2,222)</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A Units in the Operating Partnership for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851,698 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(5,316)</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D Units in the Operating Partnership for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154,307 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in consolidated joint venture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208,878 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(13,717)</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(14,510)</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Operating Partnership units held by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 at $1.62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(219,988)</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222,940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554,015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2,413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135,007,280</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1,350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3,376,458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35,081</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(159,556)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4,032,701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836"/>
        <w:gridCol w:w="1530"/>
        <w:gridCol w:w="1541"/>
        <w:gridCol w:w="231"/>
        <w:gridCol w:w="872"/>
        <w:gridCol w:w="129"/>
        <w:gridCol w:w="129"/>
        <w:gridCol w:w="129"/>
        <w:gridCol w:w="129"/>
        <w:gridCol w:w="231"/>
        <w:gridCol w:w="872"/>
        <w:gridCol w:w="12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836"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8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208,878 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217,717 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1,984 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 related to stock-based awards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of interest income added to principal of debt securities and notes receivable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(8,574)</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unconsolidated real estate ventures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(11,573)</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15,872 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281,649 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287,465 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real estate assets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(195,805)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Development and redevelopment of real estate assets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(16,762)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(14,716)</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real estate entities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(4,321)</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Return of investment in unconsolidated real estate ventures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and purchase of notes receivable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(58,378)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(134,408)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received from notes receivable</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21,828 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195,803 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notes receivable</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39,261 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39,718 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equipment and fixtures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(7,985)</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(86,339)</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(121,372)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notes payable and revolving lines of credit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1,381,592 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889,829 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notes payable and revolving lines of credit</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(1,879,049)</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(1,230,924)</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public bonds, net</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financing costs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Operating Partnership units held by noncontrolling interests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Units for cash</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(3,375)</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paid on common stock</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(219,988)</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(202,527)</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interests</w:t>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(14,078)</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(14,110)</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(242,603)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(169,621)</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(47,293)</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the period</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the period</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including restricted cash at the beginning of the period:</w:t>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92,868 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71,126 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97,735 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including restricted cash at the end of the period:</w:t>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65,978 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9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72,666 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CellMar>
          <w:top w:w="28" w:type="dxa"/>
          <w:left w:w="28" w:type="dxa"/>
          <w:bottom w:w="28" w:type="dxa"/>
          <w:right w:w="28" w:type="dxa"/>
        </w:tblCellMar>
      </w:tblPr>
      <w:tblGrid>
        <w:gridCol w:w="1800"/>
        <w:gridCol w:w="1579"/>
        <w:gridCol w:w="1586"/>
        <w:gridCol w:w="245"/>
        <w:gridCol w:w="810"/>
        <w:gridCol w:w="136"/>
        <w:gridCol w:w="136"/>
        <w:gridCol w:w="136"/>
        <w:gridCol w:w="136"/>
        <w:gridCol w:w="245"/>
        <w:gridCol w:w="810"/>
        <w:gridCol w:w="13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1"/>
      </w:tblGrid>
      <w:tr>
        <w:trPr/>
        <w:tc>
          <w:tcPr>
            <w:tcW w:w="1800"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schedule of cash flow information</w:t>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43,197 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schedule of noncash investing and financing activities: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and establishment of operating lease right of use assets and lease liabilities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assets - operating lease right-of-use assets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of real estate assets</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 estate assets, net</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40,492 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equity issued</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(40,965)</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Liabilities Assumed</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unconsolidated real estate ventures</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construction costs and capital expenditures</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real estate assets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(1,752)</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Redemption of Preferred Operating Partnership units for common stock</w:t>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Operating Partnership units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0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before="0" w:after="0"/>
        <w:rPr/>
      </w:pPr>
      <w:r>
        <w:rPr/>
      </w:r>
    </w:p>
    <w:p>
      <w:pPr>
        <w:pStyle w:val="TextBody"/>
        <w:spacing w:before="0" w:after="0"/>
        <w:rPr/>
      </w:pPr>
      <w:r>
        <w:rPr/>
      </w:r>
    </w:p>
    <w:p>
      <w:pPr>
        <w:pStyle w:val="TextBody"/>
        <w:spacing w:lineRule="auto" w:line="288" w:before="0" w:after="0"/>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    ORGANIZATION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Extra Space Storage Inc. (the “Company”) is a fully integrated, self-administered and self-managed real estate investment trust (“REIT”), formed as a Maryland corporation on April 30, 2004, to own, operate, manage, acquire, develop and redevelop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invests in stores by acquiring wholly-owned stores or by acquiring an equity interest in real estate entities. At March 31, 2023, the Company had direct and indirect equity interests in 1,457 stores. In addition, the Company managed 931 stores for third parties, bringing the total number of stores which it owns and/or manages to 2,388. These stores are located in 41 states and Washington, D.C. The Company also offers tenant reinsurance at its owned and managed stores that insures the value of goods in the storage units.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2.    BASIS OF PRESENTATION</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2023 are not necessarily indicative of results that may be expected for the year ending December 31, 2023. The condensed consolidated balance sheet as of December 31, 2022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2022, as filed with the Securities and Exchange Commission.</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Recently Issued Accounting Standards</w:t>
      </w:r>
    </w:p>
    <w:p>
      <w:pPr>
        <w:pStyle w:val="TextBody"/>
        <w:spacing w:before="0" w:after="0"/>
        <w:rPr/>
      </w:pPr>
      <w:r>
        <w:rPr/>
      </w:r>
    </w:p>
    <w:p>
      <w:pPr>
        <w:pStyle w:val="TextBody"/>
        <w:spacing w:lineRule="auto" w:line="276" w:before="0" w:after="0"/>
        <w:ind w:left="0" w:right="0" w:firstLine="495"/>
        <w:rPr/>
      </w:pPr>
      <w:r>
        <w:rPr>
          <w:rFonts w:ascii="Times New Roman;sans-serif" w:hAnsi="Times New Roman;sans-serif"/>
          <w:b w:val="false"/>
          <w:color w:val="000000"/>
          <w:sz w:val="20"/>
        </w:rPr>
        <w:t>In March 2020, the Financial Accounting Standards Board ("FASB") issued ASU 2020-04, "</w:t>
      </w:r>
      <w:r>
        <w:rPr>
          <w:rFonts w:ascii="Times New Roman;sans-serif" w:hAnsi="Times New Roman;sans-serif"/>
          <w:b w:val="false"/>
          <w:i/>
          <w:color w:val="000000"/>
          <w:sz w:val="20"/>
        </w:rPr>
        <w:t>Reference Rate Reform (Topic 848): Facilitation of the Effects of Reference Rate Reform on Financial Reporting"</w:t>
      </w:r>
      <w:r>
        <w:rPr>
          <w:color w:val="000000"/>
        </w:rPr>
        <w:t xml:space="preserve"> </w:t>
      </w:r>
      <w:r>
        <w:rPr>
          <w:rFonts w:ascii="Times New Roman;sans-serif" w:hAnsi="Times New Roman;sans-serif"/>
          <w:b w:val="false"/>
          <w:color w:val="000000"/>
          <w:sz w:val="20"/>
        </w:rPr>
        <w:t>(“ASU 2020-04”). ASU 2020-04 provides temporary optional guidance that provides transition relief 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The Company also elected to apply additional expedients related to contract modifications, changes in critical terms, and updates to the designated hedged risks as qualifying changes are made to applicable debt and derivative contracts. Application of these expedients preserves the presentation of derivatives and debt contracts consistent with past presentation. In January 2021, the FASB issued ASU 2021-01, "</w:t>
      </w:r>
      <w:r>
        <w:rPr>
          <w:rFonts w:ascii="Times New Roman;sans-serif" w:hAnsi="Times New Roman;sans-serif"/>
          <w:b w:val="false"/>
          <w:i/>
          <w:color w:val="000000"/>
          <w:sz w:val="20"/>
        </w:rPr>
        <w:t>Reference Rate Reform (Topic 848): Scope</w:t>
      </w:r>
      <w:r>
        <w:rPr>
          <w:rFonts w:ascii="Times New Roman;sans-serif" w:hAnsi="Times New Roman;sans-serif"/>
          <w:b w:val="false"/>
          <w:color w:val="000000"/>
          <w:sz w:val="20"/>
        </w:rPr>
        <w:t>", which refines the scope of Topic 848 and clarifies some of its guidance. The Company continues to evaluate the impact of the guidance and may apply other elections as applicable as additional changes in the market occur. The Company has begun transitioning debt over to Secured Overnight Financing Rate ("SOFR") as part of the reference rate reform.</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3.    FAIR VALUE DISCLOSURES</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Derivative Financial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However, as of March 31, 2023, the Company assessed the significance of the impact of the credit valuation adjustments on the overall valuation of its derivative positions and determined that the credit valuation adjustments were not significant to the overall valuation of its derivatives. As a result, the Company has determined that its derivative valuations in their entirety were classified in Level 2 of the fair value hierarchy.</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Company’s assets and liabilities measured at fair value on a recurring basis as of March 31, 2023, aggregated by the level in the fair value hierarchy within which those measurements fall. </w:t>
      </w:r>
    </w:p>
    <w:tbl>
      <w:tblPr>
        <w:tblW w:w="10205" w:type="dxa"/>
        <w:jc w:val="center"/>
        <w:tblInd w:w="0" w:type="dxa"/>
        <w:tblCellMar>
          <w:top w:w="28" w:type="dxa"/>
          <w:left w:w="28" w:type="dxa"/>
          <w:bottom w:w="28" w:type="dxa"/>
          <w:right w:w="28" w:type="dxa"/>
        </w:tblCellMar>
      </w:tblPr>
      <w:tblGrid>
        <w:gridCol w:w="909"/>
        <w:gridCol w:w="799"/>
        <w:gridCol w:w="802"/>
        <w:gridCol w:w="109"/>
        <w:gridCol w:w="109"/>
        <w:gridCol w:w="109"/>
        <w:gridCol w:w="109"/>
        <w:gridCol w:w="709"/>
        <w:gridCol w:w="1357"/>
        <w:gridCol w:w="363"/>
        <w:gridCol w:w="118"/>
        <w:gridCol w:w="118"/>
        <w:gridCol w:w="118"/>
        <w:gridCol w:w="422"/>
        <w:gridCol w:w="1449"/>
        <w:gridCol w:w="218"/>
        <w:gridCol w:w="118"/>
        <w:gridCol w:w="118"/>
        <w:gridCol w:w="118"/>
        <w:gridCol w:w="554"/>
        <w:gridCol w:w="1066"/>
        <w:gridCol w:w="413"/>
      </w:tblGrid>
      <w:tr>
        <w:trPr/>
        <w:tc>
          <w:tcPr>
            <w:tcW w:w="909"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5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at Reporting Date Using</w:t>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 (Level 1)</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 (Level 2)</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 (Level 3)</w:t>
            </w:r>
          </w:p>
        </w:tc>
      </w:tr>
      <w:tr>
        <w:trPr/>
        <w:tc>
          <w:tcPr>
            <w:tcW w:w="2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Cash flow hedge swap agreements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 Cash flow hedge swap agreements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7"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significant assets or liabilities that are re-measured on a recurring basis using significant unobservable inputs as of March 31, 2023 or December 31, 2022.</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Measured at Fair Value on a Nonrecurring Basis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to the extent the carrying amount of the goodwill exceeds the amount that would be allocated to goodwill if the reporting unit were acquired for estimated fair value.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When real estate assets are identified by management as held for sale, the Company discontinues depreciating the assets and estimates the fair value of the assets, net of selling costs. If the estimated fair value, net of selling costs, of the assets that have been identified as held for sale is less than the net carrying value of the assets, the Company would recognize an impairment loss on the assets held for sale. The operations of assets held for sale or sold during the period is presented as part of normal operations for all periods presented. As of March 31, 2023, the Company had no operating stores classified as held for sale which are included in real estate assets, net.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acquisition of stores, the purchase price is allocated to the tangible and intangible assets and liabilities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an acquisition is recorded at fair value based on current interest rates compared to contractual rates. Acquisition-related transaction costs are capitalized as part of the purchase price. For acquisitions that meet the definition of a business, the Company estimates the fair value of the identifiable assets and liabilities of the acquired entity on the acquisition date. We measure goodwill as the excess of consideration transferred over the net of the acquisition date fair values of the identifiable assets acquired and liabilities assumed. Acquisition-related expenses arising from the transaction are expensed as incurred. The Company includes the results of operations of the businesses that it acquires beginning on the acquisition date.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Fair Value of Financial Instruments</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and cash equivalents, restricted cash, receivables, other financial instruments included in other assets, accounts payable and accrued expenses, variable-rate notes payable, investments in debt securities and notes receivable, lines of credit and other liabilities reflected in the condensed consolidated balance sheets at March 31, 2023 and December 31, 2022 approximate fair value. Restricted cash is comprised of funds deposited with financial institutions located throughout the United States primarily relating to earnest money deposits on potential acquisitions.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notes receivable from Preferred and Common Operating Partnership unit holders and other fixed rate notes receivable were based on the discounted estimated future cash flows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fixed-rate assets and liabilities were as follows for the periods indicated:</w:t>
      </w:r>
    </w:p>
    <w:tbl>
      <w:tblPr>
        <w:tblW w:w="10205" w:type="dxa"/>
        <w:jc w:val="center"/>
        <w:tblInd w:w="0" w:type="dxa"/>
        <w:tblCellMar>
          <w:top w:w="28" w:type="dxa"/>
          <w:left w:w="28" w:type="dxa"/>
          <w:bottom w:w="28" w:type="dxa"/>
          <w:right w:w="28" w:type="dxa"/>
        </w:tblCellMar>
      </w:tblPr>
      <w:tblGrid>
        <w:gridCol w:w="1446"/>
        <w:gridCol w:w="1272"/>
        <w:gridCol w:w="127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446"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Carrying </w:t>
              <w:br/>
              <w:t>Value</w:t>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Preferred and Common Operating Partnership unit 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notes receivable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rate debt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4,797,276 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4,320,014 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4,762,196 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4"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360" w:after="283"/>
        <w:rPr/>
      </w:pPr>
      <w:r>
        <w:rPr>
          <w:rFonts w:ascii="Times New Roman;sans-serif" w:hAnsi="Times New Roman;sans-serif"/>
          <w:b/>
          <w:color w:val="000000"/>
          <w:sz w:val="20"/>
          <w:highlight w:val="white"/>
        </w:rPr>
        <w:t>4.     </w:t>
      </w:r>
      <w:r>
        <w:rPr>
          <w:rFonts w:ascii="Times New Roman;sans-serif" w:hAnsi="Times New Roman;sans-serif"/>
          <w:b/>
          <w:color w:val="000000"/>
          <w:sz w:val="20"/>
        </w:rPr>
        <w:t>REAL ESTATE ASSETS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real estate assets are summarized as follows:</w:t>
      </w:r>
    </w:p>
    <w:tbl>
      <w:tblPr>
        <w:tblW w:w="7322" w:type="dxa"/>
        <w:jc w:val="left"/>
        <w:tblInd w:w="0" w:type="dxa"/>
        <w:tblCellMar>
          <w:top w:w="28" w:type="dxa"/>
          <w:left w:w="28" w:type="dxa"/>
          <w:bottom w:w="28" w:type="dxa"/>
          <w:right w:w="28" w:type="dxa"/>
        </w:tblCellMar>
      </w:tblPr>
      <w:tblGrid>
        <w:gridCol w:w="1488"/>
        <w:gridCol w:w="1305"/>
        <w:gridCol w:w="1317"/>
        <w:gridCol w:w="211"/>
        <w:gridCol w:w="976"/>
        <w:gridCol w:w="109"/>
        <w:gridCol w:w="109"/>
        <w:gridCol w:w="109"/>
        <w:gridCol w:w="109"/>
        <w:gridCol w:w="250"/>
        <w:gridCol w:w="1157"/>
        <w:gridCol w:w="182"/>
      </w:tblGrid>
      <w:tr>
        <w:trPr/>
        <w:tc>
          <w:tcPr>
            <w:tcW w:w="1488"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2,356,746 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improvements and other intangibles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9,491,340 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9,425,468 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 - finance lease</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136,259 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 tenant relationships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152,775 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lease rights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12,943 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12,084,191 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(2,218,705)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(2,138,524)</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real estate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9,945,667 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under development/redevelopment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52,311 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9,991,446 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9,997,978 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highlight w:val="white"/>
        </w:rPr>
        <w:t>5.     OTHER</w:t>
      </w:r>
      <w:r>
        <w:rPr>
          <w:color w:val="000000"/>
        </w:rPr>
        <w:t xml:space="preserve"> </w:t>
      </w:r>
      <w:r>
        <w:rPr>
          <w:rFonts w:ascii="Times New Roman;sans-serif" w:hAnsi="Times New Roman;sans-serif"/>
          <w:b/>
          <w:color w:val="000000"/>
          <w:sz w:val="20"/>
        </w:rPr>
        <w:t>ASSETS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other assets are summarized as follows:</w:t>
      </w:r>
    </w:p>
    <w:tbl>
      <w:tblPr>
        <w:tblW w:w="6714" w:type="dxa"/>
        <w:jc w:val="left"/>
        <w:tblInd w:w="0" w:type="dxa"/>
        <w:tblCellMar>
          <w:top w:w="28" w:type="dxa"/>
          <w:left w:w="28" w:type="dxa"/>
          <w:bottom w:w="28" w:type="dxa"/>
          <w:right w:w="28" w:type="dxa"/>
        </w:tblCellMar>
      </w:tblPr>
      <w:tblGrid>
        <w:gridCol w:w="1269"/>
        <w:gridCol w:w="1114"/>
        <w:gridCol w:w="1126"/>
        <w:gridCol w:w="237"/>
        <w:gridCol w:w="930"/>
        <w:gridCol w:w="122"/>
        <w:gridCol w:w="109"/>
        <w:gridCol w:w="109"/>
        <w:gridCol w:w="109"/>
        <w:gridCol w:w="281"/>
        <w:gridCol w:w="1103"/>
        <w:gridCol w:w="205"/>
      </w:tblGrid>
      <w:tr>
        <w:trPr/>
        <w:tc>
          <w:tcPr>
            <w:tcW w:w="1269"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84,682 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deposits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50,318 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Equipment and fixtures, net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43,716 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42,808 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interest rate swaps</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line of credit financing costs, net</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402,259 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414,426 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6.    EARNINGS PER COMMON SHARE</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computing the dilutive effect of convertible securities, net income is adjusted to add back any changes in earnings in the period associated with the convertible security. The numerator also is adjusted for the effects of any other non-discretionary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income or loss that would result from the assumed conversion of those potential common shares. In computing diluted earnings per common share, only potential common shares that are dilutive (i.e. those that reduce earnings per common share) are included.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March 31, 2023 and 2022 was $157.15 and $198.83,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number of Preferred Operating Partnership units as if converted into potential common shares, that were excluded from the computation of earnings per share as their effect would have been anti-dilutive.</w:t>
      </w:r>
    </w:p>
    <w:tbl>
      <w:tblPr>
        <w:tblW w:w="7970" w:type="dxa"/>
        <w:jc w:val="center"/>
        <w:tblInd w:w="0" w:type="dxa"/>
        <w:tblCellMar>
          <w:top w:w="28" w:type="dxa"/>
          <w:left w:w="28" w:type="dxa"/>
          <w:bottom w:w="28" w:type="dxa"/>
          <w:right w:w="28" w:type="dxa"/>
        </w:tblCellMar>
      </w:tblPr>
      <w:tblGrid>
        <w:gridCol w:w="422"/>
        <w:gridCol w:w="373"/>
        <w:gridCol w:w="375"/>
        <w:gridCol w:w="815"/>
        <w:gridCol w:w="815"/>
        <w:gridCol w:w="815"/>
        <w:gridCol w:w="331"/>
        <w:gridCol w:w="331"/>
        <w:gridCol w:w="331"/>
        <w:gridCol w:w="815"/>
        <w:gridCol w:w="815"/>
        <w:gridCol w:w="815"/>
        <w:gridCol w:w="109"/>
        <w:gridCol w:w="109"/>
        <w:gridCol w:w="109"/>
        <w:gridCol w:w="109"/>
        <w:gridCol w:w="109"/>
        <w:gridCol w:w="109"/>
        <w:gridCol w:w="109"/>
        <w:gridCol w:w="154"/>
      </w:tblGrid>
      <w:tr>
        <w:trPr/>
        <w:tc>
          <w:tcPr>
            <w:tcW w:w="422"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9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Equivalent Shares (if converted)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24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B Units</w:t>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213,606 </w:t>
            </w:r>
          </w:p>
        </w:tc>
        <w:tc>
          <w:tcPr>
            <w:tcW w:w="8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182,974 </w:t>
            </w:r>
          </w:p>
        </w:tc>
        <w:tc>
          <w:tcPr>
            <w:tcW w:w="8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Units</w:t>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8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1,033,222 </w:t>
            </w:r>
          </w:p>
        </w:tc>
        <w:tc>
          <w:tcPr>
            <w:tcW w:w="8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213,606 </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1,216,196 </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January 25, 2023, the remaining Series A Units were redeemed (see Note 13 below). For the purposes of computing the diluted impact on earnings per share of the potential exchange of Series A Units for common shares upon redemption, where the Company had the option to redeem in cash or shares and where the Company had stated the positive intent and ability to settle at least $101,700 of the instrument in cash (or net settle a portion of the Series A Units against the related outstanding note receivable), only the amount of the instrument in excess of $101,700 was considered in the calculation of shares contingently issuable for the purposes of computing diluted earnings per share as allowed by ASC 260-10-45-46. Accordingly, the number of shares included in the computation for diluted earnings per share related to the Series A Units was equal to the number of Series A Units outstanding, with no additional shares included related to the fixed $101,700 amount.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computation of earnings per common share is as follows for the periods presented:</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340"/>
        <w:gridCol w:w="2024"/>
        <w:gridCol w:w="2030"/>
        <w:gridCol w:w="242"/>
        <w:gridCol w:w="884"/>
        <w:gridCol w:w="128"/>
        <w:gridCol w:w="128"/>
        <w:gridCol w:w="128"/>
        <w:gridCol w:w="128"/>
        <w:gridCol w:w="242"/>
        <w:gridCol w:w="884"/>
        <w:gridCol w:w="128"/>
        <w:gridCol w:w="109"/>
        <w:gridCol w:w="109"/>
        <w:gridCol w:w="109"/>
        <w:gridCol w:w="109"/>
        <w:gridCol w:w="109"/>
        <w:gridCol w:w="109"/>
        <w:gridCol w:w="109"/>
        <w:gridCol w:w="156"/>
      </w:tblGrid>
      <w:tr>
        <w:trPr/>
        <w:tc>
          <w:tcPr>
            <w:tcW w:w="2340" w:type="dxa"/>
            <w:tcBorders/>
            <w:shd w:fill="auto" w:val="clear"/>
            <w:vAlign w:val="center"/>
          </w:tcPr>
          <w:p>
            <w:pPr>
              <w:pStyle w:val="TableContents"/>
              <w:spacing w:before="0" w:after="283"/>
              <w:rPr>
                <w:sz w:val="4"/>
                <w:szCs w:val="4"/>
              </w:rPr>
            </w:pPr>
            <w:r>
              <w:rPr>
                <w:sz w:val="4"/>
                <w:szCs w:val="4"/>
              </w:rPr>
            </w:r>
          </w:p>
        </w:tc>
        <w:tc>
          <w:tcPr>
            <w:tcW w:w="2024"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6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common stockholders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and dividends allocated to participating securities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for basic computations</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203,293 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allocated to noncontrolling interest - Preferred Operating Partnership Units and Operating Partnership Units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12,128 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11,693 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Fixed component of income allocated to noncontrolling interest - Preferred Operating Partnership (Series A Units)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for diluted computations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208,128 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214,414 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Average number of common shares outstanding - basic </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134,511,273 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134,180,175 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 Units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7,214,649 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6,520,781 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A Units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875,480 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Series D Units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1,210,056 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related to dilutive stock options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Average number of common shares outstanding - diluted</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142,940,384 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141,581,862 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common share</w:t>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7.    ACQUISITIONS AND DISPOSITIONS</w:t>
      </w:r>
    </w:p>
    <w:p>
      <w:pPr>
        <w:pStyle w:val="TextBody"/>
        <w:spacing w:before="0" w:after="0"/>
        <w:rPr/>
      </w:pPr>
      <w:r>
        <w:rPr/>
      </w:r>
    </w:p>
    <w:p>
      <w:pPr>
        <w:pStyle w:val="TextBody"/>
        <w:spacing w:lineRule="auto" w:line="288" w:before="0" w:after="0"/>
        <w:ind w:left="0" w:right="0" w:hanging="270"/>
        <w:rPr>
          <w:rFonts w:ascii="Times New Roman;sans-serif" w:hAnsi="Times New Roman;sans-serif"/>
          <w:b w:val="false"/>
          <w:i/>
          <w:color w:val="000000"/>
          <w:sz w:val="20"/>
        </w:rPr>
      </w:pPr>
      <w:r>
        <w:rPr>
          <w:rFonts w:ascii="Times New Roman;sans-serif" w:hAnsi="Times New Roman;sans-serif"/>
          <w:b w:val="false"/>
          <w:i/>
          <w:color w:val="000000"/>
          <w:sz w:val="20"/>
        </w:rPr>
        <w:t>Store Acquisitions</w:t>
      </w:r>
    </w:p>
    <w:p>
      <w:pPr>
        <w:pStyle w:val="TextBody"/>
        <w:spacing w:before="0" w:after="0"/>
        <w:ind w:left="0" w:right="0" w:hanging="270"/>
        <w:rPr/>
      </w:pPr>
      <w:r>
        <w:rPr/>
      </w:r>
    </w:p>
    <w:p>
      <w:pPr>
        <w:pStyle w:val="TextBody"/>
        <w:spacing w:lineRule="auto" w:line="288" w:before="0" w:after="0"/>
        <w:ind w:left="0" w:right="0" w:firstLine="495"/>
        <w:rPr/>
      </w:pPr>
      <w:r>
        <w:rPr>
          <w:rFonts w:ascii="Times New Roman;sans-serif" w:hAnsi="Times New Roman;sans-serif"/>
          <w:b w:val="false"/>
          <w:color w:val="000000"/>
          <w:sz w:val="20"/>
        </w:rPr>
        <w:t>The following table shows the Company’s acquisitions of stores for the three months ended March 31, 2023 and 2022. The table excludes purchases of raw land and improvements made to existing assets. All store acquisitions are considered asset acquisitions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233"/>
        <w:gridCol w:w="205"/>
        <w:gridCol w:w="208"/>
        <w:gridCol w:w="301"/>
        <w:gridCol w:w="301"/>
        <w:gridCol w:w="303"/>
        <w:gridCol w:w="109"/>
        <w:gridCol w:w="109"/>
        <w:gridCol w:w="109"/>
        <w:gridCol w:w="368"/>
        <w:gridCol w:w="368"/>
        <w:gridCol w:w="195"/>
        <w:gridCol w:w="109"/>
        <w:gridCol w:w="109"/>
        <w:gridCol w:w="109"/>
        <w:gridCol w:w="109"/>
        <w:gridCol w:w="350"/>
        <w:gridCol w:w="350"/>
        <w:gridCol w:w="352"/>
        <w:gridCol w:w="501"/>
        <w:gridCol w:w="501"/>
        <w:gridCol w:w="503"/>
        <w:gridCol w:w="449"/>
        <w:gridCol w:w="449"/>
        <w:gridCol w:w="450"/>
        <w:gridCol w:w="489"/>
        <w:gridCol w:w="313"/>
        <w:gridCol w:w="315"/>
        <w:gridCol w:w="496"/>
        <w:gridCol w:w="109"/>
        <w:gridCol w:w="109"/>
        <w:gridCol w:w="109"/>
        <w:gridCol w:w="408"/>
        <w:gridCol w:w="353"/>
        <w:gridCol w:w="354"/>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8"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2" w:type="dxa"/>
            <w:gridSpan w:val="1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442" w:type="dxa"/>
            <w:gridSpan w:val="6"/>
            <w:tcBorders/>
            <w:shd w:fill="auto" w:val="clear"/>
          </w:tcPr>
          <w:p>
            <w:pPr>
              <w:pStyle w:val="TableContents"/>
              <w:spacing w:before="0" w:after="283"/>
              <w:rPr>
                <w:sz w:val="4"/>
                <w:szCs w:val="4"/>
              </w:rPr>
            </w:pPr>
            <w:r>
              <w:rPr>
                <w:sz w:val="4"/>
                <w:szCs w:val="4"/>
              </w:rPr>
            </w:r>
          </w:p>
        </w:tc>
      </w:tr>
      <w:tr>
        <w:trPr/>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9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Paid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 Liability</w:t>
            </w:r>
          </w:p>
        </w:tc>
        <w:tc>
          <w:tcPr>
            <w:tcW w:w="15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Investments in Real Estate Ventures</w:t>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Liabilities/ (Assets) Assumed</w:t>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Equity Issued</w:t>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assets</w:t>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2023</w:t>
            </w:r>
          </w:p>
        </w:tc>
        <w:tc>
          <w:tcPr>
            <w:tcW w:w="9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13,111 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13,117 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Q1 2022</w:t>
            </w:r>
          </w:p>
        </w:tc>
        <w:tc>
          <w:tcPr>
            <w:tcW w:w="9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185,910 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5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4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40,965 </w:t>
            </w:r>
          </w:p>
        </w:tc>
        <w:tc>
          <w:tcPr>
            <w:tcW w:w="3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227,896 </w:t>
            </w:r>
          </w:p>
        </w:tc>
        <w:tc>
          <w:tcPr>
            <w:tcW w:w="3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r>
        <w:trPr/>
        <w:tc>
          <w:tcPr>
            <w:tcW w:w="646"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c>
          <w:tcPr>
            <w:tcW w:w="1348"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720"/>
        <w:rPr/>
      </w:pPr>
      <w:r>
        <w:rPr/>
      </w:r>
    </w:p>
    <w:p>
      <w:pPr>
        <w:pStyle w:val="TextBody"/>
        <w:spacing w:before="0" w:after="0"/>
        <w:ind w:left="0" w:right="0" w:hanging="27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0" w:after="0"/>
        <w:ind w:left="0" w:right="0" w:hanging="270"/>
        <w:rPr>
          <w:rFonts w:ascii="Times New Roman;sans-serif" w:hAnsi="Times New Roman;sans-serif"/>
          <w:b w:val="false"/>
          <w:i/>
          <w:color w:val="000000"/>
          <w:sz w:val="20"/>
        </w:rPr>
      </w:pPr>
      <w:r>
        <w:rPr>
          <w:rFonts w:ascii="Times New Roman;sans-serif" w:hAnsi="Times New Roman;sans-serif"/>
          <w:b w:val="false"/>
          <w:i/>
          <w:color w:val="000000"/>
          <w:sz w:val="20"/>
        </w:rPr>
        <w:t>Other Investments</w:t>
      </w:r>
    </w:p>
    <w:p>
      <w:pPr>
        <w:pStyle w:val="TextBody"/>
        <w:spacing w:before="0" w:after="0"/>
        <w:ind w:left="0" w:right="0" w:hanging="270"/>
        <w:rPr/>
      </w:pPr>
      <w:r>
        <w:rPr/>
      </w:r>
    </w:p>
    <w:p>
      <w:pPr>
        <w:pStyle w:val="TextBody"/>
        <w:spacing w:lineRule="auto" w:line="288" w:before="0" w:after="0"/>
        <w:ind w:left="0" w:right="0" w:firstLine="495"/>
        <w:rPr/>
      </w:pPr>
      <w:r>
        <w:rPr>
          <w:rFonts w:ascii="Times New Roman;sans-serif" w:hAnsi="Times New Roman;sans-serif"/>
          <w:b w:val="false"/>
          <w:color w:val="000000"/>
          <w:sz w:val="20"/>
        </w:rPr>
        <w:t>On June 1, 2022 the Company completed the acquisition of Bargold Storage Systems, LLC ("Bargold") for a purchase price of approximately $179.3 million. Bargold leases space in apartment buildings, primarily in New York City and its boroughs, builds out the space as storage units, and subleases the units to tenants. As of June 1, 2022, Bargold had approximately 17,000 storage units with an approximate occupancy of 97%. This acquisition is considered a business combination under ASU 2017-01, "</w:t>
      </w:r>
      <w:r>
        <w:rPr>
          <w:rFonts w:ascii="Times New Roman;sans-serif" w:hAnsi="Times New Roman;sans-serif"/>
          <w:b w:val="false"/>
          <w:i/>
          <w:color w:val="000000"/>
          <w:sz w:val="20"/>
        </w:rPr>
        <w:t>Business Combinations (Topic 805): Clarifying the Definition of a Business</w:t>
      </w:r>
      <w:r>
        <w:rPr>
          <w:rFonts w:ascii="Times New Roman;sans-serif" w:hAnsi="Times New Roman;sans-serif"/>
          <w:b w:val="false"/>
          <w:color w:val="000000"/>
          <w:sz w:val="20"/>
        </w:rPr>
        <w: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values of the assets acquired and liabilities assumed at the acquisition date. </w:t>
      </w:r>
    </w:p>
    <w:tbl>
      <w:tblPr>
        <w:tblW w:w="5421" w:type="dxa"/>
        <w:jc w:val="center"/>
        <w:tblInd w:w="0" w:type="dxa"/>
        <w:tblCellMar>
          <w:top w:w="28" w:type="dxa"/>
          <w:left w:w="28" w:type="dxa"/>
          <w:bottom w:w="28" w:type="dxa"/>
          <w:right w:w="28" w:type="dxa"/>
        </w:tblCellMar>
      </w:tblPr>
      <w:tblGrid>
        <w:gridCol w:w="1532"/>
        <w:gridCol w:w="1345"/>
        <w:gridCol w:w="1353"/>
        <w:gridCol w:w="211"/>
        <w:gridCol w:w="826"/>
        <w:gridCol w:w="154"/>
      </w:tblGrid>
      <w:tr>
        <w:trPr/>
        <w:tc>
          <w:tcPr>
            <w:tcW w:w="1532"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payables and accrued liabilities assumed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Nets asset acquired</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revenues and earnings related to Bargold since the acquisition date of June 1, 2022, which are included in the Company's consolidated statement of operations for the year ended December 31, 2022:</w:t>
      </w:r>
    </w:p>
    <w:tbl>
      <w:tblPr>
        <w:tblW w:w="3350" w:type="dxa"/>
        <w:jc w:val="center"/>
        <w:tblInd w:w="0" w:type="dxa"/>
        <w:tblCellMar>
          <w:top w:w="28" w:type="dxa"/>
          <w:left w:w="28" w:type="dxa"/>
          <w:bottom w:w="28" w:type="dxa"/>
          <w:right w:w="28" w:type="dxa"/>
        </w:tblCellMar>
      </w:tblPr>
      <w:tblGrid>
        <w:gridCol w:w="857"/>
        <w:gridCol w:w="754"/>
        <w:gridCol w:w="758"/>
        <w:gridCol w:w="211"/>
        <w:gridCol w:w="616"/>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from operations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color w:val="000000"/>
          <w:sz w:val="20"/>
        </w:rPr>
      </w:pPr>
      <w:r>
        <w:rPr>
          <w:rFonts w:ascii="Times New Roman;sans-serif" w:hAnsi="Times New Roman;sans-serif"/>
          <w:b/>
          <w:color w:val="000000"/>
          <w:sz w:val="20"/>
        </w:rPr>
        <w:t>Pro Forma Information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2022, the Company acquired Bargold. The following pro forma financial information is based on the combined historical financial statements of the Company and Bargold, however, only includes revenue and presents the Company's results as if the acquisition had occurred on January 1, 2021. Net income was excluded as it was impracticable to report expenses due to the lack of historical accrual basis accounting.</w:t>
      </w:r>
    </w:p>
    <w:p>
      <w:pPr>
        <w:pStyle w:val="TextBody"/>
        <w:spacing w:before="0" w:after="0"/>
        <w:ind w:left="0" w:right="0" w:firstLine="495"/>
        <w:rPr/>
      </w:pPr>
      <w:r>
        <w:rPr/>
      </w:r>
    </w:p>
    <w:tbl>
      <w:tblPr>
        <w:tblW w:w="8559" w:type="dxa"/>
        <w:jc w:val="left"/>
        <w:tblInd w:w="0" w:type="dxa"/>
        <w:tblCellMar>
          <w:top w:w="28" w:type="dxa"/>
          <w:left w:w="28" w:type="dxa"/>
          <w:bottom w:w="28" w:type="dxa"/>
          <w:right w:w="28" w:type="dxa"/>
        </w:tblCellMar>
      </w:tblPr>
      <w:tblGrid>
        <w:gridCol w:w="477"/>
        <w:gridCol w:w="420"/>
        <w:gridCol w:w="422"/>
        <w:gridCol w:w="559"/>
        <w:gridCol w:w="2587"/>
        <w:gridCol w:w="288"/>
        <w:gridCol w:w="109"/>
        <w:gridCol w:w="109"/>
        <w:gridCol w:w="109"/>
        <w:gridCol w:w="547"/>
        <w:gridCol w:w="2533"/>
        <w:gridCol w:w="399"/>
      </w:tblGrid>
      <w:tr>
        <w:trPr/>
        <w:tc>
          <w:tcPr>
            <w:tcW w:w="47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2587"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2021</w:t>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 Forma</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5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1,930,816 </w:t>
            </w:r>
          </w:p>
        </w:tc>
        <w:tc>
          <w:tcPr>
            <w:tcW w:w="2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1,592,021 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8.    INVESTMENTS IN UNCONSOLIDATED REAL ESTATE ENTITIES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real estate entities and cash distributions in unconsolidated real estate ventures represent the Company's interest in preferred stock of SmartStop Self Storage REIT, Inc. ("SmartStop") and the Company's noncontrolling interest in real estate joint ventures that own stores. The Company accounts for its investment in SmartStop preferred stock, which does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than its equity interest.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Net investments in unconsolidated real estate ventures and cash distributions in unconsolidated real estate ventures consist of the following:</w:t>
      </w:r>
    </w:p>
    <w:tbl>
      <w:tblPr>
        <w:tblW w:w="10205" w:type="dxa"/>
        <w:jc w:val="left"/>
        <w:tblInd w:w="0" w:type="dxa"/>
        <w:tblCellMar>
          <w:top w:w="28" w:type="dxa"/>
          <w:left w:w="28" w:type="dxa"/>
          <w:bottom w:w="28" w:type="dxa"/>
          <w:right w:w="28" w:type="dxa"/>
        </w:tblCellMar>
      </w:tblPr>
      <w:tblGrid>
        <w:gridCol w:w="1502"/>
        <w:gridCol w:w="985"/>
        <w:gridCol w:w="994"/>
        <w:gridCol w:w="323"/>
        <w:gridCol w:w="323"/>
        <w:gridCol w:w="324"/>
        <w:gridCol w:w="109"/>
        <w:gridCol w:w="109"/>
        <w:gridCol w:w="109"/>
        <w:gridCol w:w="394"/>
        <w:gridCol w:w="394"/>
        <w:gridCol w:w="396"/>
        <w:gridCol w:w="109"/>
        <w:gridCol w:w="109"/>
        <w:gridCol w:w="109"/>
        <w:gridCol w:w="306"/>
        <w:gridCol w:w="306"/>
        <w:gridCol w:w="307"/>
        <w:gridCol w:w="109"/>
        <w:gridCol w:w="109"/>
        <w:gridCol w:w="109"/>
        <w:gridCol w:w="211"/>
        <w:gridCol w:w="826"/>
        <w:gridCol w:w="109"/>
        <w:gridCol w:w="109"/>
        <w:gridCol w:w="109"/>
        <w:gridCol w:w="109"/>
        <w:gridCol w:w="211"/>
        <w:gridCol w:w="826"/>
        <w:gridCol w:w="160"/>
      </w:tblGrid>
      <w:tr>
        <w:trPr/>
        <w:tc>
          <w:tcPr>
            <w:tcW w:w="1502"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Stores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Ownership %</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 xml:space="preserve">Excess Profit % </w:t>
            </w:r>
            <w:r>
              <w:rPr>
                <w:rFonts w:ascii="Times New Roman;sans-serif" w:hAnsi="Times New Roman;sans-serif"/>
                <w:b/>
                <w:color w:val="000000"/>
                <w:sz w:val="10"/>
              </w:rPr>
              <w:t>(1)</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8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91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PRISA Self Storage LLC </w:t>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Portfolio II JV LLC </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IV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Portfolio I LLC </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 II EXR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ESS-CA TIVS JV LP</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VRS Self Storage, LLC </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ARA-EXR JV LLC</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ESS-NYFL JV LP</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Northern Properties Six LLC</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Jathoo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Bristol Investments LLC</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 BGO Atlanta GA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 BGO Storage JV I LLC</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V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 EXR Self Storage, LLC</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Portfolio III JV LLC</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unconsolidated real estate ventures</w:t>
            </w:r>
          </w:p>
        </w:tc>
        <w:tc>
          <w:tcPr>
            <w:tcW w:w="97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SmartStop Self Storage REIT, Inc. Preferred Stock </w:t>
            </w:r>
            <w:r>
              <w:rPr>
                <w:rFonts w:ascii="Times New Roman;sans-serif" w:hAnsi="Times New Roman;sans-serif"/>
                <w:b w:val="false"/>
                <w:color w:val="000000"/>
                <w:sz w:val="13"/>
              </w:rPr>
              <w:t>(2)</w:t>
            </w:r>
          </w:p>
        </w:tc>
        <w:tc>
          <w:tcPr>
            <w:tcW w:w="97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Investments in and Cash distributions in unconsolidated real estate entities</w:t>
            </w:r>
          </w:p>
        </w:tc>
        <w:tc>
          <w:tcPr>
            <w:tcW w:w="9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515,060 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(1) Includes pro-rata equity ownership share and maximum potential promoted interest.</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The Company invested in shares of convertible preferred stock of SmartStop. The dividend rate for the preferred shares is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contributed a total of $20,622 of cash to its joint ventures, for its pro-rata portion of the purchase price of 5 operating stores.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9.    INVESTMENTS IN DEBT SECURITIES AND NOTES RECEIVABLE</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debt securities and notes receivable consists of the Company's investment in mandatorily redeemable preferred stock of Jernigan Capital, Inc. ("JCAP") in connection with JCAP's acquisition by affiliates of NexPoint Advisors,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L.P. ("NexPoint Investment") and receivables due to the Company under its bridge loan program. Information about these balances is as follows:</w:t>
      </w:r>
    </w:p>
    <w:tbl>
      <w:tblPr>
        <w:tblW w:w="6715" w:type="dxa"/>
        <w:jc w:val="left"/>
        <w:tblInd w:w="0" w:type="dxa"/>
        <w:tblCellMar>
          <w:top w:w="28" w:type="dxa"/>
          <w:left w:w="28" w:type="dxa"/>
          <w:bottom w:w="28" w:type="dxa"/>
          <w:right w:w="28" w:type="dxa"/>
        </w:tblCellMar>
      </w:tblPr>
      <w:tblGrid>
        <w:gridCol w:w="1271"/>
        <w:gridCol w:w="1116"/>
        <w:gridCol w:w="1123"/>
        <w:gridCol w:w="237"/>
        <w:gridCol w:w="930"/>
        <w:gridCol w:w="122"/>
        <w:gridCol w:w="109"/>
        <w:gridCol w:w="109"/>
        <w:gridCol w:w="109"/>
        <w:gridCol w:w="281"/>
        <w:gridCol w:w="1103"/>
        <w:gridCol w:w="205"/>
      </w:tblGrid>
      <w:tr>
        <w:trPr/>
        <w:tc>
          <w:tcPr>
            <w:tcW w:w="127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securities - NexPoint Preferred Stock</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 Bridge Loans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507,885 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491,879 </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Interest Receivable </w:t>
            </w:r>
          </w:p>
        </w:tc>
        <w:tc>
          <w:tcPr>
            <w:tcW w:w="11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56,028 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66,170 </w:t>
            </w:r>
          </w:p>
        </w:tc>
        <w:tc>
          <w:tcPr>
            <w:tcW w:w="2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863,913 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858,049 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10"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November 2020, the Company invested $300,000 in the preferred stock of JCAP in connection with the acquisition of JCAP by affiliates of NexPoint Advisors, L.P. This investment consisted of 200,000 Series A Preferred Shares valued at a total of $200,000, and 100,000 Series B Preferred Shares valued at a total of $100,000. In December 2022, a modification was completed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JCAP Series D Preferred Shares as a held to maturity debt security at amortized cost. The Series D Preferred Shares have initial dividend rates of 8.5%. If the investment is not retired after six years, the preferred dividends increase annually.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2020, the Company purchased a senior mezzanine note receivable with a principal amount of $103,000. This note receivable bore interest at 5.5%, matured in December 2023 and was collateralized through an equity interest in which it or its subsidiaries wholly own 62 storage facilities. The Company paid cash of $101,142 for the loan receivable and accounted for the discount at amortized cost. The discount was being amortized over the term of the loan receivable. In February 2022, a junior mezzanine lender exercised its right to buy the Company’s position for the full principal balance plus interest due, as a result of which the Company sold this note for a total of $103,315 in cash. The remaining unamortized discount was recognized in the February 2022 as interest income. </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bridge loan financing to third-party self-storage operators. These notes receivable consist of mortgage loans receivable, which are collateralized by self-storage properties and unsecured mezzanine loans receivable. These notes receivable typically have a term of three years with two one-year extensions, and have variable interest rates. The Company intends to sell the majority of the mortgage receivables. During the three months ended March 31, 2023 the Company sold a total principal amount of $39,261 of its mortgage bridge loans receivable to third parties for a total of $39,261 in cash and closed on $58,378 in new bridge loans. </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bridge loans typically have a loan to value ratio between 70% and 80%. None of the debt securities or notes receivable are in past-due or nonaccrual status and the allowance for potential credit losses is immaterial.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10.    DEBT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Operating Partnership executed a public bond issuance by selling $500.0 million principal amount of 5.700% Senior Notes due 2028 (the "Notes Due 2028"). Interest on the Notes Due 2028 is paid semi-annually in arrears on April 1 and October 1 of each year. The Notes Due 2028 will mature on April 1, 2028, and the Operating Partnership may redeem the Notes Due 2028 at its option and sole discretion at any time prior to March 1, 2028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2022, the Operating Partnership executed a public bond issuance by selling $400.0 million principal amount of 3.900% Senior Notes due 2029 (the "Notes Due 2029"). Interest on the Notes Due 2029 is paid semi-annually in arrears on April 1 and October 1 of each year. The Notes Due 2029 will mature on April 1, 2029, and the Operating Partnership may redeem the Notes Due 2029 at its option and sole discretion at any time prior to February 1, 2029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the Operating Partnership executed a public bond issuance by selling $600.0 million principal amount of 2.350% Senior Notes due 2032 (the "Notes Due 2032"). Interest on the Notes Due 2032 is paid semi-annually in arrears on March 15 and September 15 of each year. The Notes Due 2032 will mature on March 15, 2032, and the Operating Partnership may redeem the Notes Due 2032 at its option and sole discretion at any time prior to December 15, 2031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the Operating Partnership executed its initial public bond issuance by selling $450.0 million principal amount of 2.550% Senior Notes due 2031 (the "Notes Due 2031"). Interest on the Notes Due 2031 is paid semi-annually in arrears on June 1 and December 1 of each year. The Notes Due 2031 will mature on June 1, 2031, and the Operating Partnership may redeem the Notes Due 2031 at its option and sole discretion at any time prior to March 1, 2031 for cash equal to the outstanding principal amount plus the present value of the remaining scheduled interest payments, plus any accrued but unpaid interest.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Operating Partner may redeem the Notes Due 2028, the Notes Due 2029, the Notes Due 2031 and/or the Notes Due 2032 (collectively, the "Notes") in whole at any time or in part from time to time, at the Operating Partnership’s option and sole discretion, at a redemption price equal to the greater of (i) 100% of the principal amount of the notes being redeemed and (ii) a make-whole premium calculated in accordance with the indenture governing the notes, plus, in each case, accrued and unpaid interest thereon to, but not including, the applicable redemption date. Notwithstanding the foregoing, on or after the par call date, the redemption price will be equal to 100% of the principal amount of the notes being redeemed, plus accrued and unpaid interest thereon to, but not including, the applicable redemption date. The par call date on the Notes Due 2028 is one month prior to the maturity. The par call date on the Notes Due 2029 is two months prior to the maturity. The par call date on the Notes Due 2031 and the Notes Due 2032 is three months prior to their maturity dates.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are considered events of default, which may result in the accelerated maturity of the Notes, including, among other things, a default for 30 days in the payment of any installment of interest under the notes or a default in the payment of the principal amount or redemption price due with respect to the notes, when the same become due and payable.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Notes are unsecured, and are fully and unconditionally guaranteed by the Company, ESS Holdings Business Trust I, and ESS Holdings Business Trust II (the "Guarantors," and together with the Operating Partnership, the "Obligated Group"), on a joint and several basis. The guarantee of the Notes will be a senior unsecured obligation of each Guarantor. The Guarantors have no material operations separate from the operation of the Operating Partnership and no material assets, other than their respective investments directly or indirectly in the Operating Partnership, and therefore the assets, liabilities, and results of operations of the Obligated Group are not materially different than those reported in the Company's financial statements.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components of term debt are summarized as follows:</w:t>
      </w:r>
    </w:p>
    <w:tbl>
      <w:tblPr>
        <w:tblW w:w="10205" w:type="dxa"/>
        <w:jc w:val="left"/>
        <w:tblInd w:w="0" w:type="dxa"/>
        <w:tblCellMar>
          <w:top w:w="28" w:type="dxa"/>
          <w:left w:w="28" w:type="dxa"/>
          <w:bottom w:w="28" w:type="dxa"/>
          <w:right w:w="28" w:type="dxa"/>
        </w:tblCellMar>
      </w:tblPr>
      <w:tblGrid>
        <w:gridCol w:w="828"/>
        <w:gridCol w:w="641"/>
        <w:gridCol w:w="601"/>
        <w:gridCol w:w="207"/>
        <w:gridCol w:w="920"/>
        <w:gridCol w:w="114"/>
        <w:gridCol w:w="109"/>
        <w:gridCol w:w="109"/>
        <w:gridCol w:w="109"/>
        <w:gridCol w:w="231"/>
        <w:gridCol w:w="1030"/>
        <w:gridCol w:w="128"/>
        <w:gridCol w:w="109"/>
        <w:gridCol w:w="109"/>
        <w:gridCol w:w="109"/>
        <w:gridCol w:w="321"/>
        <w:gridCol w:w="302"/>
        <w:gridCol w:w="304"/>
        <w:gridCol w:w="109"/>
        <w:gridCol w:w="109"/>
        <w:gridCol w:w="109"/>
        <w:gridCol w:w="412"/>
        <w:gridCol w:w="412"/>
        <w:gridCol w:w="413"/>
        <w:gridCol w:w="109"/>
        <w:gridCol w:w="109"/>
        <w:gridCol w:w="109"/>
        <w:gridCol w:w="109"/>
        <w:gridCol w:w="109"/>
        <w:gridCol w:w="577"/>
        <w:gridCol w:w="508"/>
        <w:gridCol w:w="730"/>
      </w:tblGrid>
      <w:tr>
        <w:trPr/>
        <w:tc>
          <w:tcPr>
            <w:tcW w:w="82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Term Debt</w:t>
            </w:r>
          </w:p>
        </w:tc>
        <w:tc>
          <w:tcPr>
            <w:tcW w:w="12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Variable Rate</w:t>
            </w:r>
            <w:r>
              <w:rPr>
                <w:color w:val="000000"/>
              </w:rPr>
              <w:t xml:space="preserve"> </w:t>
            </w:r>
            <w:r>
              <w:rPr>
                <w:rFonts w:ascii="Times New Roman;sans-serif" w:hAnsi="Times New Roman;sans-serif"/>
                <w:b/>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Dates</w:t>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Secured fixed-rate </w:t>
            </w:r>
            <w:r>
              <w:rPr>
                <w:rFonts w:ascii="Times New Roman;sans-serif" w:hAnsi="Times New Roman;sans-serif"/>
                <w:b w:val="false"/>
                <w:color w:val="000000"/>
                <w:sz w:val="12"/>
              </w:rPr>
              <w:t>(1)</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520,764 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521,820 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2.56% - 4.56%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2025 - February 2030</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Secured variable-rate </w:t>
            </w:r>
            <w:r>
              <w:rPr>
                <w:rFonts w:ascii="Times New Roman;sans-serif" w:hAnsi="Times New Roman;sans-serif"/>
                <w:b w:val="false"/>
                <w:color w:val="000000"/>
                <w:sz w:val="12"/>
              </w:rPr>
              <w:t>(1)</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791,703 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772,604 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5.80% - 6.37%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2023 - September 2030</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fixed-rate</w:t>
            </w:r>
          </w:p>
        </w:tc>
        <w:tc>
          <w:tcPr>
            <w:tcW w:w="11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4,686,633 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4,240,376 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2.35% - 5.70%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2024 - March 2032</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Unsecured variable-rate</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1,273,367 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884,624 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5.85% - 5.85%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2024 - January 2028</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7,272,467 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6,419,424 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vAlign w:val="center"/>
          </w:tcPr>
          <w:p>
            <w:pPr>
              <w:pStyle w:val="TableContents"/>
              <w:spacing w:before="0" w:after="283"/>
              <w:rPr>
                <w:sz w:val="4"/>
                <w:szCs w:val="4"/>
              </w:rPr>
            </w:pPr>
            <w:r>
              <w:rPr>
                <w:sz w:val="4"/>
                <w:szCs w:val="4"/>
              </w:rPr>
            </w:r>
          </w:p>
        </w:tc>
        <w:tc>
          <w:tcPr>
            <w:tcW w:w="12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15" w:type="dxa"/>
            <w:gridSpan w:val="3"/>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11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(35,169)</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(32,962)</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7,237,298 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6,386,462 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63" w:type="dxa"/>
            <w:gridSpan w:val="26"/>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loans are collateralized by mortgages on real estate assets and the assignment of rents.</w:t>
            </w:r>
          </w:p>
        </w:tc>
        <w:tc>
          <w:tcPr>
            <w:tcW w:w="2142" w:type="dxa"/>
            <w:gridSpan w:val="6"/>
            <w:tcBorders/>
            <w:shd w:fill="auto" w:val="clear"/>
          </w:tcPr>
          <w:p>
            <w:pPr>
              <w:pStyle w:val="TableContents"/>
              <w:spacing w:before="0" w:after="283"/>
              <w:rPr>
                <w:sz w:val="4"/>
                <w:szCs w:val="4"/>
              </w:rPr>
            </w:pPr>
            <w:r>
              <w:rPr>
                <w:sz w:val="4"/>
                <w:szCs w:val="4"/>
              </w:rPr>
            </w:r>
          </w:p>
        </w:tc>
      </w:tr>
      <w:tr>
        <w:trPr/>
        <w:tc>
          <w:tcPr>
            <w:tcW w:w="8063"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Basis rates include 30-day USD LIBOR, Term SOFR and Daily Simple SOFR.</w:t>
            </w:r>
          </w:p>
        </w:tc>
        <w:tc>
          <w:tcPr>
            <w:tcW w:w="2142" w:type="dxa"/>
            <w:gridSpan w:val="6"/>
            <w:tcBorders/>
            <w:shd w:fill="auto" w:val="clear"/>
          </w:tcPr>
          <w:p>
            <w:pPr>
              <w:pStyle w:val="TableContents"/>
              <w:spacing w:before="0" w:after="283"/>
              <w:rPr>
                <w:sz w:val="4"/>
                <w:szCs w:val="4"/>
              </w:rPr>
            </w:pPr>
            <w:r>
              <w:rPr>
                <w:sz w:val="4"/>
                <w:szCs w:val="4"/>
              </w:rPr>
            </w:r>
          </w:p>
        </w:tc>
      </w:tr>
    </w:tbl>
    <w:p>
      <w:pPr>
        <w:pStyle w:val="TextBody"/>
        <w:spacing w:lineRule="auto" w:line="288" w:before="240" w:after="16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scheduled maturities of term debt, excluding available extensions, at March 31, 2023:</w:t>
      </w:r>
    </w:p>
    <w:tbl>
      <w:tblPr>
        <w:tblW w:w="2287" w:type="dxa"/>
        <w:jc w:val="left"/>
        <w:tblInd w:w="0" w:type="dxa"/>
        <w:tblCellMar>
          <w:top w:w="28" w:type="dxa"/>
          <w:left w:w="28" w:type="dxa"/>
          <w:bottom w:w="28" w:type="dxa"/>
          <w:right w:w="28" w:type="dxa"/>
        </w:tblCellMar>
      </w:tblPr>
      <w:tblGrid>
        <w:gridCol w:w="342"/>
        <w:gridCol w:w="300"/>
        <w:gridCol w:w="304"/>
        <w:gridCol w:w="211"/>
        <w:gridCol w:w="976"/>
        <w:gridCol w:w="154"/>
      </w:tblGrid>
      <w:tr>
        <w:trPr/>
        <w:tc>
          <w:tcPr>
            <w:tcW w:w="34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354,175 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809,427 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871,079 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18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3,769,191 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terms of the Second Amended and Restated Credit Agreement dated June 22, 2021 (the "Credit Agreement") are as follows: </w:t>
      </w:r>
    </w:p>
    <w:tbl>
      <w:tblPr>
        <w:tblW w:w="6028" w:type="dxa"/>
        <w:jc w:val="left"/>
        <w:tblInd w:w="0" w:type="dxa"/>
        <w:tblCellMar>
          <w:top w:w="28" w:type="dxa"/>
          <w:left w:w="28" w:type="dxa"/>
          <w:bottom w:w="28" w:type="dxa"/>
          <w:right w:w="28" w:type="dxa"/>
        </w:tblCellMar>
      </w:tblPr>
      <w:tblGrid>
        <w:gridCol w:w="994"/>
        <w:gridCol w:w="872"/>
        <w:gridCol w:w="878"/>
        <w:gridCol w:w="109"/>
        <w:gridCol w:w="109"/>
        <w:gridCol w:w="109"/>
        <w:gridCol w:w="211"/>
        <w:gridCol w:w="976"/>
        <w:gridCol w:w="109"/>
        <w:gridCol w:w="109"/>
        <w:gridCol w:w="109"/>
        <w:gridCol w:w="109"/>
        <w:gridCol w:w="390"/>
        <w:gridCol w:w="390"/>
        <w:gridCol w:w="554"/>
      </w:tblGrid>
      <w:tr>
        <w:trPr/>
        <w:tc>
          <w:tcPr>
            <w:tcW w:w="994"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2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Capacity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2025</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1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2027</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2 Term Loan Facility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October 2026</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3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4 Term Loan Facility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June 2026</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5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February 2024</w:t>
            </w:r>
          </w:p>
        </w:tc>
      </w:tr>
      <w:tr>
        <w:trPr/>
        <w:tc>
          <w:tcPr>
            <w:tcW w:w="27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6 Term Loan Facility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2028</w:t>
            </w:r>
          </w:p>
        </w:tc>
      </w:tr>
      <w:tr>
        <w:trPr/>
        <w:tc>
          <w:tcPr>
            <w:tcW w:w="27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Tranche 7 Term Loan Facility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July 2029</w:t>
            </w:r>
          </w:p>
        </w:tc>
      </w:tr>
      <w:tr>
        <w:trPr/>
        <w:tc>
          <w:tcPr>
            <w:tcW w:w="2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(1) The term loan amounts have been fully drawn as of March 31, 2023.</w:t>
      </w:r>
    </w:p>
    <w:p>
      <w:pPr>
        <w:pStyle w:val="TextBody"/>
        <w:spacing w:before="0" w:after="0"/>
        <w:ind w:left="0" w:right="0" w:firstLine="450"/>
        <w:rPr/>
      </w:pPr>
      <w:r>
        <w:rPr/>
      </w:r>
    </w:p>
    <w:p>
      <w:pPr>
        <w:pStyle w:val="TextBody"/>
        <w:spacing w:lineRule="auto" w:line="26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Credit Agreement, the Company may request an extension of the term of the revolving credit facility for up to two additional periods of six months each, after satisfying certain conditions.</w:t>
      </w:r>
    </w:p>
    <w:p>
      <w:pPr>
        <w:pStyle w:val="TextBody"/>
        <w:spacing w:before="0" w:after="0"/>
        <w:ind w:left="0" w:right="0" w:firstLine="450"/>
        <w:rPr/>
      </w:pPr>
      <w:r>
        <w:rPr/>
      </w:r>
    </w:p>
    <w:p>
      <w:pPr>
        <w:pStyle w:val="TextBody"/>
        <w:spacing w:lineRule="auto" w:line="276"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amounts outstanding under the revolving credit facility bore interest at floating rates, at the Company’s option, equal to either (i) Term or Daily Simple SOFR plus the Applicable Margin or (ii) the applicable base rate which is the applicable margin plus the highest of (a) 0.0%, (b) the federal funds rate plus 0.50%, (c) U.S. Bank’s prime rate or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 the SOFR rate plus 1.00%. Per the Credit Agreement, the applicable SOFR rate margin and applicable base rate margin are based on the Company’s achieved debt rating, with the SOFR rate margin ranging from 0.7% to 1.6% per annum and the applicable base rate margin ranging from 0.00% to 0.60% per annum.</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Credit Agreement is guaranteed by the Company and is not secured by any assets of the Company. The Company's unsecured debt is subject to certain financial covenants. As of March 31, 2023, the Company was in compliance with all of its financial covenants.</w:t>
      </w:r>
    </w:p>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July 2022, the Company completed an accordion transaction in its credit facility, which added a $175.0 million unsecured debt tranche maturing January 2028 and a $425.0 million unsecured debt tranche maturing July 2029. The current interest rates for the tranches are Adjusted Term SOFR/Adjusted Daily Simple SOFR ("ASOFR") + 0.95% and ASOFR + 1.25%, respectively.</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All of the Company’s lines of credit are guaranteed by the Company. The following table presents information on the Company’s lines of credit, the proceeds of which are used to repay debt and for general corporate purposes, for the periods indicated:</w:t>
      </w:r>
    </w:p>
    <w:tbl>
      <w:tblPr>
        <w:tblW w:w="10205" w:type="dxa"/>
        <w:jc w:val="left"/>
        <w:tblInd w:w="0" w:type="dxa"/>
        <w:tblCellMar>
          <w:top w:w="28" w:type="dxa"/>
          <w:left w:w="28" w:type="dxa"/>
          <w:bottom w:w="28" w:type="dxa"/>
          <w:right w:w="28" w:type="dxa"/>
        </w:tblCellMar>
      </w:tblPr>
      <w:tblGrid>
        <w:gridCol w:w="743"/>
        <w:gridCol w:w="652"/>
        <w:gridCol w:w="657"/>
        <w:gridCol w:w="299"/>
        <w:gridCol w:w="1024"/>
        <w:gridCol w:w="154"/>
        <w:gridCol w:w="129"/>
        <w:gridCol w:w="129"/>
        <w:gridCol w:w="129"/>
        <w:gridCol w:w="251"/>
        <w:gridCol w:w="1165"/>
        <w:gridCol w:w="129"/>
        <w:gridCol w:w="129"/>
        <w:gridCol w:w="129"/>
        <w:gridCol w:w="129"/>
        <w:gridCol w:w="394"/>
        <w:gridCol w:w="394"/>
        <w:gridCol w:w="396"/>
        <w:gridCol w:w="129"/>
        <w:gridCol w:w="129"/>
        <w:gridCol w:w="129"/>
        <w:gridCol w:w="129"/>
        <w:gridCol w:w="129"/>
        <w:gridCol w:w="365"/>
        <w:gridCol w:w="365"/>
        <w:gridCol w:w="367"/>
        <w:gridCol w:w="109"/>
        <w:gridCol w:w="109"/>
        <w:gridCol w:w="109"/>
        <w:gridCol w:w="328"/>
        <w:gridCol w:w="313"/>
        <w:gridCol w:w="463"/>
      </w:tblGrid>
      <w:tr>
        <w:trPr/>
        <w:tc>
          <w:tcPr>
            <w:tcW w:w="74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2023</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Revolving Lines of Credit</w:t>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Drawn</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Capacity</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Basis Rate </w:t>
            </w:r>
            <w:r>
              <w:rPr>
                <w:rFonts w:ascii="Times New Roman;sans-serif" w:hAnsi="Times New Roman;sans-serif"/>
                <w:b/>
                <w:color w:val="000000"/>
                <w:sz w:val="13"/>
              </w:rPr>
              <w:t>(1)</w:t>
            </w:r>
          </w:p>
        </w:tc>
      </w:tr>
      <w:tr>
        <w:trPr/>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Credit Line 1 </w:t>
            </w:r>
            <w:r>
              <w:rPr>
                <w:rFonts w:ascii="Times New Roman;sans-serif" w:hAnsi="Times New Roman;sans-serif"/>
                <w:b w:val="false"/>
                <w:color w:val="000000"/>
                <w:sz w:val="13"/>
              </w:rPr>
              <w:t>(2)</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plus 1.35%</w:t>
            </w:r>
          </w:p>
        </w:tc>
      </w:tr>
      <w:tr>
        <w:trPr/>
        <w:tc>
          <w:tcPr>
            <w:tcW w:w="205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Credit Line 2 </w:t>
            </w:r>
            <w:r>
              <w:rPr>
                <w:rFonts w:ascii="Times New Roman;sans-serif" w:hAnsi="Times New Roman;sans-serif"/>
                <w:b w:val="false"/>
                <w:color w:val="000000"/>
                <w:sz w:val="13"/>
              </w:rPr>
              <w:t>(3)(4)</w:t>
            </w:r>
          </w:p>
        </w:tc>
        <w:tc>
          <w:tcPr>
            <w:tcW w:w="132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5.82%</w:t>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6/20/2025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plus 0.95%</w:t>
            </w:r>
          </w:p>
        </w:tc>
      </w:tr>
      <w:tr>
        <w:trPr/>
        <w:tc>
          <w:tcPr>
            <w:tcW w:w="20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1,390,000 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74"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Term SOFR or Daily Simple SOFR</w:t>
            </w:r>
          </w:p>
        </w:tc>
        <w:tc>
          <w:tcPr>
            <w:tcW w:w="1431" w:type="dxa"/>
            <w:gridSpan w:val="6"/>
            <w:tcBorders/>
            <w:shd w:fill="auto" w:val="clear"/>
          </w:tcPr>
          <w:p>
            <w:pPr>
              <w:pStyle w:val="TableContents"/>
              <w:spacing w:before="0" w:after="283"/>
              <w:rPr>
                <w:sz w:val="4"/>
                <w:szCs w:val="4"/>
              </w:rPr>
            </w:pPr>
            <w:r>
              <w:rPr>
                <w:sz w:val="4"/>
                <w:szCs w:val="4"/>
              </w:rPr>
            </w:r>
          </w:p>
        </w:tc>
      </w:tr>
      <w:tr>
        <w:trPr/>
        <w:tc>
          <w:tcPr>
            <w:tcW w:w="8774"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 Secured by mortgages on certain real estate assets. On January 13, 2023 the maturity date was extended to July 1, 2026 with one extension of one year available.</w:t>
            </w:r>
          </w:p>
        </w:tc>
        <w:tc>
          <w:tcPr>
            <w:tcW w:w="1431" w:type="dxa"/>
            <w:gridSpan w:val="6"/>
            <w:tcBorders/>
            <w:shd w:fill="auto" w:val="clear"/>
          </w:tcPr>
          <w:p>
            <w:pPr>
              <w:pStyle w:val="TableContents"/>
              <w:spacing w:before="0" w:after="283"/>
              <w:rPr>
                <w:sz w:val="4"/>
                <w:szCs w:val="4"/>
              </w:rPr>
            </w:pPr>
            <w:r>
              <w:rPr>
                <w:sz w:val="4"/>
                <w:szCs w:val="4"/>
              </w:rPr>
            </w:r>
          </w:p>
        </w:tc>
      </w:tr>
      <w:tr>
        <w:trPr/>
        <w:tc>
          <w:tcPr>
            <w:tcW w:w="8774"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 Unsecured with two six-month extensions available.</w:t>
            </w:r>
          </w:p>
        </w:tc>
        <w:tc>
          <w:tcPr>
            <w:tcW w:w="1431" w:type="dxa"/>
            <w:gridSpan w:val="6"/>
            <w:tcBorders/>
            <w:shd w:fill="auto" w:val="clear"/>
          </w:tcPr>
          <w:p>
            <w:pPr>
              <w:pStyle w:val="TableContents"/>
              <w:spacing w:before="0" w:after="283"/>
              <w:rPr>
                <w:sz w:val="4"/>
                <w:szCs w:val="4"/>
              </w:rPr>
            </w:pPr>
            <w:r>
              <w:rPr>
                <w:sz w:val="4"/>
                <w:szCs w:val="4"/>
              </w:rPr>
            </w:r>
          </w:p>
        </w:tc>
      </w:tr>
      <w:tr>
        <w:trPr/>
        <w:tc>
          <w:tcPr>
            <w:tcW w:w="8774" w:type="dxa"/>
            <w:gridSpan w:val="26"/>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 Basis Rate as of March 31, 2023. Rate is subject to change based on our investment grade rating.</w:t>
            </w:r>
          </w:p>
        </w:tc>
        <w:tc>
          <w:tcPr>
            <w:tcW w:w="1431" w:type="dxa"/>
            <w:gridSpan w:val="6"/>
            <w:tcBorders/>
            <w:shd w:fill="auto" w:val="clea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percentage of fixed-rate debt to total debt was 70.7%. The weighted average interest rates of the Company’s fixed and variable-rate debt were 3.6% and 6.0%, respectively. The combined weighted average interest rate was 4.3%.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11.    DERIVATIVES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by using derivative financial instruments. Specifically, the Company enters into derivative financial instruments to manage exposure that arises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Cash Flow Hedges of Interest Rate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portion of changes in the fair value of derivatives designated and that qualify as cash flow hedges is recorded in accumulated other comprehensive income (“OCI”) and is subsequently reclassified into earnings in the period that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hedged forecasted transaction affects earnings. A portion of these changes is excluded from accumulated other comprehensive income as it is allocated to noncontrolling interests. During the three months ended March 31, 2023 and 2022, such derivatives were used to hedge the variable cash flows associated with existing variable-rate debt. In the coming 12 months, the Company estimates that $30,899 will be reclassified as an increase to interest income.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held 18 derivative financial instruments which had a total combined notional amount of $1,782,610 as of March 31,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Fair Values of Derivative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fair value of the Company’s derivative financial instruments as well as their classification on the condensed consolidated balance sheets:</w:t>
      </w:r>
    </w:p>
    <w:tbl>
      <w:tblPr>
        <w:tblW w:w="6882" w:type="dxa"/>
        <w:jc w:val="left"/>
        <w:tblInd w:w="0" w:type="dxa"/>
        <w:tblCellMar>
          <w:top w:w="28" w:type="dxa"/>
          <w:left w:w="28" w:type="dxa"/>
          <w:bottom w:w="28" w:type="dxa"/>
          <w:right w:w="28" w:type="dxa"/>
        </w:tblCellMar>
      </w:tblPr>
      <w:tblGrid>
        <w:gridCol w:w="1359"/>
        <w:gridCol w:w="1192"/>
        <w:gridCol w:w="1199"/>
        <w:gridCol w:w="255"/>
        <w:gridCol w:w="873"/>
        <w:gridCol w:w="132"/>
        <w:gridCol w:w="109"/>
        <w:gridCol w:w="109"/>
        <w:gridCol w:w="109"/>
        <w:gridCol w:w="300"/>
        <w:gridCol w:w="1026"/>
        <w:gridCol w:w="219"/>
      </w:tblGrid>
      <w:tr>
        <w:trPr/>
        <w:tc>
          <w:tcPr>
            <w:tcW w:w="1359"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1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 / Liability Derivatives</w:t>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7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25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1,190 </w:t>
            </w:r>
          </w:p>
        </w:tc>
        <w:tc>
          <w:tcPr>
            <w:tcW w:w="1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Effect of Derivative Instruments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effect of the Company’s derivative financial instruments on the condensed consolidated statements of operations for the periods presented. No tax effect has been presented as the derivative instruments are held by the Company:</w:t>
      </w:r>
    </w:p>
    <w:tbl>
      <w:tblPr>
        <w:tblW w:w="10205" w:type="dxa"/>
        <w:jc w:val="left"/>
        <w:tblInd w:w="0" w:type="dxa"/>
        <w:tblCellMar>
          <w:top w:w="28" w:type="dxa"/>
          <w:left w:w="28" w:type="dxa"/>
          <w:bottom w:w="28" w:type="dxa"/>
          <w:right w:w="28" w:type="dxa"/>
        </w:tblCellMar>
      </w:tblPr>
      <w:tblGrid>
        <w:gridCol w:w="444"/>
        <w:gridCol w:w="390"/>
        <w:gridCol w:w="394"/>
        <w:gridCol w:w="286"/>
        <w:gridCol w:w="897"/>
        <w:gridCol w:w="148"/>
        <w:gridCol w:w="148"/>
        <w:gridCol w:w="148"/>
        <w:gridCol w:w="148"/>
        <w:gridCol w:w="286"/>
        <w:gridCol w:w="979"/>
        <w:gridCol w:w="148"/>
        <w:gridCol w:w="109"/>
        <w:gridCol w:w="109"/>
        <w:gridCol w:w="109"/>
        <w:gridCol w:w="630"/>
        <w:gridCol w:w="630"/>
        <w:gridCol w:w="632"/>
        <w:gridCol w:w="109"/>
        <w:gridCol w:w="109"/>
        <w:gridCol w:w="109"/>
        <w:gridCol w:w="298"/>
        <w:gridCol w:w="871"/>
        <w:gridCol w:w="154"/>
        <w:gridCol w:w="154"/>
        <w:gridCol w:w="154"/>
        <w:gridCol w:w="154"/>
        <w:gridCol w:w="298"/>
        <w:gridCol w:w="935"/>
        <w:gridCol w:w="225"/>
      </w:tblGrid>
      <w:tr>
        <w:trPr/>
        <w:tc>
          <w:tcPr>
            <w:tcW w:w="44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2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recognized in OCI 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amounts reclassified from OCI into income</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 (loss) reclassified from OCI for the Three Months Ended March 31,</w:t>
            </w:r>
          </w:p>
        </w:tc>
      </w:tr>
      <w:tr>
        <w:trPr/>
        <w:tc>
          <w:tcPr>
            <w:tcW w:w="122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Type</w:t>
            </w:r>
          </w:p>
        </w:tc>
        <w:tc>
          <w:tcPr>
            <w:tcW w:w="13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Agreements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Credit-risk-related Contingent Features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did not have any net liability positions in the fair value of derivatives.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12.    STOCKHOLDERS’ EQUITY</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January 7, 2022, the Company issued 186,766 shares of its common stock to acquire two stores for $40,965.</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9, 2021, the Company filed its $800,000 "at the market" equity program with the Securities and Exchange Commission using a shelf registration statement on Form S-3, and entered into separate equity distribution agreements with ten sales agents. No shares have been sold under the current "at the market" equity program. From January 1, 2021, through August 8, 2021, the Company sold 585,685 shares of common stock under its prior "at the market" equity program resulting in net proceeds of $66,617. </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October 15, 2020, the Company's board of directors authorized a new share repurchase program allowing for the repurchase of shares with an aggregate value up to $400,000. During 2022, a total of $63,008 was paid to repurchase 381,786 shares. During the three months ended March 31, 2023, no shares were repurchased. As of March 31, 2023, the Company had remaining authorization to repurchase shares with an aggregate value up to $336,992.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13.    NONCONTROLLING INTEREST REPRESENTED BY PREFERRED OPERATING PARTNERSHIP UNITS</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Classification of Noncontrolling Interests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As of December 31, 2022, noncontrolling interests in Preferred OP Units were presented net of notes receivable from Preferred OP Unit holders of $100,000 as more fully described below. The balances for each of the specific Preferred OP Units as presented in the Statement of Noncontrolling Interests and Equity as of the periods indicated is as follows:</w:t>
      </w:r>
    </w:p>
    <w:p>
      <w:pPr>
        <w:pStyle w:val="TextBody"/>
        <w:spacing w:before="0" w:after="0"/>
        <w:jc w:val="center"/>
        <w:rPr/>
      </w:pPr>
      <w:r>
        <w:rPr/>
      </w:r>
    </w:p>
    <w:tbl>
      <w:tblPr>
        <w:tblW w:w="4389" w:type="dxa"/>
        <w:jc w:val="center"/>
        <w:tblInd w:w="0" w:type="dxa"/>
        <w:tblCellMar>
          <w:top w:w="28" w:type="dxa"/>
          <w:left w:w="28" w:type="dxa"/>
          <w:bottom w:w="28" w:type="dxa"/>
          <w:right w:w="28" w:type="dxa"/>
        </w:tblCellMar>
      </w:tblPr>
      <w:tblGrid>
        <w:gridCol w:w="455"/>
        <w:gridCol w:w="400"/>
        <w:gridCol w:w="404"/>
        <w:gridCol w:w="232"/>
        <w:gridCol w:w="908"/>
        <w:gridCol w:w="119"/>
        <w:gridCol w:w="109"/>
        <w:gridCol w:w="109"/>
        <w:gridCol w:w="109"/>
        <w:gridCol w:w="273"/>
        <w:gridCol w:w="1072"/>
        <w:gridCol w:w="199"/>
      </w:tblGrid>
      <w:tr>
        <w:trPr/>
        <w:tc>
          <w:tcPr>
            <w:tcW w:w="455"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Units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Units</w:t>
            </w:r>
          </w:p>
        </w:tc>
        <w:tc>
          <w:tcPr>
            <w:tcW w:w="11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1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33,568 </w:t>
            </w:r>
          </w:p>
        </w:tc>
        <w:tc>
          <w:tcPr>
            <w:tcW w:w="19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D Units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189,372 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211,436 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222,940 </w:t>
            </w:r>
          </w:p>
        </w:tc>
        <w:tc>
          <w:tcPr>
            <w:tcW w:w="1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261,502 </w:t>
            </w:r>
          </w:p>
        </w:tc>
        <w:tc>
          <w:tcPr>
            <w:tcW w:w="19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Series A Participating Redeemable Preferred Units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A Units. The Series A Units have priority over all other partnership interests of the Operating Partnership with respect to distributions and liquidation.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Series A Units were issued in June 2007. Series A Units in the amount of $101,700 bore a fixed priority return of 2.3% and originally had a fixed liquidation value of $115,000. The remaining balance participated in distributions with, and had a liquidation value equal to that of the OP Units. The Series A Units were redeemable at the option of the holder, which redemption obligation could have been satisfied, at the Company’s option, in cash or shares of its common stock. As a result of a redemption of 114,500 Series A Units in October 2014, the remaining fixed liquidation value was reduced to $101,700, which represented 875,480 Series A Units.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June 25, 2007, the Operating Partnership loaned the holder of the Series A Units $100,000. The loan bore interest at 2.1%. The loan was secured by the borrower’s Series A Units, which are shown on the balance sheet net of the $100,000 loan as of December 31, 2022 because the borrower under the loan was also the holder of the Series A Units.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January 25, 2023, the redemption obligation for all outstanding Series A Units was satisfied, at the Company’s option, in $5,000 cash, 851,698 shares of its common stock, which was net of the noncash settlement of the $100,000 loan. As a result of this redemption, no Series A Units were outstanding as of March 31, 2023.</w:t>
      </w:r>
    </w:p>
    <w:p>
      <w:pPr>
        <w:pStyle w:val="TextBody"/>
        <w:spacing w:before="0" w:after="0"/>
        <w:ind w:left="0" w:right="0" w:firstLine="495"/>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Series B Redeemable Preferred Units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B Units were issued in 2013 and 2014. The Series B Units have a liquidation value of $25.00 per unit for a fixed liquidation value of $33,568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May 10, 2022, 45,000 Series B Units were redeemed for $1,125 in cash.</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Series C Redeemable Preferred Units</w:t>
      </w:r>
    </w:p>
    <w:p>
      <w:pPr>
        <w:pStyle w:val="TextBody"/>
        <w:spacing w:before="0" w:after="0"/>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pStyle w:val="TextBody"/>
        <w:spacing w:before="0" w:after="0"/>
        <w:ind w:left="0" w:right="0" w:firstLine="495"/>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there were no outstanding Series C Units.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Series D Redeemable Preferred Units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pStyle w:val="TextBody"/>
        <w:spacing w:lineRule="auto" w:line="288" w:before="120" w:after="283"/>
        <w:ind w:left="0" w:right="0" w:firstLine="495"/>
        <w:rPr/>
      </w:pPr>
      <w:r>
        <w:rPr>
          <w:rFonts w:ascii="Times New Roman;sans-serif" w:hAnsi="Times New Roman;sans-serif"/>
          <w:b w:val="false"/>
          <w:color w:val="000000"/>
          <w:sz w:val="20"/>
        </w:rPr>
        <w:t>The Series D Units have a liquidation value of $25.00</w:t>
      </w:r>
      <w:r>
        <w:rPr>
          <w:color w:val="FF0000"/>
        </w:rPr>
        <w:t xml:space="preserve"> </w:t>
      </w:r>
      <w:r>
        <w:rPr>
          <w:rFonts w:ascii="Times New Roman;sans-serif" w:hAnsi="Times New Roman;sans-serif"/>
          <w:b w:val="false"/>
          <w:color w:val="000000"/>
          <w:sz w:val="20"/>
        </w:rPr>
        <w:t>per unit, for a fixed liquidation value of $189,171, which represents 7,566,828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Series D Units have been issued at various times from 2014 to 2022. On June 1, 2022, the Operating Partnership issued a total of 240,000 Series D units valued at $6,000 in connection with the acquisition of Bargold.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January 3, 2023, 890,594 Series D units were redeemed for 154,307 shares of common stock.</w:t>
      </w:r>
    </w:p>
    <w:p>
      <w:pPr>
        <w:pStyle w:val="TextBody"/>
        <w:spacing w:before="12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14.    NONCONTROLLING INTEREST IN OPERATING PARTNERSHIP AND OTHER NONCONTROLLING INTERESTS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 in Operating Partnership</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Company’s interest in its stores is held through the Operating Partnership. Between its general partner and limited partner interests, the Company held a 94.0% ownership interest in the Operating Partnership as of March 31, 2023. The remaining ownership interests in the Operating Partnership (including Preferred OP Units) of 6.0% are held by certain former owners of assets acquired by the Operating Partnership. As of March 31, 2023 and December 31, 2022,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March 31, 2023, the ten-day average closing price of the Company's common stock was $155.29 and there were 7,214,649 OP Units outstanding. Assuming that all of the OP Unit holders exercised their right to redeem all of their OP Units on March 31, 2023 and the Company elected to pay the OP Unit holders cash, the Company would have paid $1,120,363 in cash consideration to redeem the units.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OP Unit activity is summarized as follows for the periods presented:</w:t>
      </w:r>
    </w:p>
    <w:tbl>
      <w:tblPr>
        <w:tblW w:w="6009" w:type="dxa"/>
        <w:jc w:val="left"/>
        <w:tblInd w:w="0" w:type="dxa"/>
        <w:tblCellMar>
          <w:top w:w="28" w:type="dxa"/>
          <w:left w:w="28" w:type="dxa"/>
          <w:bottom w:w="28" w:type="dxa"/>
          <w:right w:w="28" w:type="dxa"/>
        </w:tblCellMar>
      </w:tblPr>
      <w:tblGrid>
        <w:gridCol w:w="1010"/>
        <w:gridCol w:w="888"/>
        <w:gridCol w:w="892"/>
        <w:gridCol w:w="334"/>
        <w:gridCol w:w="643"/>
        <w:gridCol w:w="172"/>
        <w:gridCol w:w="172"/>
        <w:gridCol w:w="172"/>
        <w:gridCol w:w="172"/>
        <w:gridCol w:w="334"/>
        <w:gridCol w:w="976"/>
        <w:gridCol w:w="244"/>
      </w:tblGrid>
      <w:tr>
        <w:trPr/>
        <w:tc>
          <w:tcPr>
            <w:tcW w:w="1010"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 Units redeemed for cash</w:t>
            </w:r>
          </w:p>
        </w:tc>
        <w:tc>
          <w:tcPr>
            <w:tcW w:w="977"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13,028 </w:t>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 Units redeemed</w:t>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1149"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5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Noncontrolling Interests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noncontrolling interests represent the ownership interests of third parties in five consolidated joint ventures as of March 31, 2023. One joint venture owns one operating store and the other four joint ventures have a combined total of six properties under development. The voting interest of each third-party owner is between 3.0% and 31.0%.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self-storage operations activities include rental operations of wholly-owned stores and self-storage units acquired in the Bargold transaction.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tbl>
      <w:tblPr>
        <w:tblW w:w="9576" w:type="dxa"/>
        <w:jc w:val="center"/>
        <w:tblInd w:w="0" w:type="dxa"/>
        <w:tblCellMar>
          <w:top w:w="28" w:type="dxa"/>
          <w:left w:w="28" w:type="dxa"/>
          <w:bottom w:w="28" w:type="dxa"/>
          <w:right w:w="28" w:type="dxa"/>
        </w:tblCellMar>
      </w:tblPr>
      <w:tblGrid>
        <w:gridCol w:w="2063"/>
        <w:gridCol w:w="1812"/>
        <w:gridCol w:w="1824"/>
        <w:gridCol w:w="292"/>
        <w:gridCol w:w="1146"/>
        <w:gridCol w:w="151"/>
        <w:gridCol w:w="292"/>
        <w:gridCol w:w="1146"/>
        <w:gridCol w:w="151"/>
        <w:gridCol w:w="109"/>
        <w:gridCol w:w="109"/>
        <w:gridCol w:w="109"/>
        <w:gridCol w:w="109"/>
        <w:gridCol w:w="109"/>
        <w:gridCol w:w="154"/>
      </w:tblGrid>
      <w:tr>
        <w:trPr/>
        <w:tc>
          <w:tcPr>
            <w:tcW w:w="2063"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7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433,962 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379,808 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47,704 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revenues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481,666 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103,542 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operating expenses</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126,255 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110,584 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income:</w:t>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Self-Storage Operations</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316,796 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276,266 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Reinsurance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segment net operating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313,021 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components of net income:</w:t>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Management fees and other income</w:t>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21,384 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19,957 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(34,763)</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(78,490)</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expense </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(80,099)</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(42,538)</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19,438 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18,989 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217,717 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EXTRA SPACE STORAGE INC.</w:t>
      </w:r>
    </w:p>
    <w:p>
      <w:pPr>
        <w:pStyle w:val="TextBody"/>
        <w:spacing w:lineRule="auto" w:line="288" w:before="0" w:after="0"/>
        <w:rPr/>
      </w:pPr>
      <w:r>
        <w:rPr>
          <w:rFonts w:ascii="Times New Roman;sans-serif" w:hAnsi="Times New Roman;sans-serif"/>
          <w:b/>
          <w:color w:val="000000"/>
          <w:sz w:val="20"/>
        </w:rPr>
        <w:t>NOTES TO CONDENSED CONSOLIDATED FINANCIAL STATEMENTS</w:t>
      </w:r>
      <w:r>
        <w:rPr>
          <w:color w:val="000000"/>
        </w:rPr>
        <w:t xml:space="preserve"> </w:t>
      </w:r>
      <w:r>
        <w:rPr>
          <w:rFonts w:ascii="Times New Roman;sans-serif" w:hAnsi="Times New Roman;sans-serif"/>
          <w:b w:val="false"/>
          <w:color w:val="000000"/>
          <w:sz w:val="20"/>
        </w:rPr>
        <w:t>(unaudited) (continued)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 unless otherwise stated</w:t>
      </w: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16.    COMMITMENTS AND CONTINGENCIES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was under agreement to acquire 11 stores at a total purchase price of $144,106. Five stores are scheduled to close in 2023 and six stores are scheduled to close in 2024. Additionally, the Company is under agreement to acquire three stores with joint venture partners, for a total investment of $9,864. Two stores are scheduled to close in 2023 and one store is scheduled to close in 2024. </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720"/>
        <w:rPr>
          <w:rFonts w:ascii="Times New Roman;sans-serif" w:hAnsi="Times New Roman;sans-serif"/>
          <w:b/>
          <w:color w:val="000000"/>
          <w:sz w:val="20"/>
        </w:rPr>
      </w:pPr>
      <w:r>
        <w:rPr>
          <w:rFonts w:ascii="Times New Roman;sans-serif" w:hAnsi="Times New Roman;sans-serif"/>
          <w:b/>
          <w:color w:val="000000"/>
          <w:sz w:val="20"/>
        </w:rPr>
        <w:t>17.    SUBSEQUENT EVENTS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April 3, 2023, the Company entered into a definitive merger agreement with Life Storage, Inc. (NYSE: LSI) (“Life Storage”) in an all-stock transaction. Under the terms of the agreement, Life Storage stockholders will receive 0.895 of an Extra Space common share for each Life Storage share they own for estimated total consideration of $12.7 billion, based on Life Storage's closing share price on March 31, 2023. The combined company will own and/or manage over 3,500 locations and over 264.0 million net rentable square feet. The transaction is currently expected to close in the second half of 2023, subject to the approval of the Company and Life Storage stockholders and satisfaction of other customary closing conditions.</w:t>
      </w:r>
    </w:p>
    <w:p>
      <w:pPr>
        <w:pStyle w:val="TextBody"/>
        <w:spacing w:before="0" w:after="0"/>
        <w:ind w:left="0" w:right="0" w:firstLine="495"/>
        <w:rPr/>
      </w:pPr>
      <w:r>
        <w:rPr/>
      </w:r>
    </w:p>
    <w:p>
      <w:pPr>
        <w:pStyle w:val="TextBody"/>
        <w:spacing w:lineRule="auto" w:line="268" w:before="0" w:after="0"/>
        <w:ind w:left="0" w:right="0" w:firstLine="495"/>
        <w:rPr/>
      </w:pPr>
      <w:r>
        <w:rPr>
          <w:rFonts w:ascii="Times New Roman;sans-serif" w:hAnsi="Times New Roman;sans-serif"/>
          <w:b w:val="false"/>
          <w:color w:val="000000"/>
          <w:sz w:val="20"/>
        </w:rPr>
        <w:t>On May 1, 2023, the Company invested $150.0 million in shares of newly issued convertible preferred stock of Strategic Storage Trust VI, Inc., an affiliate of SmartStop Self Storage REIT, Inc. The dividend rate for the preferred shares is 8.35% per annum, subject to increase after five years.</w:t>
      </w:r>
      <w:r>
        <w:rPr>
          <w:color w:val="000000"/>
        </w:rPr>
        <w:t xml:space="preserve"> </w:t>
      </w:r>
      <w:r>
        <w:rPr>
          <w:rFonts w:ascii="Times New Roman;sans-serif" w:hAnsi="Times New Roman;sans-serif"/>
          <w:b w:val="false"/>
          <w:color w:val="000000"/>
          <w:sz w:val="20"/>
        </w:rPr>
        <w:t>The preferred shares are generally not redeemable for three years, except in the case of a change of control, initial listing or certain other events, and are redeemable thereafter subject to a redemption premium.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thousands, except store and share data</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CAUTIONARY LANGUAGE</w: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val="false"/>
          <w:color w:val="000000"/>
          <w:sz w:val="20"/>
        </w:rPr>
        <w:t xml:space="preserve">The following discussion and analysis should be read in conjunction with our unaudited </w:t>
      </w:r>
      <w:r>
        <w:rPr>
          <w:color w:val="000000"/>
        </w:rPr>
        <w:t>“</w:t>
      </w:r>
      <w:r>
        <w:rPr>
          <w:rFonts w:ascii="Times New Roman;sans-serif" w:hAnsi="Times New Roman;sans-serif"/>
          <w:b w:val="false"/>
          <w:i/>
          <w:color w:val="000000"/>
          <w:sz w:val="20"/>
        </w:rPr>
        <w:t>Condensed Consolidated Financial Statements”</w:t>
      </w:r>
      <w:r>
        <w:rPr>
          <w:color w:val="000000"/>
        </w:rPr>
        <w:t xml:space="preserve"> </w:t>
      </w:r>
      <w:r>
        <w:rPr>
          <w:rFonts w:ascii="Times New Roman;sans-serif" w:hAnsi="Times New Roman;sans-serif"/>
          <w:b w:val="false"/>
          <w:color w:val="000000"/>
          <w:sz w:val="20"/>
        </w:rPr>
        <w:t>and the “</w:t>
      </w:r>
      <w:r>
        <w:rPr>
          <w:rFonts w:ascii="Times New Roman;sans-serif" w:hAnsi="Times New Roman;sans-serif"/>
          <w:b w:val="false"/>
          <w:i/>
          <w:color w:val="000000"/>
          <w:sz w:val="20"/>
        </w:rPr>
        <w:t>Notes to Condensed Consolidated Financial Statements (unaudited)”</w:t>
      </w:r>
      <w:r>
        <w:rPr>
          <w:color w:val="000000"/>
        </w:rPr>
        <w:t xml:space="preserve"> </w:t>
      </w:r>
      <w:r>
        <w:rPr>
          <w:rFonts w:ascii="Times New Roman;sans-serif" w:hAnsi="Times New Roman;sans-serif"/>
          <w:b w:val="false"/>
          <w:color w:val="000000"/>
          <w:sz w:val="20"/>
        </w:rPr>
        <w:t xml:space="preserve">appearing elsewhere in this report and the </w:t>
      </w:r>
      <w:r>
        <w:rPr>
          <w:color w:val="000000"/>
        </w:rPr>
        <w:t>“</w:t>
      </w:r>
      <w:r>
        <w:rPr>
          <w:rFonts w:ascii="Times New Roman;sans-serif" w:hAnsi="Times New Roman;sans-serif"/>
          <w:b w:val="false"/>
          <w:i/>
          <w:color w:val="000000"/>
          <w:sz w:val="20"/>
        </w:rPr>
        <w:t>Consolidated Financial Statements,” “Notes to Consolidated Financial Statements”</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contained in our Form 10-K for the year ended December 31, 2022. We make statements in this section that are forward-looking statements within the meaning of the federal securities laws. For a complete discussion of forward-looking statements, see the section in this Form 10-Q entitled “</w:t>
      </w:r>
      <w:r>
        <w:rPr>
          <w:rFonts w:ascii="Times New Roman;sans-serif" w:hAnsi="Times New Roman;sans-serif"/>
          <w:b w:val="false"/>
          <w:i/>
          <w:color w:val="000000"/>
          <w:sz w:val="20"/>
        </w:rPr>
        <w:t>Statement on Forward-Looking Information</w:t>
      </w:r>
      <w:r>
        <w:rPr>
          <w:rFonts w:ascii="Times New Roman;sans-serif" w:hAnsi="Times New Roman;sans-serif"/>
          <w:b w:val="false"/>
          <w:color w:val="000000"/>
          <w:sz w:val="20"/>
        </w:rPr>
        <w: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unaudited condensed consolidated financial statements contained elsewhere in this report, which have been prepared in accordance with GAAP. Our notes to the unaudited condensed consolidated financial statements contained elsewhere in this report and the audited financial statements contained in our Form 10-K for the year ended December 31, 2022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 </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stores are generally situated in highly visible locations clustered around large population centers. These areas typically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internally, these systems enable us to analyze, set and adjust rental rates in real time across our portfolio in order to respond to changing market conditions. We believe our systems and processes allow us to more pro-actively manage revenues.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respond quickly and effectively to changes in local, regional and national economic conditions by adjusting rental rates through the combination of our revenue management team and our proprietary pricing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On April 3, 2023, we entered into a definitive merger agreement for an all-stock transaction with Life Storage, Inc. (“Life Storage”), Life Storage LP (the “Operating Partnership”), Extra Space Storage LP (“Extra Space OP”), Eros Merger Sub, LLC ("Eros Merger Sub”) and Eros OP Merger Sub, LLC (“Eros OP Merger Sub”), pursuant to which Eros Merger Sub will merge with and into Life Storage (the “company merger”), with Life Storage surviving the company merger as our wholly owned subsidiary and (b) following certain conversion and contributions transactions, Eros OP Merger Sub will merge with and into the Operating Partnership (the “partnership merger” and together with the company merger, the “mergers”), with the Operating Partnership surviving the partnership merger and becoming a wholly owned subsidiary of Extra Space OP. Under the terms of the merger agreement, Life Storage stockholders will receive 0.895 of an Extra Space common share for each Life Storage share they own for estimated total consideration of $12.7 billion, based on Life Storage's closing share price on March 31, 2023. The combined company will own and/or manage over 3,500 locations and over 264.0 million net rentable square feet. The transaction is currently expected to close in the second half of 2023, subject to the approval of our stockholders and Life Storage stockholders and satisfaction of other customary closing conditions.</w:t>
      </w:r>
    </w:p>
    <w:p>
      <w:pPr>
        <w:pStyle w:val="TextBody"/>
        <w:spacing w:before="24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we owned or had ownership interests in 1,457 operating stores. Of these stores, 1,133 are wholly-owned, and 323 are in unconsolidated joint ventures. In addition, we managed an additional 931 stores for third parties bringing the total number of stores which we own and/or manage to 2,388. These stores are located in 41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approximately 1,380,000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2023, the average length of stay was approximately 16.6 months.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average annual rent per square foot for our existing customers at stabilized stores, net of discounts and bad debt, was $21.05 for the three months ended March 31, 2023, compared to $19.47 for the three months ended March 31, 2022. Average annual rent per square foot for new leases was $17.00 for the three months ended March 31, 2023, compared to $19.23 for the three months ended March 31, 2022. The average discounts, as a percentage of rental revenues, at all stabilized properties during these periods were 2.4% and 3.0%, respectively.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information regarding net rentable square feet and the number of stores by state.</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424"/>
        <w:gridCol w:w="372"/>
        <w:gridCol w:w="382"/>
        <w:gridCol w:w="323"/>
        <w:gridCol w:w="293"/>
        <w:gridCol w:w="294"/>
        <w:gridCol w:w="686"/>
        <w:gridCol w:w="334"/>
        <w:gridCol w:w="329"/>
        <w:gridCol w:w="314"/>
        <w:gridCol w:w="314"/>
        <w:gridCol w:w="230"/>
        <w:gridCol w:w="670"/>
        <w:gridCol w:w="349"/>
        <w:gridCol w:w="281"/>
        <w:gridCol w:w="285"/>
        <w:gridCol w:w="285"/>
        <w:gridCol w:w="286"/>
        <w:gridCol w:w="681"/>
        <w:gridCol w:w="337"/>
        <w:gridCol w:w="334"/>
        <w:gridCol w:w="316"/>
        <w:gridCol w:w="285"/>
        <w:gridCol w:w="286"/>
        <w:gridCol w:w="618"/>
        <w:gridCol w:w="459"/>
        <w:gridCol w:w="438"/>
      </w:tblGrid>
      <w:tr>
        <w:trPr/>
        <w:tc>
          <w:tcPr>
            <w:tcW w:w="424"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1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REIT Owned</w:t>
            </w:r>
          </w:p>
        </w:tc>
        <w:tc>
          <w:tcPr>
            <w:tcW w:w="215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Joint Venture Owned</w:t>
            </w:r>
          </w:p>
        </w:tc>
        <w:tc>
          <w:tcPr>
            <w:tcW w:w="220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Managed</w:t>
            </w:r>
          </w:p>
        </w:tc>
        <w:tc>
          <w:tcPr>
            <w:tcW w:w="24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w:t>
            </w:r>
          </w:p>
        </w:tc>
        <w:tc>
          <w:tcPr>
            <w:tcW w:w="9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Property Count</w:t>
            </w:r>
            <w:r>
              <w:rPr>
                <w:rFonts w:ascii="Times New Roman;sans-serif" w:hAnsi="Times New Roman;sans-serif"/>
                <w:b/>
                <w:color w:val="000000"/>
                <w:sz w:val="12"/>
              </w:rPr>
              <w:t>(1)</w:t>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3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Property Count</w:t>
            </w:r>
          </w:p>
        </w:tc>
        <w:tc>
          <w:tcPr>
            <w:tcW w:w="15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Rentable Square Feet</w:t>
            </w:r>
          </w:p>
        </w:tc>
      </w:tr>
      <w:tr>
        <w:trPr/>
        <w:tc>
          <w:tcPr>
            <w:tcW w:w="11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Alabama</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679,423 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150,808 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331,376 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1,161,607 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Arizona</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1,782,842 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838,314 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1,886,960 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4,508,116 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California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13,674,825 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3,593,534 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9,438,394 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26,706,753 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Colorado</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1,149,673 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664,192 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1,883,566 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3,697,431 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Connecticut</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538,516 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575,936 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565,783 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1,680,235 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143,615 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229,006 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372,621 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Florida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8,676,790 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3,780,667 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8,775,945 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21,233,402 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Georgia</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5,270,188 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1,216,731 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1,916,018 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8,402,937 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Hawaii</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943,023 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159,393 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1,102,416 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Idaho</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131,444 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144,965 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276,409 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Illinois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3,761,398 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740,804 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2,323,422 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6,825,624 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Indiana</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3,947,901 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1,511,350 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5,517,037 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Kansas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50,209 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108,920 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229,403 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388,532 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Kentucky</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961,009 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51,771 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784,596 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1,797,376 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386,884 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968,790 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1,355,674 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Maine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572,816 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572,816 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Maryland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2,953,703 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898,245 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3,137,011 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6,988,959 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Massachusetts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3,001,958 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614,539 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1,819,757 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5,436,254 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Michigan</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667,804 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309,126 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831,784 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1,808,714 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Minnesota</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584,539 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304,397 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1,171,915 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2,060,851 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Mississippi</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234,295 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65,368 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299,663 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Missouri</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431,181 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986,582 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1,537,363 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Nebraska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278,106 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278,106 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Nevada</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1,039,847 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474,001 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817,803 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2,331,651 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Hampshire</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134,764 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84,165 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483,879 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702,808 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Jersey</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5,116,539 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1,228,585 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3,028,054 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9,373,178 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Mexico</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712,687 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683,410 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955,943 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2,352,040 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2,050,035 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1,512,084 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2,274,036 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5,836,155 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Carolina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1,728,522 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401,432 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1,642,836 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3,772,790 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Ohio</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1,464,162 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325,295 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766,260 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2,555,717 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Oklahoma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61,503 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1,550,456 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1,611,959 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Oregon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550,177 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65,245 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738,443 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1,353,865 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Pennsylvania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1,547,250 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680,007 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2,767,209 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4,994,466 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138,252 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425,653 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563,905 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South Carolina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1,718,988 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708,356 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2,358,398 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4,785,742 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Tennessee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1,855,601 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880,881 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890,194 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3,626,676 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9,109,526 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2,369,336 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7,617,215 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19,096,077 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Utah</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729,132 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1,951,598 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2,680,730 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Virginia</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4,271,375 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703,437 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1,814,830 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6,789,642 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685,706 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1,057,123 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1,742,829 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Washington, DC</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100,019 </w:t>
            </w:r>
          </w:p>
        </w:tc>
        <w:tc>
          <w:tcPr>
            <w:tcW w:w="3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103,618 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311,337 </w:t>
            </w:r>
          </w:p>
        </w:tc>
        <w:tc>
          <w:tcPr>
            <w:tcW w:w="3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514,974 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Wisconsin</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371,423 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921,101 </w:t>
            </w:r>
          </w:p>
        </w:tc>
        <w:tc>
          <w:tcPr>
            <w:tcW w:w="3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1,292,524 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shd w:fill="auto" w:val="clear"/>
            <w:vAlign w:val="center"/>
          </w:tcPr>
          <w:p>
            <w:pPr>
              <w:pStyle w:val="TableContents"/>
              <w:spacing w:before="0" w:after="283"/>
              <w:rPr>
                <w:sz w:val="4"/>
                <w:szCs w:val="4"/>
              </w:rPr>
            </w:pPr>
            <w:r>
              <w:rPr>
                <w:sz w:val="4"/>
                <w:szCs w:val="4"/>
              </w:rPr>
            </w:r>
          </w:p>
        </w:tc>
        <w:tc>
          <w:tcPr>
            <w:tcW w:w="910" w:type="dxa"/>
            <w:gridSpan w:val="3"/>
            <w:tcBorders/>
            <w:shd w:fill="auto" w:val="clear"/>
            <w:vAlign w:val="center"/>
          </w:tcPr>
          <w:p>
            <w:pPr>
              <w:pStyle w:val="TableContents"/>
              <w:spacing w:before="0" w:after="283"/>
              <w:rPr>
                <w:sz w:val="4"/>
                <w:szCs w:val="4"/>
              </w:rPr>
            </w:pPr>
            <w:r>
              <w:rPr>
                <w:sz w:val="4"/>
                <w:szCs w:val="4"/>
              </w:rPr>
            </w:r>
          </w:p>
        </w:tc>
        <w:tc>
          <w:tcPr>
            <w:tcW w:w="1349"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1352"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515" w:type="dxa"/>
            <w:gridSpan w:val="3"/>
            <w:tcBorders/>
            <w:shd w:fill="auto" w:val="clear"/>
            <w:vAlign w:val="center"/>
          </w:tcPr>
          <w:p>
            <w:pPr>
              <w:pStyle w:val="TableContents"/>
              <w:spacing w:before="0" w:after="283"/>
              <w:rPr>
                <w:sz w:val="4"/>
                <w:szCs w:val="4"/>
              </w:rPr>
            </w:pPr>
            <w:r>
              <w:rPr>
                <w:sz w:val="4"/>
                <w:szCs w:val="4"/>
              </w:rPr>
            </w:r>
          </w:p>
        </w:tc>
      </w:tr>
      <w:tr>
        <w:trPr/>
        <w:tc>
          <w:tcPr>
            <w:tcW w:w="117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1,134 </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82,841,690 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24,760,260 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72,384,674 </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179,986,624 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    Excludes 17,000 units related to the Bargold transaction. See Note 7 in the Notes to the Condensed Consolidated Financial Statements.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2023 and 2022 </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Overview</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Results for the three months ended March 31, 2023 included the operations of 1,457 stores (1,133 wholly-owned, one in a consolidated joint venture, and 323 in joint ventures accounted for using the equity method) compared to the results for the three months ended March 31, 2022, which included the operations of 1,283 stores (995 wholly-owned, zero in consolidated joint ventures, and 288 in joint ventures accounted for using the equity method).</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Revenues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revenues earned for the periods indicated:</w:t>
      </w:r>
    </w:p>
    <w:p>
      <w:pPr>
        <w:pStyle w:val="TextBody"/>
        <w:spacing w:lineRule="auto" w:line="288" w:before="120" w:after="283"/>
        <w:rPr>
          <w:color w:val="000000"/>
        </w:rPr>
      </w:pPr>
      <w:r>
        <w:rPr>
          <w:color w:val="000000"/>
        </w:rPr>
        <w:t> </w:t>
      </w:r>
    </w:p>
    <w:tbl>
      <w:tblPr>
        <w:tblW w:w="9441" w:type="dxa"/>
        <w:jc w:val="left"/>
        <w:tblInd w:w="0" w:type="dxa"/>
        <w:tblCellMar>
          <w:top w:w="28" w:type="dxa"/>
          <w:left w:w="28" w:type="dxa"/>
          <w:bottom w:w="28" w:type="dxa"/>
          <w:right w:w="28" w:type="dxa"/>
        </w:tblCellMar>
      </w:tblPr>
      <w:tblGrid>
        <w:gridCol w:w="1086"/>
        <w:gridCol w:w="955"/>
        <w:gridCol w:w="958"/>
        <w:gridCol w:w="242"/>
        <w:gridCol w:w="912"/>
        <w:gridCol w:w="135"/>
        <w:gridCol w:w="135"/>
        <w:gridCol w:w="135"/>
        <w:gridCol w:w="135"/>
        <w:gridCol w:w="242"/>
        <w:gridCol w:w="912"/>
        <w:gridCol w:w="135"/>
        <w:gridCol w:w="109"/>
        <w:gridCol w:w="109"/>
        <w:gridCol w:w="109"/>
        <w:gridCol w:w="196"/>
        <w:gridCol w:w="646"/>
        <w:gridCol w:w="109"/>
        <w:gridCol w:w="109"/>
        <w:gridCol w:w="109"/>
        <w:gridCol w:w="109"/>
        <w:gridCol w:w="233"/>
        <w:gridCol w:w="233"/>
        <w:gridCol w:w="471"/>
        <w:gridCol w:w="109"/>
        <w:gridCol w:w="109"/>
        <w:gridCol w:w="109"/>
        <w:gridCol w:w="109"/>
        <w:gridCol w:w="109"/>
        <w:gridCol w:w="109"/>
        <w:gridCol w:w="109"/>
        <w:gridCol w:w="154"/>
      </w:tblGrid>
      <w:tr>
        <w:trPr/>
        <w:tc>
          <w:tcPr>
            <w:tcW w:w="1086"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rental</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433,962 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379,808 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reinsurance</w:t>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47,704 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43,797 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and other income</w:t>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21,384 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19,957 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503,050 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443,562 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color w:val="000000"/>
          <w:sz w:val="20"/>
        </w:rPr>
        <w:t>Property Rental—</w:t>
      </w:r>
      <w:r>
        <w:rPr>
          <w:rFonts w:ascii="Times New Roman;sans-serif" w:hAnsi="Times New Roman;sans-serif"/>
          <w:b w:val="false"/>
          <w:color w:val="000000"/>
          <w:sz w:val="20"/>
        </w:rPr>
        <w:t xml:space="preserve">The increase in property rental revenues for the three months ended March 31, 2023 was primarily the result of an increase of $26,692 at our stabilized stores related primarily to higher average rates to existing customers. Property rental revenue also increased by $21,109 associated with acquisitions completed in 2023 and 2022. We acquired one wholly-owned store during the three months ended March 31, 2023 and a total of 153 stores during the year ended December 31, 2022.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Tenant Reinsurance—</w:t>
      </w:r>
      <w:r>
        <w:rPr>
          <w:rFonts w:ascii="Times New Roman;sans-serif" w:hAnsi="Times New Roman;sans-serif"/>
          <w:b w:val="false"/>
          <w:color w:val="000000"/>
          <w:sz w:val="20"/>
        </w:rPr>
        <w:t>The increase in our tenant reinsurance revenues was due primarily to an increase in the number of stores operated. We operated 2,388 stores at March 31, 2023 compared to 2,130 stores at March 31, 2022.</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Management Fees and Other Income—</w:t>
      </w:r>
      <w:r>
        <w:rPr>
          <w:rFonts w:ascii="Times New Roman;sans-serif" w:hAnsi="Times New Roman;sans-serif"/>
          <w:b w:val="false"/>
          <w:color w:val="000000"/>
          <w:sz w:val="20"/>
        </w:rPr>
        <w:t xml:space="preserve">Management fees and other income primarily represent the fees collected for our management of stores owned by third parties and unconsolidated joint ventures and other transaction fee income. The increase for the three months ended March 31, 2023 was due to both an increase in the number of stores managed and an increase in the overall revenue of stores under management when compared to the same period last year. As of March 31, 2023, we managed 1,255 stores for joint ventures and third parties, compared to 1,135 stores as of March 31, 2022. </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on expenses for the periods indicated:</w:t>
      </w:r>
    </w:p>
    <w:tbl>
      <w:tblPr>
        <w:tblW w:w="9036" w:type="dxa"/>
        <w:jc w:val="left"/>
        <w:tblInd w:w="0" w:type="dxa"/>
        <w:tblCellMar>
          <w:top w:w="28" w:type="dxa"/>
          <w:left w:w="28" w:type="dxa"/>
          <w:bottom w:w="28" w:type="dxa"/>
          <w:right w:w="28" w:type="dxa"/>
        </w:tblCellMar>
      </w:tblPr>
      <w:tblGrid>
        <w:gridCol w:w="938"/>
        <w:gridCol w:w="824"/>
        <w:gridCol w:w="832"/>
        <w:gridCol w:w="242"/>
        <w:gridCol w:w="912"/>
        <w:gridCol w:w="135"/>
        <w:gridCol w:w="135"/>
        <w:gridCol w:w="135"/>
        <w:gridCol w:w="135"/>
        <w:gridCol w:w="242"/>
        <w:gridCol w:w="912"/>
        <w:gridCol w:w="135"/>
        <w:gridCol w:w="109"/>
        <w:gridCol w:w="109"/>
        <w:gridCol w:w="109"/>
        <w:gridCol w:w="196"/>
        <w:gridCol w:w="646"/>
        <w:gridCol w:w="109"/>
        <w:gridCol w:w="109"/>
        <w:gridCol w:w="109"/>
        <w:gridCol w:w="109"/>
        <w:gridCol w:w="233"/>
        <w:gridCol w:w="233"/>
        <w:gridCol w:w="471"/>
        <w:gridCol w:w="109"/>
        <w:gridCol w:w="109"/>
        <w:gridCol w:w="109"/>
        <w:gridCol w:w="109"/>
        <w:gridCol w:w="109"/>
        <w:gridCol w:w="109"/>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operations</w:t>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117,166 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103,542 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Tenant reinsurance </w:t>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9,089 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7,042 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239,508 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208,252 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4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ind w:left="0" w:right="0" w:firstLine="495"/>
        <w:rPr/>
      </w:pPr>
      <w:r>
        <w:rPr>
          <w:rFonts w:ascii="Times New Roman;sans-serif" w:hAnsi="Times New Roman;sans-serif"/>
          <w:b/>
          <w:color w:val="000000"/>
          <w:sz w:val="20"/>
        </w:rPr>
        <w:t>Property Operations—</w:t>
      </w:r>
      <w:r>
        <w:rPr>
          <w:rFonts w:ascii="Times New Roman;sans-serif" w:hAnsi="Times New Roman;sans-serif"/>
          <w:b w:val="false"/>
          <w:color w:val="000000"/>
          <w:sz w:val="20"/>
        </w:rPr>
        <w:t>The increase in property operations expense during the three months ended March 31, 2023 consists primarily of an increase of $7,006 related to acquisitions completed in 2023 and 2022. We acquired one wholly-owned store during the three months ended March 31, 2023 and a total of 153 stores during the year ended December 31, 2022. Additionally, for the three months ended March 31, 2023 there was an increase of $4,394 at our stabilized stores primarily due to payroll, marketing, credit card processing fees, utilities and insurance, partially offset by repairs and maintenance and property taxes.</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Tenant Reinsurance—</w:t>
      </w:r>
      <w:r>
        <w:rPr>
          <w:rFonts w:ascii="Times New Roman;sans-serif" w:hAnsi="Times New Roman;sans-serif"/>
          <w:b w:val="false"/>
          <w:color w:val="000000"/>
          <w:sz w:val="20"/>
        </w:rPr>
        <w:t>Tenant reinsurance expense represents the costs that are incurred to provide tenant reinsurance. We operated 2,388 stores at March 31, 2023 compared to 2,130 stores at March 31, 2022.</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General and Administrative—</w:t>
      </w:r>
      <w:r>
        <w:rPr>
          <w:rFonts w:ascii="Times New Roman;sans-serif" w:hAnsi="Times New Roman;sans-serif"/>
          <w:b w:val="false"/>
          <w:color w:val="000000"/>
          <w:sz w:val="20"/>
        </w:rPr>
        <w:t>General and administrative expenses primarily include all expenses not directly related to our stores, including corporate payroll, office expense, office rent, travel and professional fees. Payroll has continued to increase as a result of outsized inflation. We did not observe any material trends in specific travel or other expenses apart from inflationary pressures and from the increase due to the management of additional stores. Also, during the three months ended March 31, 2023 increases relate in part to the acquisition of Bargold in June 2022 and 106 stores added with the Storage Express acquisition in September 2022 compared to the same period last year.</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Depreciation and Amortization—</w:t>
      </w:r>
      <w:r>
        <w:rPr>
          <w:rFonts w:ascii="Times New Roman;sans-serif" w:hAnsi="Times New Roman;sans-serif"/>
          <w:b w:val="false"/>
          <w:color w:val="000000"/>
          <w:sz w:val="20"/>
        </w:rPr>
        <w:t xml:space="preserve">Depreciation and amortization expense increased as a result of the acquisition of new stores. We acquired one wholly-owned store during the three months ended March 31, 2023 and a total of 153 stores during the year ended December 31, 2022. </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Other Revenues and Expenses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other revenues and expenses for the periods indicated:</w:t>
      </w:r>
    </w:p>
    <w:tbl>
      <w:tblPr>
        <w:tblW w:w="10205" w:type="dxa"/>
        <w:jc w:val="left"/>
        <w:tblInd w:w="0" w:type="dxa"/>
        <w:tblCellMar>
          <w:top w:w="28" w:type="dxa"/>
          <w:left w:w="28" w:type="dxa"/>
          <w:bottom w:w="28" w:type="dxa"/>
          <w:right w:w="28" w:type="dxa"/>
        </w:tblCellMar>
      </w:tblPr>
      <w:tblGrid>
        <w:gridCol w:w="1425"/>
        <w:gridCol w:w="1253"/>
        <w:gridCol w:w="1230"/>
        <w:gridCol w:w="226"/>
        <w:gridCol w:w="807"/>
        <w:gridCol w:w="125"/>
        <w:gridCol w:w="125"/>
        <w:gridCol w:w="125"/>
        <w:gridCol w:w="125"/>
        <w:gridCol w:w="226"/>
        <w:gridCol w:w="807"/>
        <w:gridCol w:w="125"/>
        <w:gridCol w:w="109"/>
        <w:gridCol w:w="109"/>
        <w:gridCol w:w="109"/>
        <w:gridCol w:w="196"/>
        <w:gridCol w:w="697"/>
        <w:gridCol w:w="109"/>
        <w:gridCol w:w="109"/>
        <w:gridCol w:w="109"/>
        <w:gridCol w:w="109"/>
        <w:gridCol w:w="278"/>
        <w:gridCol w:w="278"/>
        <w:gridCol w:w="471"/>
        <w:gridCol w:w="109"/>
        <w:gridCol w:w="109"/>
        <w:gridCol w:w="109"/>
        <w:gridCol w:w="109"/>
        <w:gridCol w:w="109"/>
        <w:gridCol w:w="109"/>
        <w:gridCol w:w="109"/>
        <w:gridCol w:w="160"/>
      </w:tblGrid>
      <w:tr>
        <w:trPr/>
        <w:tc>
          <w:tcPr>
            <w:tcW w:w="1425"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3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(80,099)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(42,538)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88.3 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19,438 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 earnings and dividend income from unconsolidated real estate entities</w:t>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4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15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(4,308)</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4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9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revenues &amp; expenses, net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(54,664)</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(17,593)</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210.7 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Interest Expense—</w:t>
      </w:r>
      <w:r>
        <w:rPr>
          <w:rFonts w:ascii="Times New Roman;sans-serif" w:hAnsi="Times New Roman;sans-serif"/>
          <w:b w:val="false"/>
          <w:color w:val="000000"/>
          <w:sz w:val="20"/>
        </w:rPr>
        <w:t>The increase in interest expense during the three months ended March 31, 2023 was primarily the result of a higher weighted average interest rate and debt balance compared to the same period in the prior year.</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Interest Income—</w:t>
      </w:r>
      <w:r>
        <w:rPr>
          <w:rFonts w:ascii="Times New Roman;sans-serif" w:hAnsi="Times New Roman;sans-serif"/>
          <w:b w:val="false"/>
          <w:color w:val="000000"/>
          <w:sz w:val="20"/>
        </w:rPr>
        <w:t xml:space="preserve">Interest income represents interest earned on bridge loans, notes receivable and debt securities and income earned on notes receivable from Common and Preferred Operating Partnership unit holders. The increase in interest income during the three months ended March 31, 2023 was primarily the result of an increase in the notes receivable for our bridge loan program along with an increase in interest rates.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Equity in Earnings and Dividend Income from Unconsolidated Real Estate Entities—</w:t>
      </w:r>
      <w:r>
        <w:rPr>
          <w:rFonts w:ascii="Times New Roman;sans-serif" w:hAnsi="Times New Roman;sans-serif"/>
          <w:b w:val="false"/>
          <w:color w:val="000000"/>
          <w:sz w:val="20"/>
        </w:rPr>
        <w:t xml:space="preserve">Equity in earnings of unconsolidated real estate entities 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Dividend income represents dividends from our $200,000 investment in preferred stock of SmartStop. </w:t>
      </w:r>
    </w:p>
    <w:p>
      <w:pPr>
        <w:pStyle w:val="TextBody"/>
        <w:spacing w:before="0" w:after="0"/>
        <w:ind w:left="0" w:right="0" w:firstLine="495"/>
        <w:rPr/>
      </w:pPr>
      <w:r>
        <w:rPr/>
      </w:r>
    </w:p>
    <w:p>
      <w:pPr>
        <w:pStyle w:val="TextBody"/>
        <w:spacing w:lineRule="auto" w:line="288" w:before="0" w:after="0"/>
        <w:ind w:left="0" w:right="0" w:firstLine="495"/>
        <w:rPr/>
      </w:pPr>
      <w:r>
        <w:rPr>
          <w:rFonts w:ascii="Times New Roman;sans-serif" w:hAnsi="Times New Roman;sans-serif"/>
          <w:b/>
          <w:color w:val="000000"/>
          <w:sz w:val="20"/>
        </w:rPr>
        <w:t>Income Tax Expense</w:t>
      </w:r>
      <w:r>
        <w:rPr>
          <w:color w:val="000000"/>
        </w:rPr>
        <w:t>—</w:t>
      </w:r>
      <w:r>
        <w:rPr>
          <w:rFonts w:ascii="Times New Roman;sans-serif" w:hAnsi="Times New Roman;sans-serif"/>
          <w:b w:val="false"/>
          <w:color w:val="000000"/>
          <w:sz w:val="20"/>
        </w:rPr>
        <w:t>The increase in income tax expense for the three months ended March 31, 2023 was primarily the result of an increase in book income and a decrease in permanent tax deductions related to stock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FUNDS FROM OPERATIONS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FFO for the periods indicated:</w:t>
      </w:r>
    </w:p>
    <w:tbl>
      <w:tblPr>
        <w:tblW w:w="10062" w:type="dxa"/>
        <w:jc w:val="center"/>
        <w:tblInd w:w="0" w:type="dxa"/>
        <w:tblCellMar>
          <w:top w:w="28" w:type="dxa"/>
          <w:left w:w="28" w:type="dxa"/>
          <w:bottom w:w="28" w:type="dxa"/>
          <w:right w:w="28" w:type="dxa"/>
        </w:tblCellMar>
      </w:tblPr>
      <w:tblGrid>
        <w:gridCol w:w="2393"/>
        <w:gridCol w:w="2098"/>
        <w:gridCol w:w="2108"/>
        <w:gridCol w:w="240"/>
        <w:gridCol w:w="941"/>
        <w:gridCol w:w="124"/>
        <w:gridCol w:w="124"/>
        <w:gridCol w:w="124"/>
        <w:gridCol w:w="124"/>
        <w:gridCol w:w="240"/>
        <w:gridCol w:w="941"/>
        <w:gridCol w:w="124"/>
        <w:gridCol w:w="109"/>
        <w:gridCol w:w="109"/>
        <w:gridCol w:w="109"/>
        <w:gridCol w:w="154"/>
      </w:tblGrid>
      <w:tr>
        <w:trPr/>
        <w:tc>
          <w:tcPr>
            <w:tcW w:w="2393" w:type="dxa"/>
            <w:tcBorders/>
            <w:shd w:fill="auto" w:val="clear"/>
            <w:vAlign w:val="center"/>
          </w:tcPr>
          <w:p>
            <w:pPr>
              <w:pStyle w:val="TableContents"/>
              <w:spacing w:before="0" w:after="283"/>
              <w:rPr>
                <w:sz w:val="4"/>
                <w:szCs w:val="4"/>
              </w:rPr>
            </w:pPr>
            <w:r>
              <w:rPr>
                <w:sz w:val="4"/>
                <w:szCs w:val="4"/>
              </w:rPr>
            </w:r>
          </w:p>
        </w:tc>
        <w:tc>
          <w:tcPr>
            <w:tcW w:w="2098" w:type="dxa"/>
            <w:tcBorders/>
            <w:shd w:fill="auto" w:val="clear"/>
            <w:vAlign w:val="center"/>
          </w:tcPr>
          <w:p>
            <w:pPr>
              <w:pStyle w:val="TableContents"/>
              <w:spacing w:before="0" w:after="283"/>
              <w:rPr>
                <w:sz w:val="4"/>
                <w:szCs w:val="4"/>
              </w:rPr>
            </w:pPr>
            <w:r>
              <w:rPr>
                <w:sz w:val="4"/>
                <w:szCs w:val="4"/>
              </w:rPr>
            </w:r>
          </w:p>
        </w:tc>
        <w:tc>
          <w:tcPr>
            <w:tcW w:w="2108"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196,304 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203,579 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71,248 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Unconsolidated joint venture real estate depreciation and amortization</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paid on Series A Preferred Operating Partnership units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allocated to Operating Partnership noncontrolling interests </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12,574 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attributable to common stockholders and unit holders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289,076 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286,456 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SAME-STORE RESULTS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same-store pool for the periods presented consists of 914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tbl>
      <w:tblPr>
        <w:tblW w:w="9219" w:type="dxa"/>
        <w:jc w:val="left"/>
        <w:tblInd w:w="0" w:type="dxa"/>
        <w:tblCellMar>
          <w:top w:w="28" w:type="dxa"/>
          <w:left w:w="28" w:type="dxa"/>
          <w:bottom w:w="28" w:type="dxa"/>
          <w:right w:w="28" w:type="dxa"/>
        </w:tblCellMar>
      </w:tblPr>
      <w:tblGrid>
        <w:gridCol w:w="1541"/>
        <w:gridCol w:w="1355"/>
        <w:gridCol w:w="1363"/>
        <w:gridCol w:w="240"/>
        <w:gridCol w:w="941"/>
        <w:gridCol w:w="124"/>
        <w:gridCol w:w="124"/>
        <w:gridCol w:w="124"/>
        <w:gridCol w:w="124"/>
        <w:gridCol w:w="240"/>
        <w:gridCol w:w="941"/>
        <w:gridCol w:w="124"/>
        <w:gridCol w:w="109"/>
        <w:gridCol w:w="109"/>
        <w:gridCol w:w="109"/>
        <w:gridCol w:w="291"/>
        <w:gridCol w:w="294"/>
        <w:gridCol w:w="367"/>
        <w:gridCol w:w="109"/>
        <w:gridCol w:w="109"/>
        <w:gridCol w:w="109"/>
        <w:gridCol w:w="109"/>
        <w:gridCol w:w="109"/>
        <w:gridCol w:w="154"/>
      </w:tblGrid>
      <w:tr>
        <w:trPr/>
        <w:tc>
          <w:tcPr>
            <w:tcW w:w="1541"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9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rental income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345,875 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same-store rental revenues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384,092 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357,623 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expense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expense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Repairs and maintenance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34,346 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same-store operating expenses</w:t>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square foot occupancy as of quarter end</w:t>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 included in same-store</w:t>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Same-store revenues for the three months ended March 31, 2023 increased compared to the same period in 2022 due to higher average rates to existing customers and higher other operating income partially offset by lower occupancy.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Same-store expenses increased for the three months ended March 31, 2023 compared to the same period in 2022 due to increases in payroll, marketing, credit card processing fees, utilities and insurance, partially offset by saving in repairs and maintenance and property taxes.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same-store net operating income to net income as presented on our condensed consolidated statements of operations for the periods indicated:</w:t>
      </w:r>
    </w:p>
    <w:tbl>
      <w:tblPr>
        <w:tblW w:w="10077" w:type="dxa"/>
        <w:jc w:val="left"/>
        <w:tblInd w:w="0" w:type="dxa"/>
        <w:tblCellMar>
          <w:top w:w="28" w:type="dxa"/>
          <w:left w:w="28" w:type="dxa"/>
          <w:bottom w:w="28" w:type="dxa"/>
          <w:right w:w="28" w:type="dxa"/>
        </w:tblCellMar>
      </w:tblPr>
      <w:tblGrid>
        <w:gridCol w:w="2394"/>
        <w:gridCol w:w="2106"/>
        <w:gridCol w:w="2114"/>
        <w:gridCol w:w="240"/>
        <w:gridCol w:w="941"/>
        <w:gridCol w:w="124"/>
        <w:gridCol w:w="124"/>
        <w:gridCol w:w="124"/>
        <w:gridCol w:w="124"/>
        <w:gridCol w:w="240"/>
        <w:gridCol w:w="941"/>
        <w:gridCol w:w="124"/>
        <w:gridCol w:w="109"/>
        <w:gridCol w:w="109"/>
        <w:gridCol w:w="109"/>
        <w:gridCol w:w="154"/>
      </w:tblGrid>
      <w:tr>
        <w:trPr/>
        <w:tc>
          <w:tcPr>
            <w:tcW w:w="2394"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c>
          <w:tcPr>
            <w:tcW w:w="211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to exclude:</w:t>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earnings and dividend income from unconsolidated real estate entities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80,099 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42,538 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3,141 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fees, other income and interest income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(38,946)</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tenant insurance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(36,755)</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rental revenue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(22,185)</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same-store operating expense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same-store net operating income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rental revenues</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384,092 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357,623 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operating expenses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93,241 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Same-store net operating income</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290,851 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267,507 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 for the three months ended March 31, 2023 decreased when compared to the same period in the prior year. Cash flows used in investing activities relates primarily to our acquisition and development of REIT and joint venture assets, as well as activity on our bridge loan program. Cash flows from financing activities depend primarily on our debt and equity financing activities. A summary of cash flows along with significant components are as follows: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tbl>
      <w:tblPr>
        <w:tblW w:w="8690" w:type="dxa"/>
        <w:jc w:val="left"/>
        <w:tblInd w:w="0" w:type="dxa"/>
        <w:tblCellMar>
          <w:top w:w="28" w:type="dxa"/>
          <w:left w:w="28" w:type="dxa"/>
          <w:bottom w:w="28" w:type="dxa"/>
          <w:right w:w="28" w:type="dxa"/>
        </w:tblCellMar>
      </w:tblPr>
      <w:tblGrid>
        <w:gridCol w:w="1971"/>
        <w:gridCol w:w="1734"/>
        <w:gridCol w:w="1740"/>
        <w:gridCol w:w="240"/>
        <w:gridCol w:w="941"/>
        <w:gridCol w:w="124"/>
        <w:gridCol w:w="124"/>
        <w:gridCol w:w="124"/>
        <w:gridCol w:w="124"/>
        <w:gridCol w:w="240"/>
        <w:gridCol w:w="941"/>
        <w:gridCol w:w="124"/>
        <w:gridCol w:w="109"/>
        <w:gridCol w:w="154"/>
      </w:tblGrid>
      <w:tr>
        <w:trPr/>
        <w:tc>
          <w:tcPr>
            <w:tcW w:w="1971"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5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(121,372)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(242,603)</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(169,621)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net cash flow included:</w:t>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208,878 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217,717 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67,906 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development of real estate assets</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(64,058)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(210,521)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unconsolidated real estate entities</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(21,062)</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and purchase of notes receivable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(134,408)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notes receivable</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39,718 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received from notes receivable</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21,828 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195,803 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notes payable and revolving lines of credit</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1,381,592 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889,829 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notes payable and revolving lines of credit</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(1,879,049)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(1,230,924)</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public bonds, net</w:t>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c>
          <w:tcPr>
            <w:tcW w:w="13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on common stock</w:t>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(219,988)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(202,527)</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12 months. These cash needs include operating expenses, monthly debt service payments, recurring capital expenditures, acquisitions, redevelopments and expansions, distributions to unit holders and dividends to stockholders necessary to maintain our REIT qualification.</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to generate positive cash flow from operations in 2023,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$47,951 available in cash and cash equivalents. Our cash and cash equivalents are held in accounts managed by third party financial institutions and consist of invested cash and cash in our operating accounts. During 2023 and 2022, we experienced no loss or lack of access to our cash or cash equivalents; however, there can be no assurance that access to our cash and cash equivalents will not be impacted by adverse conditions in the financial markets.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$7,366,967 face value of debt, resulting in a debt to total enterprise value ratio of 23.9%. As of March 31, 2023, the ratio of total fixed-rate debt and other instruments to total debt was 70.7% ($5,207,398 total fixed-rate debt including $1,782,610 on which we have interest rate swaps that have been included as fixed-rate debt). The weighted average interest rate of the total of fixed- and variable-rate debt at March 31, 2023 was 4.3%. Certain of our real estate assets are pledged as collateral for our debt. We are subject to certain restrictive covenants relating to our outstanding debt. We were in compliance with all financial covenants at March 31, 2023.</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pStyle w:val="TextBody"/>
        <w:spacing w:before="0" w:after="0"/>
        <w:ind w:left="0" w:right="0" w:firstLine="495"/>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currently hold a BBB/Stable rating from S&amp;P and a Baa2 rating from Moody's Investors Service. We intend to manage our balance sheet to maintain these ratings. Certain of our real estate assets are pledged as collateral for our debt. As of March 31, 2023, we had a total of 906 unencumbered stores as defined by our public bonds. Our unencumbered asset value was calculated as $17,247,796 and our total asset value was calculated as $22,407,701 according to the calculations as defined by our public bonds.</w:t>
      </w:r>
    </w:p>
    <w:p>
      <w:pPr>
        <w:pStyle w:val="TextBody"/>
        <w:spacing w:before="0" w:after="0"/>
        <w:rPr/>
      </w:pPr>
      <w:r>
        <w:rPr/>
      </w:r>
    </w:p>
    <w:p>
      <w:pPr>
        <w:pStyle w:val="TextBody"/>
        <w:spacing w:lineRule="auto" w:line="276"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t>
      </w:r>
    </w:p>
    <w:p>
      <w:pPr>
        <w:pStyle w:val="TextBody"/>
        <w:spacing w:before="0" w:after="0"/>
        <w:ind w:left="0" w:right="0" w:firstLine="495"/>
        <w:rPr/>
      </w:pPr>
      <w:r>
        <w:rPr/>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Market Risk</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Market risk refers to the risk of loss from adverse changes in market prices and interest rates. Our future income, cash flows and fair values of financial instruments are dependent upon prevailing market interest rates.</w:t>
      </w:r>
    </w:p>
    <w:p>
      <w:pPr>
        <w:pStyle w:val="TextBody"/>
        <w:spacing w:before="120" w:after="283"/>
        <w:rPr/>
      </w:pPr>
      <w:r>
        <w:rPr/>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lineRule="auto" w:line="288" w:before="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Interest rate risk is highly sensitive to many factors, including governmental monetary and tax policies, domestic and international economic and political considerations and other factors beyond our control.</w:t>
      </w:r>
    </w:p>
    <w:p>
      <w:pPr>
        <w:pStyle w:val="TextBody"/>
        <w:spacing w:lineRule="auto" w:line="288" w:before="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approximately $7.4 billion in total face value of debt, of which approximately $2.2 billion was subject to variable interest rates (excluding debt with interest rate swaps). If LIBOR or SOFR were to increase or decrease by 100 basis points, the increase or decrease in interest expense on the variable-rate debt would increase or decrease future earnings and cash flows by approximately $21.6 million annually.</w:t>
      </w:r>
    </w:p>
    <w:p>
      <w:pPr>
        <w:pStyle w:val="TextBody"/>
        <w:spacing w:lineRule="auto" w:line="288" w:before="0" w:after="12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pStyle w:val="TextBody"/>
        <w:spacing w:before="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(1)Disclosure Controls and Procedures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pStyle w:val="TextBody"/>
        <w:spacing w:before="0" w:after="0"/>
        <w:ind w:left="0" w:right="0" w:firstLine="495"/>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(2)Changes in internal control over financial reporting</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and results of operations. Other than as set forth below, there have been no material changes to the risk factors described in the “Risk Factors” section in our Annual Report on Form 10-K for the year ended December 31, 2022. The risks described below and in our Annual Report on Form 10-K are not the only risks facing our company. Additional risks and uncertainties not currently known to us or that we currently deem to be immaterial may also materially adversely affect our business, financial condition and results of operations.</w:t>
      </w:r>
    </w:p>
    <w:p>
      <w:pPr>
        <w:pStyle w:val="TextBody"/>
        <w:spacing w:before="0" w:after="0"/>
        <w:ind w:left="0" w:right="0" w:firstLine="495"/>
        <w:rPr/>
      </w:pPr>
      <w:r>
        <w:rPr/>
      </w:r>
    </w:p>
    <w:p>
      <w:pPr>
        <w:pStyle w:val="TextBody"/>
        <w:spacing w:before="0" w:after="0"/>
        <w:ind w:left="0" w:right="0" w:firstLine="495"/>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Risks Related to the Mergers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exchange ratio is fixed and will not be adjusted in the event of any change in our stock price or the stock price of Life Storage.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Upon the closing of the company merger, each outstanding share of Life Storage common stock (other than shares of Life Storage common stock owned by any of the Life Storage parties or any wholly owned subsidiary of Life Storage and each share of Life Storage common stock owned by us or any of our wholly owned subsidiaries) will be converted into the right to receive 0.895 of a share of our common stock, with cash paid in lieu of any fractional shares, without interest. The exchange ratio of 0.895 was fixed in the merger agreement and, except for certain adjustments on account of changes in the capitalization of the parties, will not be adjusted for changes in the market prices of shares of our common stock or of Life Storage common stock. Stock price changes may result from a variety of factors (many of which are beyond our control), including the following factors: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market reaction to the announcement of the mergers and our prospects following the mergers;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the respective businesses, operations, assets, liabilities and prospects of us and Life Storage;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changes in market assessments of the business, operations, financial position and prospects of us and Life Storage;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market assessments of the likelihood that the mergers will close;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interest rates (including changes or anticipated changes in interest rates), general market and economic conditions and other factors generally affecting the market prices of our common stock and Life Storage common stock;</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federal, state and local legislation, governmental regulation and legal developments in the businesses in which we or Life Storage operate;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other factors beyond the control of either us or Life Storage, including those described or referred to elsewhere in this “Risk Factors” section.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price of shares of our common stock at the closing of the mergers may vary from its price on the date the merger agreement was executed, on the date of this joint proxy statement/prospectus, on the date of our special meeting and on the date of the Life Storage special meeting. As a result, the market value of the merger consideration represented by the exchange ratio will also vary.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the market price of shares of our common stock increases between the date the merger agreement was signed, the date of our special meeting or the date of the Life Storage special meeting and the date of the closing of the mergers, Life Storage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could receive shares of our common stock that have a market value upon completion of the mergers that is greater than the market value of such shares calculated pursuant to the exchange ratio on the date the merger agreement was signed, the date of our special meeting or the date of the Life Storage special meeting, respectively. Conversely, if the market price of shares of our common stock declines between the date the merger agreement was signed, the date of our special meeting or the date of the Life Storage special meeting and the closing of the mergers, Life Storage stockholders could receive shares of our common stock that have a market value upon the closing of the mergers that is less than the market value of such shares calculated pursuant to the exchange ratio on the date the merger agreement was signed, the date of our special meeting or the date of the Life Storage special meeting, respectively. Furthermore, at the time of our special meeting and the Life Storage special meeting, our stockholders and Life Storage stockholders will not know with certainty the value of the our common stock that Life Storage stockholders will receive upon completion of the mergers.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Therefore, while the number of shares of our common stock to be issued per share of Life Storage common stock is fixed, our stockholders and Life Storage shareholders cannot be sure of the market value of the merger consideration Life Storage stockholders will receive upon the closing of the mergers.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Holders of our common stock will have a reduced ownership and voting interest after the mergers and will exercise less influence over our management.</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mergers will result in our stockholders having an ownership stake that is smaller than their current stake in our company as of immediately prior to the mergers. Upon completion of the mergers, based on the number of shares of our common stock outstanding on March 31, 2023, we estimate that our existing stockholders will own approximately 65% of the issued and outstanding common stock of the combined company. Consequently, our stockholders will have less influence over our management and policies after the company merger effective time than they currently exercise over our management and policies.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Completion of the mergers is subject to many conditions, and if these conditions are not satisfied or waived, the mergers will not be completed, which could result in a requirement that we pay termination fees.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consummation of the mergers is subject to certain conditions, including (i) the approval of the company merger by the affirmative vote of the holders of two-thirds of the outstanding shares of Life Storage common stock entitled to vote on such matter, (ii) the approval of our common stock issuance by affirmative vote of a majority of the votes cast by the holders of our common stock, (iii) the shares of our common stock to be issued in the company merger having been approved for listing on the NYSE, (iv) the Form S-4 having been declared effective, (v) the absence of any temporary restraining order, injunction or other order, decree or judgment being issued by any governmental authority and no law being enacted, which would have the effect of making illegal or otherwise prohibiting the consummation of the mergers, (vi) the receipt of certain legal opinions by us and Life Storage and (vii) other customary conditions specified in the merger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the conditions to the closing of the mergers will be satisfied or waived or that the mergers will be completed. Failure to consummate the mergers may adversely affect our results of operations and business prospects for the following reasons, among others: (i) we have incurred and will incur certain transaction costs, regardless of whether the proposed mergers close, which could adversely affect our financial condition, results of operations and ability to make distributions to our shareholders; and (ii) the proposed mergers, whether or not they close, will divert the attention of certain of our management and other key employees from ongoing business activities, including the pursuit of other opportunities that could be beneficial to us. In addition, we or Life Storage may terminate the merger agreement under certain circumstances, including, among other reasons, if the mergers are not completed by December 31, 2023.</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the merger agreement is terminated under certain circumstances specified in the merger agreement, we may be required to pay Life Storage a termination fee of $761 million and/or reimburse Life Storage’s transaction expenses up to an amount equal to $20 million. If the mergers are not consummated, the price of our common stock might decline.</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Failure to complete the mergers could negatively impact the stock prices and our future business and financial results.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If the mergers are not completed, our ongoing business could be materially adversely affected and without realizing any of the benefits of having completed the mergers, we will be subject to a variety of risks associated with the failure to complete the mergers, including the following: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market price of our common stock could decline;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being required, under certain circumstances, to pay to Life Storage a termination fee of $761 million depending on the circumstances;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if the merger agreement is terminated and our board seeks another business combination, our stockholders cannot be certain that we will be able to find a party willing to enter into a transaction on terms equivalent to or more attractive than the terms of the merger agreement;</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we may experience negative reactions from the financial markets or our customers, vendors or employees;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our having to pay certain costs relating to the mergers, such as legal, accounting, financial advisor, filing, printing and mailing fees whether or not the mergers are completed;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diversion of our management’s focus and resources from operational matters and other strategic opportunities while working to implement the mergers.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If the mergers are not completed, these risks could materially affect our business, financial results and share price. In addition, if the mergers are not completed, we could be subject to litigation related to any failure to complete the mergers or related to any enforcement proceeding commenced against us to perform our obligations under the merger agreement. The materialization of any of these risks could adversely impact our ongoing business.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The pendency of the mergers could adversely affect our business and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Prior to the effective time of the mergers, some of our customers, prospective customers or vendors may delay or defer decisions, which could negatively affect our revenues, earnings, cash flows and expenses, regardless of whether the mergers are completed. In addition, third-party owners of stores which Life Storage manages, or which we manage, may cancel their management agreements, which could negatively affect our revenues, earnings, cash flows and expenses, regardless of whether the mergers are completed as well as negatively affect the financial position of the combined company. Further, due to operating restrictions in the merger agreement, we may be unable, during the pendency of the mergers, to pursue strategic transactions, undertake significant capital projects, undertake certain significant financing transactions and otherwise pursue other actions, even if such actions would prove beneficial.</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 xml:space="preserve">An adverse outcome in any litigation or other legal proceedings relating to the merger agreement, or the transactions contemplated thereby, could have a material adverse impact on our or our ability to consummate the transactions contemplated by the merger agreement. </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like the mergers are frequently the subject of litigation, shareholder demands, or other legal proceedings, including actions alleging that either party’s board of directors breached their respective duties to their stockholders or other equity holders by entering into the merger agreement, by failing to obtain a greater value in the transaction for their stockholders or other equity holders or otherwise, or any other claims (contractual or otherwise) arising out of the mergers or the transactions related thereto. With respect to these proceedings, and any other litigation or other legal proceedings that are brought against us or our board of directors or subsidiaries in connection with the merger agreement, or the transactions contemplated thereby, we intend to defend against any such claims made therein but may not be successful in doing so. An adverse outcome in such matters, as well as the costs and efforts of a defense even if successful, could have a material adverse effect on our ability to consummate the mergers in a timely manner, or at all, or our business, results of operation or financial position, including through the possible diversion of our resources or distraction of key personnel. </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We expect to incur substantial expenses related to the mergers.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Following the mergers, we expect to incur substantial expenses in connection with completing the mergers and integrating the operations and systems of Life Storage with ours. While we have assumed that a certain level of expenses would be incurred, there are a number of factors beyond its control that could affect the total amount or the timing of our expenses relating to the completion of the mergers and our operations. Many of the expenses that will be incurred, by their nature, are difficult to estimate accurately at the present time. As a result, the expenses associated with the mergers could, particularly in the near term, reduce the savings that we expect to achieve from the elimination of duplicative expenses and the realization of economies of scale and cost savings related to the integration of the operations of Life Storage following the completion of the mergers.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Following the mergers, we may be unable to integrate the operations of Life Storage successfully with ours and realize the anticipated synergies and other benefits of the mergers or do so within the anticipated time frame.</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The mergers involve the combination of two companies that currently operate as independent public companies and their respective operating partnerships. We are expected to benefit from the elimination of duplicative costs associated with supporting a public company platform and the leveraging of state-of-the-art technology and systems. However, we will be </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required to devote significant management attention and resources to integrating the operations of Life Storage with our own. Potential difficulties we may encounter in the integration process include the following:</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inability to successfully combine the operations of Life Storage, including the integration of employees, customer records and maintaining cybersecurity protections, in a manner that permits us to achieve the cost savings anticipated to result from the mergers, which would result in the anticipated benefits of the mergers not being realized in the time frame currently anticipated or at all;</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inability to dispose of former Life Storage assets or operations that we may desire to dispose of;</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complexities associated with managing the combined businesses out of different locations and integrating personnel from the two companies;</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the failure to retain our key employees or the key employees of Life Storage;</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potential unknown liabilities and unforeseen increased expenses, delays or regulatory conditions associated with the mergers; and</w:t>
      </w:r>
    </w:p>
    <w:p>
      <w:pPr>
        <w:pStyle w:val="TextBody"/>
        <w:spacing w:lineRule="auto" w:line="288" w:before="60" w:after="283"/>
        <w:ind w:left="0" w:right="0" w:hanging="360"/>
        <w:rPr/>
      </w:pPr>
      <w:r>
        <w:rPr>
          <w:color w:val="000000"/>
        </w:rPr>
        <w:t>•</w:t>
      </w:r>
      <w:r>
        <w:rPr>
          <w:rFonts w:ascii="Times New Roman;sans-serif" w:hAnsi="Times New Roman;sans-serif"/>
          <w:b w:val="false"/>
          <w:color w:val="000000"/>
          <w:sz w:val="20"/>
        </w:rPr>
        <w:t>performance shortfalls as a result of the diversion of management’s attention caused by completing the mergers and integrating the companies’ operations.</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For all these reasons, you should be aware that it is possible that the integration process could result in the distraction of our management, the disruption of our ongoing business or inconsistencies in our operations, services, standards, controls, procedures and policies, any of which could adversely affect our ability to maintain relationships with customers, vendors and employees or to achieve the anticipated benefits of the mergers, or could otherwise adversely affect our business and financial results.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ind w:left="0" w:right="0" w:hanging="144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44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ind w:left="0" w:right="0" w:hanging="1440"/>
        <w:rPr/>
      </w:pPr>
      <w:r>
        <w:rPr/>
      </w:r>
    </w:p>
    <w:p>
      <w:pPr>
        <w:pStyle w:val="TextBody"/>
        <w:spacing w:lineRule="auto" w:line="28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ind w:left="0" w:right="0" w:hanging="630"/>
        <w:rPr/>
      </w:pPr>
      <w:r>
        <w:rPr/>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402"/>
        <w:gridCol w:w="2068"/>
        <w:gridCol w:w="2044"/>
        <w:gridCol w:w="227"/>
        <w:gridCol w:w="173"/>
        <w:gridCol w:w="130"/>
        <w:gridCol w:w="244"/>
        <w:gridCol w:w="158"/>
        <w:gridCol w:w="158"/>
        <w:gridCol w:w="227"/>
        <w:gridCol w:w="227"/>
        <w:gridCol w:w="237"/>
        <w:gridCol w:w="255"/>
        <w:gridCol w:w="255"/>
        <w:gridCol w:w="367"/>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2068"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40" w:before="0" w:after="0"/>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Exhibit Description</w:t>
            </w:r>
          </w:p>
        </w:tc>
        <w:tc>
          <w:tcPr>
            <w:tcW w:w="17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Incorporated by Reference</w:t>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Filed Herewith</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Form</w:t>
            </w:r>
          </w:p>
        </w:tc>
        <w:tc>
          <w:tcPr>
            <w:tcW w:w="5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Date</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Number</w:t>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r:id="rId2">
              <w:r>
                <w:rPr>
                  <w:rStyle w:val="InternetLink"/>
                  <w:rFonts w:ascii="Times New Roman;sans-serif" w:hAnsi="Times New Roman;sans-serif"/>
                  <w:b w:val="false"/>
                  <w:color w:val="0000FF"/>
                  <w:sz w:val="20"/>
                  <w:u w:val="single"/>
                </w:rPr>
                <w:t>Third Supplemental Indenture, dated as of March 31, 2022,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6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2022</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r:id="rId3">
              <w:r>
                <w:rPr>
                  <w:rStyle w:val="InternetLink"/>
                  <w:rFonts w:ascii="Times New Roman;sans-serif" w:hAnsi="Times New Roman;sans-serif"/>
                  <w:b w:val="false"/>
                  <w:color w:val="0000FF"/>
                  <w:sz w:val="20"/>
                  <w:u w:val="single"/>
                </w:rPr>
                <w:t>Fourth Supplemental Indenture, dated as of March 28, 2023, among Extra Space Storage LP, as issuer, Extra Space Storage Inc., ESS Holdings Business Trust I and ESS Holdings Business Trust II, as guarantors, and Computershare Trust Company, N.A., as trustee, including the form of the Notes and the Guarantee.</w:t>
              </w:r>
            </w:hyperlink>
          </w:p>
        </w:tc>
        <w:tc>
          <w:tcPr>
            <w:tcW w:w="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6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March 28, 2023</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r:id="rId4">
              <w:r>
                <w:rPr>
                  <w:rStyle w:val="InternetLink"/>
                  <w:rFonts w:ascii="Times New Roman;sans-serif" w:hAnsi="Times New Roman;sans-serif"/>
                  <w:b w:val="false"/>
                  <w:color w:val="0000FF"/>
                  <w:sz w:val="20"/>
                  <w:u w:val="single"/>
                </w:rPr>
                <w:t>Agreement and Plan of Merger, dated as of April 2, 2023, by and among Extra Space Storage Inc., Extra Space Storage LP, Eros Merger Sub, LLC, Eros OP Merger Sub, LLC, Life Storage, Inc. and Life Storage LP.</w:t>
              </w:r>
            </w:hyperlink>
          </w:p>
        </w:tc>
        <w:tc>
          <w:tcPr>
            <w:tcW w:w="53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56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val="false"/>
                <w:color w:val="000000"/>
                <w:sz w:val="20"/>
              </w:rPr>
            </w:pPr>
            <w:r>
              <w:rPr>
                <w:rFonts w:ascii="Times New Roman;sans-serif" w:hAnsi="Times New Roman;sans-serif"/>
                <w:b w:val="false"/>
                <w:color w:val="000000"/>
                <w:sz w:val="20"/>
              </w:rPr>
              <w:t>April 3, 2023</w:t>
            </w:r>
          </w:p>
        </w:tc>
        <w:tc>
          <w:tcPr>
            <w:tcW w:w="6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q1202310qex221.htm">
              <w:r>
                <w:rPr>
                  <w:rStyle w:val="InternetLink"/>
                  <w:rFonts w:ascii="Times New Roman;sans-serif" w:hAnsi="Times New Roman;sans-serif"/>
                  <w:b w:val="false"/>
                  <w:color w:val="0000FF"/>
                  <w:sz w:val="20"/>
                  <w:u w:val="single"/>
                </w:rPr>
                <w:t>Issuer and Guarantors of Guaranteed Securities</w:t>
              </w:r>
            </w:hyperlink>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q1202310q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q1202310q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q1202310qex321.htm">
              <w:r>
                <w:rPr>
                  <w:rStyle w:val="InternetLink"/>
                  <w:rFonts w:ascii="Times New Roman;sans-serif" w:hAnsi="Times New Roman;sans-serif"/>
                  <w:b w:val="false"/>
                  <w:color w:val="0000FF"/>
                  <w:sz w:val="20"/>
                  <w:u w:val="single"/>
                </w:rPr>
                <w:t>Certifications of the Chief Executive Officer and Chief Financial Officer pursuant to 18 U.S.C. Section 1350, as adopted pursuant to Section 906 of the Sarbanes-Oxley Act of 2002.</w:t>
              </w:r>
            </w:hyperlink>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Extra Space Storage Inc.’s Quarterly Report on Form 10-Q for the quarter ended March 31, 2023, are formatted in XBRL (eXtensible Business Reporting Language): (1) the Condensed Consolidated Balance Sheets, (2) the Condensed Consolidated Statements of Operations, (3) the Condensed Consolidated Statements of Comprehensive Income (4) the Condensed Consolidated Statement of Noncontrolling Interests and Equity, (5) the Condensed Consolidated Statements of Cash Flows and (6) notes to these financial statements.</w:t>
            </w:r>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65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before="0" w:after="0"/>
        <w:ind w:left="0" w:right="0" w:hanging="63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6461" w:type="dxa"/>
        <w:jc w:val="left"/>
        <w:tblInd w:w="0" w:type="dxa"/>
        <w:tblCellMar>
          <w:top w:w="28" w:type="dxa"/>
          <w:left w:w="28" w:type="dxa"/>
          <w:bottom w:w="28" w:type="dxa"/>
          <w:right w:w="28" w:type="dxa"/>
        </w:tblCellMar>
      </w:tblPr>
      <w:tblGrid>
        <w:gridCol w:w="591"/>
        <w:gridCol w:w="520"/>
        <w:gridCol w:w="523"/>
        <w:gridCol w:w="109"/>
        <w:gridCol w:w="109"/>
        <w:gridCol w:w="109"/>
        <w:gridCol w:w="1316"/>
        <w:gridCol w:w="1316"/>
        <w:gridCol w:w="186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316" w:type="dxa"/>
            <w:tcBorders/>
            <w:shd w:fill="auto" w:val="clear"/>
            <w:vAlign w:val="center"/>
          </w:tcPr>
          <w:p>
            <w:pPr>
              <w:pStyle w:val="TableContents"/>
              <w:spacing w:before="0" w:after="283"/>
              <w:rPr>
                <w:sz w:val="4"/>
                <w:szCs w:val="4"/>
              </w:rPr>
            </w:pPr>
            <w:r>
              <w:rPr>
                <w:sz w:val="4"/>
                <w:szCs w:val="4"/>
              </w:rPr>
            </w:r>
          </w:p>
        </w:tc>
        <w:tc>
          <w:tcPr>
            <w:tcW w:w="186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Registrant</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b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Executive Vice President and 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5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Issuer and Guarantors of Guaranteed Securities </w:t>
      </w:r>
    </w:p>
    <w:p>
      <w:pPr>
        <w:pStyle w:val="TextBody"/>
        <w:spacing w:before="0" w:after="0"/>
        <w:jc w:val="center"/>
        <w:rPr/>
      </w:pPr>
      <w:r>
        <w:rPr/>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entities are included in the Obligated Group, as defined in the Annual Report on Form 10-K of Extra Space Storage Inc. to which this document is being filed as an exhibit, for the 3.900% Senior Notes due 2029, the 2.550% Senior Notes due 2031, the 2.350% Senior Notes due 2032 and the 5.700% Senior Notes due 2028 (collectively, the "Notes"). The guarantors have fully and unconditionally guaranteed the Notes on a joint and several basis. </w:t>
      </w:r>
    </w:p>
    <w:tbl>
      <w:tblPr>
        <w:tblW w:w="8144" w:type="dxa"/>
        <w:jc w:val="left"/>
        <w:tblInd w:w="0" w:type="dxa"/>
        <w:tblCellMar>
          <w:top w:w="28" w:type="dxa"/>
          <w:left w:w="28" w:type="dxa"/>
          <w:bottom w:w="28" w:type="dxa"/>
          <w:right w:w="28" w:type="dxa"/>
        </w:tblCellMar>
      </w:tblPr>
      <w:tblGrid>
        <w:gridCol w:w="956"/>
        <w:gridCol w:w="839"/>
        <w:gridCol w:w="844"/>
        <w:gridCol w:w="829"/>
        <w:gridCol w:w="829"/>
        <w:gridCol w:w="832"/>
        <w:gridCol w:w="883"/>
        <w:gridCol w:w="883"/>
        <w:gridCol w:w="1249"/>
      </w:tblGrid>
      <w:tr>
        <w:trPr/>
        <w:tc>
          <w:tcPr>
            <w:tcW w:w="9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of Issuer or Guarantor</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 Issuer or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 or Organization</w:t>
            </w:r>
          </w:p>
        </w:tc>
      </w:tr>
      <w:tr>
        <w:trPr/>
        <w:tc>
          <w:tcPr>
            <w:tcW w:w="26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LP</w:t>
            </w:r>
          </w:p>
        </w:tc>
        <w:tc>
          <w:tcPr>
            <w:tcW w:w="24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w:t>
            </w:r>
          </w:p>
        </w:tc>
        <w:tc>
          <w:tcPr>
            <w:tcW w:w="30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Extra Space Storage Inc.</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Maryland</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Massachusetts </w:t>
            </w:r>
          </w:p>
        </w:tc>
      </w:tr>
      <w:tr>
        <w:trPr/>
        <w:tc>
          <w:tcPr>
            <w:tcW w:w="26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Holdings Business Trust II</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Subsidiary Guarantor</w:t>
            </w:r>
          </w:p>
        </w:tc>
        <w:tc>
          <w:tcPr>
            <w:tcW w:w="30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Massachusetts</w:t>
            </w:r>
          </w:p>
        </w:tc>
      </w:tr>
    </w:tbl>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Joseph D. Margolis,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Extra Space Storage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333" w:type="dxa"/>
        <w:jc w:val="left"/>
        <w:tblInd w:w="0" w:type="dxa"/>
        <w:tblCellMar>
          <w:top w:w="28" w:type="dxa"/>
          <w:left w:w="28" w:type="dxa"/>
          <w:bottom w:w="28" w:type="dxa"/>
          <w:right w:w="28" w:type="dxa"/>
        </w:tblCellMar>
      </w:tblPr>
      <w:tblGrid>
        <w:gridCol w:w="591"/>
        <w:gridCol w:w="520"/>
        <w:gridCol w:w="523"/>
        <w:gridCol w:w="208"/>
        <w:gridCol w:w="208"/>
        <w:gridCol w:w="213"/>
        <w:gridCol w:w="605"/>
        <w:gridCol w:w="605"/>
        <w:gridCol w:w="860"/>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P. Scott Stubbs, certify that: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Extra Space Storage Inc.;</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702" w:type="dxa"/>
        <w:jc w:val="left"/>
        <w:tblInd w:w="0" w:type="dxa"/>
        <w:tblCellMar>
          <w:top w:w="28" w:type="dxa"/>
          <w:left w:w="28" w:type="dxa"/>
          <w:bottom w:w="28" w:type="dxa"/>
          <w:right w:w="28" w:type="dxa"/>
        </w:tblCellMar>
      </w:tblPr>
      <w:tblGrid>
        <w:gridCol w:w="591"/>
        <w:gridCol w:w="520"/>
        <w:gridCol w:w="523"/>
        <w:gridCol w:w="208"/>
        <w:gridCol w:w="208"/>
        <w:gridCol w:w="213"/>
        <w:gridCol w:w="1295"/>
        <w:gridCol w:w="1295"/>
        <w:gridCol w:w="1849"/>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ind w:left="0" w:right="0" w:hanging="72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3041" w:type="dxa"/>
        <w:jc w:val="left"/>
        <w:tblInd w:w="0" w:type="dxa"/>
        <w:tblCellMar>
          <w:top w:w="28" w:type="dxa"/>
          <w:left w:w="28" w:type="dxa"/>
          <w:bottom w:w="28" w:type="dxa"/>
          <w:right w:w="28" w:type="dxa"/>
        </w:tblCellMar>
      </w:tblPr>
      <w:tblGrid>
        <w:gridCol w:w="124"/>
        <w:gridCol w:w="109"/>
        <w:gridCol w:w="109"/>
        <w:gridCol w:w="208"/>
        <w:gridCol w:w="208"/>
        <w:gridCol w:w="213"/>
        <w:gridCol w:w="605"/>
        <w:gridCol w:w="605"/>
        <w:gridCol w:w="8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D. Margolis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D. Margolis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2023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tbl>
      <w:tblPr>
        <w:tblW w:w="5410" w:type="dxa"/>
        <w:jc w:val="left"/>
        <w:tblInd w:w="0" w:type="dxa"/>
        <w:tblCellMar>
          <w:top w:w="28" w:type="dxa"/>
          <w:left w:w="28" w:type="dxa"/>
          <w:bottom w:w="28" w:type="dxa"/>
          <w:right w:w="28" w:type="dxa"/>
        </w:tblCellMar>
      </w:tblPr>
      <w:tblGrid>
        <w:gridCol w:w="124"/>
        <w:gridCol w:w="109"/>
        <w:gridCol w:w="109"/>
        <w:gridCol w:w="208"/>
        <w:gridCol w:w="208"/>
        <w:gridCol w:w="213"/>
        <w:gridCol w:w="1295"/>
        <w:gridCol w:w="1295"/>
        <w:gridCol w:w="184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4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 Scott Stubbs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 Scott Stubbs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89490/000119312522092010/d323264dex42.htm" TargetMode="External"/><Relationship Id="rId3" Type="http://schemas.openxmlformats.org/officeDocument/2006/relationships/hyperlink" Target="https://www.sec.gov/Archives/edgar/data/1289490/000119312523082217/d472175dex42.htm" TargetMode="External"/><Relationship Id="rId4" Type="http://schemas.openxmlformats.org/officeDocument/2006/relationships/hyperlink" Target="https://www.sec.gov/Archives/edgar/data/1289490/000119312523089776/d487333dex2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13</Pages>
  <Words>22500</Words>
  <CharactersWithSpaces>145488</CharactersWithSpaces>
  <Paragraphs>2715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