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82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823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35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Herrington Matthew 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
        <w:spacing w:after="0" w:line="365" w:lineRule="auto"/>
        <w:rPr>
          <w:sz w:val="20"/>
          <w:szCs w:val="20"/>
          <w:color w:val="auto"/>
        </w:rPr>
      </w:pPr>
      <w:r>
        <w:rPr>
          <w:rFonts w:ascii="Times New Roman" w:cs="Times New Roman" w:eastAsia="Times New Roman" w:hAnsi="Times New Roman"/>
          <w:sz w:val="17"/>
          <w:szCs w:val="17"/>
          <w:color w:val="0000FF"/>
        </w:rPr>
        <w:t>2795 EAST COTTONWOOD PARKWAY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Extra Space Storage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EVP &amp; COO</w:t>
      </w:r>
    </w:p>
    <w:p>
      <w:pPr>
        <w:spacing w:after="0" w:line="563" w:lineRule="exact"/>
        <w:rPr>
          <w:sz w:val="24"/>
          <w:szCs w:val="24"/>
          <w:color w:val="auto"/>
        </w:rPr>
      </w:pPr>
    </w:p>
    <w:p>
      <w:pPr>
        <w:sectPr>
          <w:pgSz w:w="11900" w:h="16838" w:orient="portrait"/>
          <w:cols w:equalWidth="0" w:num="3">
            <w:col w:w="3200" w:space="720"/>
            <w:col w:w="3095" w:space="720"/>
            <w:col w:w="3345"/>
          </w:cols>
          <w:pgMar w:left="460" w:top="219" w:right="359" w:bottom="353"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28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84121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jc w:val="center"/>
              <w:ind w:left="60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03/01/2026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1,463</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151.03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18,916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03/01/2026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6,290</w:t>
            </w:r>
            <w:r>
              <w:rPr>
                <w:rFonts w:ascii="Times New Roman" w:cs="Times New Roman" w:eastAsia="Times New Roman" w:hAnsi="Times New Roman"/>
                <w:sz w:val="22"/>
                <w:szCs w:val="22"/>
                <w:color w:val="008000"/>
                <w:w w:val="93"/>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151.03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25,206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03/01/2026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9"/>
              </w:rPr>
              <w:t>155</w:t>
            </w:r>
            <w:r>
              <w:rPr>
                <w:rFonts w:ascii="Times New Roman" w:cs="Times New Roman" w:eastAsia="Times New Roman" w:hAnsi="Times New Roman"/>
                <w:sz w:val="22"/>
                <w:szCs w:val="22"/>
                <w:color w:val="008000"/>
                <w:w w:val="89"/>
                <w:vertAlign w:val="superscript"/>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151.03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25,051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03/01/2026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267</w:t>
            </w:r>
            <w:r>
              <w:rPr>
                <w:rFonts w:ascii="Times New Roman" w:cs="Times New Roman" w:eastAsia="Times New Roman" w:hAnsi="Times New Roman"/>
                <w:sz w:val="11"/>
                <w:szCs w:val="11"/>
                <w:color w:val="008000"/>
                <w:w w:val="81"/>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151.03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24,784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03/01/2026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382</w:t>
            </w:r>
            <w:r>
              <w:rPr>
                <w:rFonts w:ascii="Times New Roman" w:cs="Times New Roman" w:eastAsia="Times New Roman" w:hAnsi="Times New Roman"/>
                <w:sz w:val="11"/>
                <w:szCs w:val="11"/>
                <w:color w:val="008000"/>
                <w:w w:val="81"/>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151.03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24,402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03/01/2026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682</w:t>
            </w:r>
            <w:r>
              <w:rPr>
                <w:rFonts w:ascii="Times New Roman" w:cs="Times New Roman" w:eastAsia="Times New Roman" w:hAnsi="Times New Roman"/>
                <w:sz w:val="11"/>
                <w:szCs w:val="11"/>
                <w:color w:val="008000"/>
                <w:w w:val="81"/>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151.03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23,720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jc w:val="center"/>
              <w:ind w:left="66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issued upon the vesting of performance stock units (PSUs), net of shares withheld by the Issuer in payment of the tax liability arising in connection with the settlement of vested PSUs. Each PSU represented a contingent right to receive shares of the Issuers common stock. The PSUs were originally granted on March 1, 2023 and were eligible to vest based on the Issuer achievement of certain performance objectives during the three-year performance period ending December 31, 2025. On February 10, 2026, the Compensation Committee of the Board of Directors of the Issuer certified the Issuer achievement relative to the applicable performance objectives and approved the vesting of the PSUs with respect to these shares effective March 1, 2026.</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awards vest 25% annually over four years, beginning on the first anniversary of the grant date.</w:t>
      </w:r>
    </w:p>
    <w:p>
      <w:pPr>
        <w:spacing w:after="0" w:line="5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in payment of the tax liability arising in connection with the settlement of vested restricted stock awards. Restricted stock awards vest 25% annually over four years, beginning on the first anniversary of the grant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Grace Kunde, Attorney-in-  </w:t>
      </w:r>
      <w:r>
        <w:rPr>
          <w:rFonts w:ascii="Times New Roman" w:cs="Times New Roman" w:eastAsia="Times New Roman" w:hAnsi="Times New Roman"/>
          <w:sz w:val="34"/>
          <w:szCs w:val="34"/>
          <w:color w:val="0000FF"/>
          <w:vertAlign w:val="subscript"/>
        </w:rPr>
        <w:t>03/03/2026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3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14592" TargetMode="External"/><Relationship Id="rId14" Type="http://schemas.openxmlformats.org/officeDocument/2006/relationships/hyperlink" Target="http://www.sec.gov/cgi-bin/browse-edgar?action=getcompany&amp;CIK=00012894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2026-03-03T20:19:52Z</dcterms:created>
  <dcterms:modified xsi:type="dcterms:W3CDTF">2026-03-03T20:19:52Z</dcterms:modified>
</cp:coreProperties>
</file>