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210185</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75565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720" w:right="20" w:hanging="681"/>
        <w:spacing w:after="0" w:line="256"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720" w:right="360" w:hanging="681"/>
        <w:spacing w:after="0" w:line="256"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Arial" w:cs="Arial" w:eastAsia="Arial" w:hAnsi="Arial"/>
                <w:sz w:val="18"/>
                <w:szCs w:val="18"/>
                <w:b w:val="1"/>
                <w:bCs w:val="1"/>
                <w:color w:val="auto"/>
                <w:w w:val="78"/>
              </w:rPr>
              <w:t>.</w:t>
            </w:r>
          </w:p>
        </w:tc>
      </w:tr>
      <w:tr>
        <w:trPr>
          <w:trHeight w:val="237"/>
        </w:trPr>
        <w:tc>
          <w:tcPr>
            <w:tcW w:w="4900" w:type="dxa"/>
            <w:vAlign w:val="bottom"/>
            <w:gridSpan w:val="4"/>
          </w:tcPr>
          <w:p>
            <w:pPr>
              <w:ind w:left="1300"/>
              <w:spacing w:after="0"/>
              <w:rPr>
                <w:sz w:val="20"/>
                <w:szCs w:val="20"/>
                <w:color w:val="auto"/>
              </w:rPr>
            </w:pPr>
            <w:r>
              <w:rPr>
                <w:rFonts w:ascii="Arial" w:cs="Arial" w:eastAsia="Arial" w:hAnsi="Arial"/>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EXTRA SPACE STORAGE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20" w:type="dxa"/>
            <w:vAlign w:val="bottom"/>
          </w:tcPr>
          <w:p>
            <w:pPr>
              <w:jc w:val="center"/>
              <w:ind w:right="2062"/>
              <w:spacing w:after="0"/>
              <w:rPr>
                <w:sz w:val="20"/>
                <w:szCs w:val="20"/>
                <w:color w:val="auto"/>
              </w:rPr>
            </w:pPr>
            <w:r>
              <w:rPr>
                <w:rFonts w:ascii="Arial" w:cs="Arial" w:eastAsia="Arial" w:hAnsi="Arial"/>
                <w:sz w:val="18"/>
                <w:szCs w:val="18"/>
                <w:b w:val="1"/>
                <w:bCs w:val="1"/>
                <w:color w:val="auto"/>
                <w:w w:val="96"/>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20-1076777</w:t>
            </w:r>
          </w:p>
        </w:tc>
      </w:tr>
      <w:tr>
        <w:trPr>
          <w:trHeight w:val="180"/>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2795 East Cottonwood Parkway, Suite 300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84121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(801) 365-4600</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50"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60" w:type="dxa"/>
            <w:vAlign w:val="bottom"/>
          </w:tcPr>
          <w:p>
            <w:pPr>
              <w:spacing w:after="0"/>
              <w:rPr>
                <w:sz w:val="18"/>
                <w:szCs w:val="18"/>
                <w:color w:val="auto"/>
              </w:rPr>
            </w:pPr>
          </w:p>
        </w:tc>
        <w:tc>
          <w:tcPr>
            <w:tcW w:w="2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410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561"/>
        </w:trPr>
        <w:tc>
          <w:tcPr>
            <w:tcW w:w="310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$0.01 par value</w:t>
            </w:r>
          </w:p>
        </w:tc>
        <w:tc>
          <w:tcPr>
            <w:tcW w:w="760" w:type="dxa"/>
            <w:vAlign w:val="bottom"/>
          </w:tcPr>
          <w:p>
            <w:pPr>
              <w:spacing w:after="0"/>
              <w:rPr>
                <w:sz w:val="24"/>
                <w:szCs w:val="24"/>
                <w:color w:val="auto"/>
              </w:rPr>
            </w:pPr>
          </w:p>
        </w:tc>
        <w:tc>
          <w:tcPr>
            <w:tcW w:w="1980" w:type="dxa"/>
            <w:vAlign w:val="bottom"/>
            <w:gridSpan w:val="2"/>
          </w:tcPr>
          <w:p>
            <w:pPr>
              <w:jc w:val="center"/>
              <w:ind w:right="780"/>
              <w:spacing w:after="0"/>
              <w:rPr>
                <w:sz w:val="20"/>
                <w:szCs w:val="20"/>
                <w:color w:val="auto"/>
              </w:rPr>
            </w:pPr>
            <w:r>
              <w:rPr>
                <w:rFonts w:ascii="Arial" w:cs="Arial" w:eastAsia="Arial" w:hAnsi="Arial"/>
                <w:sz w:val="18"/>
                <w:szCs w:val="18"/>
                <w:color w:val="auto"/>
                <w:w w:val="97"/>
              </w:rPr>
              <w:t>EXR</w:t>
            </w:r>
          </w:p>
        </w:tc>
        <w:tc>
          <w:tcPr>
            <w:tcW w:w="7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38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9"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ind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80"/>
              <w:spacing w:after="0"/>
              <w:rPr>
                <w:sz w:val="20"/>
                <w:szCs w:val="20"/>
                <w:color w:val="auto"/>
              </w:rPr>
            </w:pPr>
            <w:r>
              <w:rPr>
                <w:rFonts w:ascii="Arial" w:cs="Arial" w:eastAsia="Arial" w:hAnsi="Arial"/>
                <w:sz w:val="18"/>
                <w:szCs w:val="18"/>
                <w:color w:val="auto"/>
              </w:rPr>
              <w:t>x</w:t>
            </w:r>
          </w:p>
        </w:tc>
        <w:tc>
          <w:tcPr>
            <w:tcW w:w="51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20"/>
          </w:cols>
          <w:pgMar w:left="320" w:top="544" w:right="359" w:bottom="1440" w:gutter="0" w:footer="0" w:header="0"/>
        </w:sect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type w:val="continuous"/>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par value $0.01 per share, as of April 30, 2020, was 129,086,589.</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5"/>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tc>
        <w:tc>
          <w:tcPr>
            <w:tcW w:w="112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EXTRA SPACE STORAGE INC.</w:t>
            </w:r>
          </w:p>
        </w:tc>
        <w:tc>
          <w:tcPr>
            <w:tcW w:w="112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r>
      <w:tr>
        <w:trPr>
          <w:trHeight w:val="513"/>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STATEMENT ON FORWARD-LOOKING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79"/>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ITEM 1. FINANCIAL STATEMENTS (unaudited)</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4"/>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980" w:type="dxa"/>
            <w:vAlign w:val="bottom"/>
            <w:gridSpan w:val="3"/>
          </w:tcPr>
          <w:p>
            <w:pPr>
              <w:spacing w:after="0"/>
              <w:rPr>
                <w:rFonts w:ascii="Arial" w:cs="Arial" w:eastAsia="Arial" w:hAnsi="Arial"/>
                <w:sz w:val="18"/>
                <w:szCs w:val="18"/>
                <w:b w:val="1"/>
                <w:bCs w:val="1"/>
                <w:u w:val="single" w:color="auto"/>
                <w:color w:val="0000FF"/>
              </w:rPr>
            </w:pPr>
            <w:hyperlink w:anchor="page11">
              <w:r>
                <w:rPr>
                  <w:rFonts w:ascii="Arial" w:cs="Arial" w:eastAsia="Arial" w:hAnsi="Arial"/>
                  <w:sz w:val="18"/>
                  <w:szCs w:val="18"/>
                  <w:b w:val="1"/>
                  <w:bCs w:val="1"/>
                  <w:u w:val="single" w:color="auto"/>
                  <w:color w:val="0000FF"/>
                </w:rPr>
                <w:t>NOTES TO CONDENSED CONSOLIDATED FINANCIAL STATEMENTS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12</w:t>
              </w:r>
            </w:hyperlink>
          </w:p>
        </w:tc>
      </w:tr>
      <w:tr>
        <w:trPr>
          <w:trHeight w:val="203"/>
        </w:trPr>
        <w:tc>
          <w:tcPr>
            <w:tcW w:w="340" w:type="dxa"/>
            <w:vAlign w:val="bottom"/>
          </w:tcPr>
          <w:p>
            <w:pPr>
              <w:spacing w:after="0"/>
              <w:rPr>
                <w:sz w:val="17"/>
                <w:szCs w:val="17"/>
                <w:color w:val="auto"/>
              </w:rPr>
            </w:pPr>
          </w:p>
        </w:tc>
        <w:tc>
          <w:tcPr>
            <w:tcW w:w="8800" w:type="dxa"/>
            <w:vAlign w:val="bottom"/>
            <w:tcBorders>
              <w:bottom w:val="single" w:sz="8" w:color="0000FF"/>
            </w:tcBorders>
            <w:gridSpan w:val="3"/>
          </w:tcPr>
          <w:p>
            <w:pPr>
              <w:ind w:left="20"/>
              <w:spacing w:after="0" w:line="202" w:lineRule="exact"/>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2. MANAGEMENT’S DISCUSSION AND ANALYSIS OF FINANCIAL CONDITION AND RESULTS OF</w:t>
              </w:r>
            </w:hyperlink>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tcPr>
          <w:p>
            <w:pPr>
              <w:spacing w:after="0" w:line="182" w:lineRule="exact"/>
              <w:rPr>
                <w:rFonts w:ascii="Arial" w:cs="Arial" w:eastAsia="Arial" w:hAnsi="Arial"/>
                <w:sz w:val="18"/>
                <w:szCs w:val="18"/>
                <w:b w:val="1"/>
                <w:bCs w:val="1"/>
                <w:color w:val="0000FF"/>
                <w:w w:val="97"/>
              </w:rPr>
            </w:pPr>
            <w:hyperlink w:anchor="page27">
              <w:r>
                <w:rPr>
                  <w:rFonts w:ascii="Arial" w:cs="Arial" w:eastAsia="Arial" w:hAnsi="Arial"/>
                  <w:sz w:val="18"/>
                  <w:szCs w:val="18"/>
                  <w:b w:val="1"/>
                  <w:bCs w:val="1"/>
                  <w:color w:val="0000FF"/>
                  <w:w w:val="97"/>
                </w:rPr>
                <w:t>OPERATIONS</w:t>
              </w:r>
            </w:hyperlink>
          </w:p>
        </w:tc>
        <w:tc>
          <w:tcPr>
            <w:tcW w:w="7800" w:type="dxa"/>
            <w:vAlign w:val="bottom"/>
            <w:gridSpan w:val="2"/>
          </w:tcPr>
          <w:p>
            <w:pPr>
              <w:spacing w:after="0"/>
              <w:rPr>
                <w:sz w:val="17"/>
                <w:szCs w:val="17"/>
                <w:color w:val="auto"/>
              </w:rPr>
            </w:pPr>
          </w:p>
        </w:tc>
        <w:tc>
          <w:tcPr>
            <w:tcW w:w="1120" w:type="dxa"/>
            <w:vAlign w:val="bottom"/>
          </w:tcPr>
          <w:p>
            <w:pPr>
              <w:jc w:val="right"/>
              <w:spacing w:after="0" w:line="196" w:lineRule="exact"/>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28</w:t>
              </w:r>
            </w:hyperlink>
          </w:p>
        </w:tc>
      </w:tr>
      <w:tr>
        <w:trPr>
          <w:trHeight w:val="272"/>
        </w:trPr>
        <w:tc>
          <w:tcPr>
            <w:tcW w:w="340" w:type="dxa"/>
            <w:vAlign w:val="bottom"/>
          </w:tcPr>
          <w:p>
            <w:pPr>
              <w:spacing w:after="0"/>
              <w:rPr>
                <w:sz w:val="23"/>
                <w:szCs w:val="23"/>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3. QUANTITATIVE AND QUALITATIVE DISCLOSURES ABOUT MARKET RISK</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234"/>
        </w:trPr>
        <w:tc>
          <w:tcPr>
            <w:tcW w:w="340" w:type="dxa"/>
            <w:vAlign w:val="bottom"/>
          </w:tcPr>
          <w:p>
            <w:pPr>
              <w:spacing w:after="0"/>
              <w:rPr>
                <w:sz w:val="20"/>
                <w:szCs w:val="20"/>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4. CONTROLS AND PROCEDURES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r>
      <w:tr>
        <w:trPr>
          <w:trHeight w:val="279"/>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PART II. OTHER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1. LEGAL PROCEEDINGS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1A. RISK FACTORS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2. UNREGISTERED SALES OF EQUITY SECURITIES AND USE OF PROCEEDS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3. DEFAULTS UPON SENIOR SECURITIES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4. MINE SAFETY DISCLOSURES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5. OTHER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6. EXHIBITS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34"/>
        </w:trPr>
        <w:tc>
          <w:tcPr>
            <w:tcW w:w="340" w:type="dxa"/>
            <w:vAlign w:val="bottom"/>
          </w:tcPr>
          <w:p>
            <w:pPr>
              <w:spacing w:after="0"/>
              <w:rPr>
                <w:sz w:val="20"/>
                <w:szCs w:val="20"/>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SIGNATURES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2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5"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and developments on expected terms, or at all;</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63" w:lineRule="exact"/>
        <w:rPr>
          <w:rFonts w:ascii="Arial" w:cs="Arial" w:eastAsia="Arial" w:hAnsi="Arial"/>
          <w:sz w:val="18"/>
          <w:szCs w:val="18"/>
          <w:color w:val="auto"/>
        </w:rPr>
      </w:pPr>
    </w:p>
    <w:p>
      <w:pPr>
        <w:ind w:left="580" w:right="280" w:hanging="329"/>
        <w:spacing w:after="0" w:line="316" w:lineRule="auto"/>
        <w:tabs>
          <w:tab w:leader="none" w:pos="5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80" w:right="26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color w:val="auto"/>
        </w:rPr>
      </w:pPr>
    </w:p>
    <w:p>
      <w:pPr>
        <w:ind w:left="580" w:right="620" w:hanging="329"/>
        <w:spacing w:after="0" w:line="316" w:lineRule="auto"/>
        <w:tabs>
          <w:tab w:leader="none" w:pos="575"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impacts from the COVID-19 pandemic, including reduced demand for self-storage space and ancillary products and services such as tenant reinsurance, and potential decreases in occupancy and rental rates and staffing levels, which could adversely affect our results;</w:t>
      </w:r>
    </w:p>
    <w:p>
      <w:pPr>
        <w:spacing w:after="0" w:line="1" w:lineRule="exact"/>
        <w:rPr>
          <w:rFonts w:ascii="Arial" w:cs="Arial" w:eastAsia="Arial" w:hAnsi="Arial"/>
          <w:sz w:val="16"/>
          <w:szCs w:val="16"/>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sole decision-making authority with respect to our joint venture investments;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recent or future changes to U.S. tax laws;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U.S. federal income tax purposes; and</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(unaudited)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Real estate assets,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7,689,621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7,696,864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Real estate assets - 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259,681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264,643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Investments in unconsolidated real estate entities</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342,404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338,054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65,746</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159,850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162,083</w:t>
            </w:r>
          </w:p>
        </w:tc>
        <w:tc>
          <w:tcPr>
            <w:tcW w:w="0" w:type="dxa"/>
            <w:vAlign w:val="bottom"/>
          </w:tcPr>
          <w:p>
            <w:pPr>
              <w:spacing w:after="0"/>
              <w:rPr>
                <w:sz w:val="1"/>
                <w:szCs w:val="1"/>
                <w:color w:val="auto"/>
              </w:rPr>
            </w:pPr>
          </w:p>
        </w:tc>
      </w:tr>
      <w:tr>
        <w:trPr>
          <w:trHeight w:val="237"/>
        </w:trPr>
        <w:tc>
          <w:tcPr>
            <w:tcW w:w="78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8,549,486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Noncontrolling Interests and Equity:</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Notes payable,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4,310,476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4,318,973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Exchangeable senior notes,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571,321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569,513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Revolving lines of credit</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244,000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274,783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Cash distributions in unconsolidated real estate ventures</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45,712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45,264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111,382</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217,104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132,768</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5,774,856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5,610,683</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Extra Space Storage Inc. stockholders' equity:</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5"/>
              </w:rPr>
              <w:t>Preferred stock, $0.01 par value, 50,000,000 shares authorized, no shares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tcPr>
          <w:p>
            <w:pPr>
              <w:ind w:left="520"/>
              <w:spacing w:after="0" w:line="176" w:lineRule="exact"/>
              <w:rPr>
                <w:sz w:val="20"/>
                <w:szCs w:val="20"/>
                <w:color w:val="auto"/>
              </w:rPr>
            </w:pPr>
            <w:r>
              <w:rPr>
                <w:rFonts w:ascii="Arial" w:cs="Arial" w:eastAsia="Arial" w:hAnsi="Arial"/>
                <w:sz w:val="18"/>
                <w:szCs w:val="18"/>
                <w:color w:val="auto"/>
                <w:w w:val="89"/>
              </w:rPr>
              <w:t>Common stock, $0.01 par value, 500,000,000 shares authorized, 129,038,907 and 129,534,407 shares</w:t>
            </w:r>
          </w:p>
        </w:tc>
        <w:tc>
          <w:tcPr>
            <w:tcW w:w="220" w:type="dxa"/>
            <w:vAlign w:val="bottom"/>
          </w:tcPr>
          <w:p>
            <w:pPr>
              <w:spacing w:after="0"/>
              <w:rPr>
                <w:sz w:val="15"/>
                <w:szCs w:val="15"/>
                <w:color w:val="auto"/>
              </w:rPr>
            </w:pPr>
          </w:p>
        </w:tc>
        <w:tc>
          <w:tcPr>
            <w:tcW w:w="1400" w:type="dxa"/>
            <w:vAlign w:val="bottom"/>
            <w:vMerge w:val="restart"/>
          </w:tcPr>
          <w:p>
            <w:pPr>
              <w:jc w:val="right"/>
              <w:ind w:right="51"/>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ind w:right="71"/>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7860" w:type="dxa"/>
            <w:vAlign w:val="bottom"/>
          </w:tcPr>
          <w:p>
            <w:pPr>
              <w:ind w:left="520"/>
              <w:spacing w:after="0"/>
              <w:rPr>
                <w:sz w:val="20"/>
                <w:szCs w:val="20"/>
                <w:color w:val="auto"/>
              </w:rPr>
            </w:pPr>
            <w:r>
              <w:rPr>
                <w:rFonts w:ascii="Arial" w:cs="Arial" w:eastAsia="Arial" w:hAnsi="Arial"/>
                <w:sz w:val="18"/>
                <w:szCs w:val="18"/>
                <w:color w:val="auto"/>
              </w:rPr>
              <w:t>issued and outstanding at March 31, 2020 and December 31, 2019, respectively</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2,872,933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2,868,681</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(113,840)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(301,049)</w:t>
            </w:r>
          </w:p>
        </w:tc>
        <w:tc>
          <w:tcPr>
            <w:tcW w:w="0" w:type="dxa"/>
            <w:vAlign w:val="bottom"/>
          </w:tcPr>
          <w:p>
            <w:pPr>
              <w:spacing w:after="0"/>
              <w:rPr>
                <w:sz w:val="1"/>
                <w:szCs w:val="1"/>
                <w:color w:val="auto"/>
              </w:rPr>
            </w:pPr>
          </w:p>
        </w:tc>
      </w:tr>
      <w:tr>
        <w:trPr>
          <w:trHeight w:val="237"/>
        </w:trPr>
        <w:tc>
          <w:tcPr>
            <w:tcW w:w="7860" w:type="dxa"/>
            <w:vAlign w:val="bottom"/>
          </w:tcPr>
          <w:p>
            <w:pPr>
              <w:ind w:left="860"/>
              <w:spacing w:after="0"/>
              <w:rPr>
                <w:sz w:val="20"/>
                <w:szCs w:val="20"/>
                <w:color w:val="auto"/>
              </w:rPr>
            </w:pPr>
            <w:r>
              <w:rPr>
                <w:rFonts w:ascii="Arial" w:cs="Arial" w:eastAsia="Arial" w:hAnsi="Arial"/>
                <w:sz w:val="18"/>
                <w:szCs w:val="18"/>
                <w:color w:val="auto"/>
              </w:rPr>
              <w:t>Total Extra Space Storage Inc. stockholders' equity</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2,398,119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2,539,961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175,948</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201,192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205,785</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noncontrolling interests and equity</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2,774,630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2,921,694</w:t>
            </w:r>
          </w:p>
        </w:tc>
        <w:tc>
          <w:tcPr>
            <w:tcW w:w="0" w:type="dxa"/>
            <w:vAlign w:val="bottom"/>
          </w:tcPr>
          <w:p>
            <w:pPr>
              <w:spacing w:after="0"/>
              <w:rPr>
                <w:sz w:val="1"/>
                <w:szCs w:val="1"/>
                <w:color w:val="auto"/>
              </w:rPr>
            </w:pPr>
          </w:p>
        </w:tc>
      </w:tr>
      <w:tr>
        <w:trPr>
          <w:trHeight w:val="237"/>
        </w:trPr>
        <w:tc>
          <w:tcPr>
            <w:tcW w:w="7860" w:type="dxa"/>
            <w:vAlign w:val="bottom"/>
          </w:tcPr>
          <w:p>
            <w:pPr>
              <w:ind w:left="860"/>
              <w:spacing w:after="0"/>
              <w:rPr>
                <w:sz w:val="20"/>
                <w:szCs w:val="20"/>
                <w:color w:val="auto"/>
              </w:rPr>
            </w:pPr>
            <w:r>
              <w:rPr>
                <w:rFonts w:ascii="Arial" w:cs="Arial" w:eastAsia="Arial" w:hAnsi="Arial"/>
                <w:sz w:val="18"/>
                <w:szCs w:val="18"/>
                <w:color w:val="auto"/>
              </w:rPr>
              <w:t>Total liabilities, noncontrolling interests and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8,549,486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6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40" w:type="dxa"/>
            <w:vAlign w:val="bottom"/>
          </w:tcPr>
          <w:p>
            <w:pPr>
              <w:ind w:left="340"/>
              <w:spacing w:after="0"/>
              <w:rPr>
                <w:sz w:val="20"/>
                <w:szCs w:val="20"/>
                <w:color w:val="auto"/>
              </w:rPr>
            </w:pPr>
            <w:r>
              <w:rPr>
                <w:rFonts w:ascii="Arial" w:cs="Arial" w:eastAsia="Arial" w:hAnsi="Arial"/>
                <w:sz w:val="16"/>
                <w:szCs w:val="16"/>
                <w:color w:val="auto"/>
              </w:rPr>
              <w:t>Property rental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286,703</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271,003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Tenant reinsurance</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33,613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29,797</w:t>
            </w:r>
          </w:p>
        </w:tc>
        <w:tc>
          <w:tcPr>
            <w:tcW w:w="0" w:type="dxa"/>
            <w:vAlign w:val="bottom"/>
          </w:tcPr>
          <w:p>
            <w:pPr>
              <w:spacing w:after="0"/>
              <w:rPr>
                <w:sz w:val="1"/>
                <w:szCs w:val="1"/>
                <w:color w:val="auto"/>
              </w:rPr>
            </w:pPr>
          </w:p>
        </w:tc>
      </w:tr>
      <w:tr>
        <w:trPr>
          <w:trHeight w:val="223"/>
        </w:trPr>
        <w:tc>
          <w:tcPr>
            <w:tcW w:w="7740" w:type="dxa"/>
            <w:vAlign w:val="bottom"/>
          </w:tcPr>
          <w:p>
            <w:pPr>
              <w:ind w:left="340"/>
              <w:spacing w:after="0"/>
              <w:rPr>
                <w:sz w:val="20"/>
                <w:szCs w:val="20"/>
                <w:color w:val="auto"/>
              </w:rPr>
            </w:pPr>
            <w:r>
              <w:rPr>
                <w:rFonts w:ascii="Arial" w:cs="Arial" w:eastAsia="Arial" w:hAnsi="Arial"/>
                <w:sz w:val="16"/>
                <w:szCs w:val="16"/>
                <w:color w:val="auto"/>
              </w:rPr>
              <w:t>Management fees and other income</w:t>
            </w:r>
          </w:p>
        </w:tc>
        <w:tc>
          <w:tcPr>
            <w:tcW w:w="26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12,136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332,452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311,546</w:t>
            </w: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Property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90,297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78,765</w:t>
            </w:r>
          </w:p>
        </w:tc>
        <w:tc>
          <w:tcPr>
            <w:tcW w:w="0" w:type="dxa"/>
            <w:vAlign w:val="bottom"/>
          </w:tcPr>
          <w:p>
            <w:pPr>
              <w:spacing w:after="0"/>
              <w:rPr>
                <w:sz w:val="1"/>
                <w:szCs w:val="1"/>
                <w:color w:val="auto"/>
              </w:rPr>
            </w:pPr>
          </w:p>
        </w:tc>
      </w:tr>
      <w:tr>
        <w:trPr>
          <w:trHeight w:val="224"/>
        </w:trPr>
        <w:tc>
          <w:tcPr>
            <w:tcW w:w="7740" w:type="dxa"/>
            <w:vAlign w:val="bottom"/>
          </w:tcPr>
          <w:p>
            <w:pPr>
              <w:ind w:left="340"/>
              <w:spacing w:after="0"/>
              <w:rPr>
                <w:sz w:val="20"/>
                <w:szCs w:val="20"/>
                <w:color w:val="auto"/>
              </w:rPr>
            </w:pPr>
            <w:r>
              <w:rPr>
                <w:rFonts w:ascii="Arial" w:cs="Arial" w:eastAsia="Arial" w:hAnsi="Arial"/>
                <w:sz w:val="16"/>
                <w:szCs w:val="16"/>
                <w:color w:val="auto"/>
              </w:rPr>
              <w:t>Tenant reinsurance</w:t>
            </w:r>
          </w:p>
        </w:tc>
        <w:tc>
          <w:tcPr>
            <w:tcW w:w="26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6,678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6,967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23,011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22,678</w:t>
            </w:r>
          </w:p>
        </w:tc>
        <w:tc>
          <w:tcPr>
            <w:tcW w:w="0" w:type="dxa"/>
            <w:vAlign w:val="bottom"/>
          </w:tcPr>
          <w:p>
            <w:pPr>
              <w:spacing w:after="0"/>
              <w:rPr>
                <w:sz w:val="1"/>
                <w:szCs w:val="1"/>
                <w:color w:val="auto"/>
              </w:rPr>
            </w:pPr>
          </w:p>
        </w:tc>
      </w:tr>
      <w:tr>
        <w:trPr>
          <w:trHeight w:val="223"/>
        </w:trPr>
        <w:tc>
          <w:tcPr>
            <w:tcW w:w="77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55,275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54,659</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175,261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163,069</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157,191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148,477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(47,360)</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6"/>
                <w:szCs w:val="16"/>
                <w:color w:val="auto"/>
                <w:w w:val="96"/>
              </w:rPr>
              <w:t>Non-cash interest expense related to amortization of discount on equity component of exchangeable senior notes</w:t>
            </w:r>
          </w:p>
        </w:tc>
        <w:tc>
          <w:tcPr>
            <w:tcW w:w="260" w:type="dxa"/>
            <w:vAlign w:val="bottom"/>
          </w:tcPr>
          <w:p>
            <w:pPr>
              <w:spacing w:after="0"/>
              <w:rPr>
                <w:sz w:val="19"/>
                <w:szCs w:val="19"/>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17"/>
        </w:trPr>
        <w:tc>
          <w:tcPr>
            <w:tcW w:w="7740" w:type="dxa"/>
            <w:vAlign w:val="bottom"/>
          </w:tcPr>
          <w:p>
            <w:pPr>
              <w:ind w:left="20"/>
              <w:spacing w:after="0"/>
              <w:rPr>
                <w:sz w:val="20"/>
                <w:szCs w:val="20"/>
                <w:color w:val="auto"/>
              </w:rPr>
            </w:pPr>
            <w:r>
              <w:rPr>
                <w:rFonts w:ascii="Arial" w:cs="Arial" w:eastAsia="Arial" w:hAnsi="Arial"/>
                <w:sz w:val="16"/>
                <w:szCs w:val="16"/>
                <w:color w:val="auto"/>
              </w:rPr>
              <w:t>Income before equity in earnings of unconsolidated real estate entities and income tax expense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113,298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101,343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19"/>
                <w:szCs w:val="19"/>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116,162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102,160</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260" w:type="dxa"/>
            <w:vAlign w:val="bottom"/>
          </w:tcPr>
          <w:p>
            <w:pPr>
              <w:spacing w:after="0"/>
              <w:rPr>
                <w:sz w:val="19"/>
                <w:szCs w:val="19"/>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(3,163)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(4,227)</w:t>
            </w:r>
          </w:p>
        </w:tc>
        <w:tc>
          <w:tcPr>
            <w:tcW w:w="0" w:type="dxa"/>
            <w:vAlign w:val="bottom"/>
          </w:tcPr>
          <w:p>
            <w:pPr>
              <w:spacing w:after="0"/>
              <w:rPr>
                <w:sz w:val="1"/>
                <w:szCs w:val="1"/>
                <w:color w:val="auto"/>
              </w:rPr>
            </w:pPr>
          </w:p>
        </w:tc>
      </w:tr>
      <w:tr>
        <w:trPr>
          <w:trHeight w:val="247"/>
        </w:trPr>
        <w:tc>
          <w:tcPr>
            <w:tcW w:w="774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108,179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94,770</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740" w:type="dxa"/>
            <w:vAlign w:val="bottom"/>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129,288,629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127,037,247</w:t>
            </w:r>
          </w:p>
        </w:tc>
        <w:tc>
          <w:tcPr>
            <w:tcW w:w="0" w:type="dxa"/>
            <w:vAlign w:val="bottom"/>
          </w:tcPr>
          <w:p>
            <w:pPr>
              <w:spacing w:after="0"/>
              <w:rPr>
                <w:sz w:val="1"/>
                <w:szCs w:val="1"/>
                <w:color w:val="auto"/>
              </w:rPr>
            </w:pPr>
          </w:p>
        </w:tc>
      </w:tr>
      <w:tr>
        <w:trPr>
          <w:trHeight w:val="223"/>
        </w:trPr>
        <w:tc>
          <w:tcPr>
            <w:tcW w:w="7740" w:type="dxa"/>
            <w:vAlign w:val="bottom"/>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137,139,560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134,289,716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per common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6"/>
        </w:trPr>
        <w:tc>
          <w:tcPr>
            <w:tcW w:w="77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6"/>
              </w:rPr>
              <w:t>116,162</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102,160</w:t>
            </w: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Change in fair value of interest rate swaps</w:t>
            </w:r>
          </w:p>
        </w:tc>
        <w:tc>
          <w:tcPr>
            <w:tcW w:w="9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0"/>
              </w:rPr>
              <w:t>(89,244)</w:t>
            </w:r>
          </w:p>
        </w:tc>
        <w:tc>
          <w:tcPr>
            <w:tcW w:w="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(23,993)</w:t>
            </w:r>
          </w:p>
        </w:tc>
      </w:tr>
      <w:tr>
        <w:trPr>
          <w:trHeight w:val="217"/>
        </w:trPr>
        <w:tc>
          <w:tcPr>
            <w:tcW w:w="778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9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26,918</w:t>
            </w: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78,167</w:t>
            </w:r>
          </w:p>
        </w:tc>
      </w:tr>
      <w:tr>
        <w:trPr>
          <w:trHeight w:val="33"/>
        </w:trPr>
        <w:tc>
          <w:tcPr>
            <w:tcW w:w="7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9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3,613</w:t>
            </w:r>
          </w:p>
        </w:tc>
        <w:tc>
          <w:tcPr>
            <w:tcW w:w="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6,240</w:t>
            </w:r>
          </w:p>
        </w:tc>
      </w:tr>
      <w:tr>
        <w:trPr>
          <w:trHeight w:val="247"/>
        </w:trPr>
        <w:tc>
          <w:tcPr>
            <w:tcW w:w="7780" w:type="dxa"/>
            <w:vAlign w:val="bottom"/>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23,305</w:t>
            </w:r>
          </w:p>
        </w:tc>
        <w:tc>
          <w:tcPr>
            <w:tcW w:w="1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71,927</w:t>
            </w:r>
          </w:p>
        </w:tc>
      </w:tr>
      <w:tr>
        <w:trPr>
          <w:trHeight w:val="23"/>
        </w:trPr>
        <w:tc>
          <w:tcPr>
            <w:tcW w:w="77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Noncontrolling Interests</w:t>
            </w:r>
          </w:p>
        </w:tc>
        <w:tc>
          <w:tcPr>
            <w:tcW w:w="920" w:type="dxa"/>
            <w:vAlign w:val="bottom"/>
          </w:tcPr>
          <w:p>
            <w:pPr>
              <w:spacing w:after="0"/>
              <w:rPr>
                <w:sz w:val="16"/>
                <w:szCs w:val="16"/>
                <w:color w:val="auto"/>
              </w:rPr>
            </w:pPr>
          </w:p>
        </w:tc>
        <w:tc>
          <w:tcPr>
            <w:tcW w:w="2960" w:type="dxa"/>
            <w:vAlign w:val="bottom"/>
            <w:gridSpan w:val="9"/>
          </w:tcPr>
          <w:p>
            <w:pPr>
              <w:ind w:left="40"/>
              <w:spacing w:after="0"/>
              <w:rPr>
                <w:sz w:val="20"/>
                <w:szCs w:val="20"/>
                <w:color w:val="auto"/>
              </w:rPr>
            </w:pPr>
            <w:r>
              <w:rPr>
                <w:rFonts w:ascii="Arial" w:cs="Arial" w:eastAsia="Arial" w:hAnsi="Arial"/>
                <w:sz w:val="14"/>
                <w:szCs w:val="14"/>
                <w:b w:val="1"/>
                <w:bCs w:val="1"/>
                <w:color w:val="auto"/>
                <w:w w:val="94"/>
              </w:rPr>
              <w:t>Extra Space Storage Inc. Stockholders'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060" w:type="dxa"/>
            <w:vAlign w:val="bottom"/>
          </w:tcPr>
          <w:p>
            <w:pPr>
              <w:spacing w:after="0"/>
              <w:rPr>
                <w:sz w:val="24"/>
                <w:szCs w:val="24"/>
                <w:color w:val="auto"/>
              </w:rPr>
            </w:pPr>
          </w:p>
        </w:tc>
        <w:tc>
          <w:tcPr>
            <w:tcW w:w="8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gridSpan w:val="2"/>
            <w:vMerge w:val="continue"/>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2"/>
                <w:szCs w:val="12"/>
                <w:color w:val="auto"/>
              </w:rPr>
            </w:pPr>
          </w:p>
        </w:tc>
        <w:tc>
          <w:tcPr>
            <w:tcW w:w="9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Partnership</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$ 153,096</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$ 218,362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$ 240</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127,103,750</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$ 1,271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$ 2,640,705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34,650</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(262,902)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$ 2,785,422</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 of common stock upon the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169,021</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1,754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grants issued</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35,022</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Restricted stock grants cancelled</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Compensation expense related to stock-</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based awards</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2,954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2,954</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Redemption of Operating Partnership</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units for stock</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85,501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Preferred D Units in the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Partnership in conjunction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 acquisitions</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23,447</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23,447</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3,164</w:t>
            </w:r>
          </w:p>
        </w:tc>
        <w:tc>
          <w:tcPr>
            <w:tcW w:w="8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4,235</w:t>
            </w:r>
          </w:p>
        </w:tc>
        <w:tc>
          <w:tcPr>
            <w:tcW w:w="80" w:type="dxa"/>
            <w:vAlign w:val="bottom"/>
          </w:tcPr>
          <w:p>
            <w:pPr>
              <w:spacing w:after="0"/>
              <w:rPr>
                <w:sz w:val="21"/>
                <w:szCs w:val="21"/>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94,770</w:t>
            </w:r>
          </w:p>
        </w:tc>
        <w:tc>
          <w:tcPr>
            <w:tcW w:w="8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102,160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(22,843)</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(23,993)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Distributions to Operating Partnership</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units held by noncontrolling interests</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(3,296)</w:t>
            </w:r>
          </w:p>
        </w:tc>
        <w:tc>
          <w:tcPr>
            <w:tcW w:w="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(5,116)</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(8,412)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paid on common stock at</w:t>
            </w: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5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5"/>
                <w:szCs w:val="15"/>
                <w:color w:val="auto"/>
              </w:rPr>
            </w:pPr>
          </w:p>
        </w:tc>
        <w:tc>
          <w:tcPr>
            <w:tcW w:w="9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(109,523)</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(109,523)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$0.86 per share</w:t>
            </w: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2019</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w w:val="89"/>
              </w:rPr>
              <w:t>$ 176,264</w:t>
            </w:r>
          </w:p>
        </w:tc>
        <w:tc>
          <w:tcPr>
            <w:tcW w:w="8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$ 213,168</w:t>
            </w:r>
          </w:p>
        </w:tc>
        <w:tc>
          <w:tcPr>
            <w:tcW w:w="80" w:type="dxa"/>
            <w:vAlign w:val="bottom"/>
          </w:tcPr>
          <w:p>
            <w:pPr>
              <w:spacing w:after="0"/>
              <w:rPr>
                <w:sz w:val="21"/>
                <w:szCs w:val="21"/>
                <w:color w:val="auto"/>
              </w:rPr>
            </w:pPr>
          </w:p>
        </w:tc>
        <w:tc>
          <w:tcPr>
            <w:tcW w:w="520" w:type="dxa"/>
            <w:vAlign w:val="bottom"/>
          </w:tcPr>
          <w:p>
            <w:pPr>
              <w:jc w:val="right"/>
              <w:ind w:right="60"/>
              <w:spacing w:after="0"/>
              <w:rPr>
                <w:sz w:val="20"/>
                <w:szCs w:val="20"/>
                <w:color w:val="auto"/>
              </w:rPr>
            </w:pPr>
            <w:r>
              <w:rPr>
                <w:rFonts w:ascii="Arial" w:cs="Arial" w:eastAsia="Arial" w:hAnsi="Arial"/>
                <w:sz w:val="16"/>
                <w:szCs w:val="16"/>
                <w:color w:val="auto"/>
                <w:w w:val="89"/>
              </w:rPr>
              <w:t>$ 231</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2"/>
              </w:rPr>
              <w:t>127,392,050</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$ 1,274</w:t>
            </w:r>
          </w:p>
        </w:tc>
        <w:tc>
          <w:tcPr>
            <w:tcW w:w="10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w w:val="89"/>
              </w:rPr>
              <w:t>$ 2,648,723</w:t>
            </w:r>
          </w:p>
        </w:tc>
        <w:tc>
          <w:tcPr>
            <w:tcW w:w="80" w:type="dxa"/>
            <w:vAlign w:val="bottom"/>
          </w:tcPr>
          <w:p>
            <w:pPr>
              <w:spacing w:after="0"/>
              <w:rPr>
                <w:sz w:val="21"/>
                <w:szCs w:val="21"/>
                <w:color w:val="auto"/>
              </w:rPr>
            </w:pP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11,807</w:t>
            </w:r>
          </w:p>
        </w:tc>
        <w:tc>
          <w:tcPr>
            <w:tcW w:w="8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w w:val="92"/>
              </w:rPr>
              <w:t>$ (277,655)</w:t>
            </w:r>
          </w:p>
        </w:tc>
        <w:tc>
          <w:tcPr>
            <w:tcW w:w="8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w w:val="94"/>
              </w:rPr>
              <w:t>$ 2,773,812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6"/>
          </w:tcPr>
          <w:p>
            <w:pPr>
              <w:ind w:left="400"/>
              <w:spacing w:after="0"/>
              <w:rPr>
                <w:sz w:val="20"/>
                <w:szCs w:val="20"/>
                <w:color w:val="auto"/>
              </w:rPr>
            </w:pPr>
            <w:r>
              <w:rPr>
                <w:rFonts w:ascii="Arial" w:cs="Arial" w:eastAsia="Arial" w:hAnsi="Arial"/>
                <w:sz w:val="14"/>
                <w:szCs w:val="14"/>
                <w:b w:val="1"/>
                <w:bCs w:val="1"/>
                <w:color w:val="auto"/>
              </w:rPr>
              <w:t>Noncontrolling Interest</w:t>
            </w:r>
          </w:p>
        </w:tc>
        <w:tc>
          <w:tcPr>
            <w:tcW w:w="920" w:type="dxa"/>
            <w:vAlign w:val="bottom"/>
          </w:tcPr>
          <w:p>
            <w:pPr>
              <w:spacing w:after="0"/>
              <w:rPr>
                <w:sz w:val="16"/>
                <w:szCs w:val="16"/>
                <w:color w:val="auto"/>
              </w:rPr>
            </w:pPr>
          </w:p>
        </w:tc>
        <w:tc>
          <w:tcPr>
            <w:tcW w:w="2960" w:type="dxa"/>
            <w:vAlign w:val="bottom"/>
            <w:gridSpan w:val="9"/>
          </w:tcPr>
          <w:p>
            <w:pPr>
              <w:ind w:left="40"/>
              <w:spacing w:after="0"/>
              <w:rPr>
                <w:sz w:val="20"/>
                <w:szCs w:val="20"/>
                <w:color w:val="auto"/>
              </w:rPr>
            </w:pPr>
            <w:r>
              <w:rPr>
                <w:rFonts w:ascii="Arial" w:cs="Arial" w:eastAsia="Arial" w:hAnsi="Arial"/>
                <w:sz w:val="14"/>
                <w:szCs w:val="14"/>
                <w:b w:val="1"/>
                <w:bCs w:val="1"/>
                <w:color w:val="auto"/>
                <w:w w:val="94"/>
              </w:rPr>
              <w:t>Extra Space Storage Inc. Stockholders'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9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gridSpan w:val="2"/>
            <w:vMerge w:val="continue"/>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2"/>
                <w:szCs w:val="12"/>
                <w:color w:val="auto"/>
              </w:rPr>
            </w:pPr>
          </w:p>
        </w:tc>
        <w:tc>
          <w:tcPr>
            <w:tcW w:w="9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Partnership</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Partnership</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$ 175,948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$ 205,419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$ 366</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129,534,407</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$ 1,295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$ 2,868,681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(28,966)</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(301,049)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$ 2,921,694</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the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exercise of options</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77,400</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 in</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connection with share based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73,602</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2,979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Restricted stock grants cancelled</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Buyback of common stock, net of</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offering costs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(653,597)</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(52,197)</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(52,204)</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Redemption of Operating Partnership</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units for stock</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8,862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108,179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116,162</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(3,807)</w:t>
            </w: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(84,874)</w:t>
            </w:r>
          </w:p>
        </w:tc>
        <w:tc>
          <w:tcPr>
            <w:tcW w:w="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(89,244)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Distributions to Operating Partnership</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units held by noncontrolling interests</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(3,178)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176"/>
        </w:trPr>
        <w:tc>
          <w:tcPr>
            <w:tcW w:w="3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Dividends paid on common stock at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5"/>
                <w:szCs w:val="15"/>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5"/>
                <w:szCs w:val="15"/>
                <w:color w:val="auto"/>
              </w:rPr>
            </w:pPr>
          </w:p>
        </w:tc>
        <w:tc>
          <w:tcPr>
            <w:tcW w:w="5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5"/>
                <w:szCs w:val="15"/>
                <w:color w:val="auto"/>
              </w:rPr>
            </w:pP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(117,197)</w:t>
            </w:r>
          </w:p>
        </w:tc>
        <w:tc>
          <w:tcPr>
            <w:tcW w:w="80" w:type="dxa"/>
            <w:vAlign w:val="bottom"/>
          </w:tcPr>
          <w:p>
            <w:pPr>
              <w:spacing w:after="0"/>
              <w:rPr>
                <w:sz w:val="15"/>
                <w:szCs w:val="15"/>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(117,197)</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$0.90 per share</w:t>
            </w: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$ 175,319</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$ 200,832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$ 360</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129,038,907</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$ 1,290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$ 2,872,933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(113,840)</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(362,264)</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$ 2,774,630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36"/>
        </w:trPr>
        <w:tc>
          <w:tcPr>
            <w:tcW w:w="7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116,162</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102,160</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55,275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54,659</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3,034</w:t>
            </w:r>
          </w:p>
        </w:tc>
      </w:tr>
      <w:tr>
        <w:trPr>
          <w:trHeight w:val="220"/>
        </w:trPr>
        <w:tc>
          <w:tcPr>
            <w:tcW w:w="7860" w:type="dxa"/>
            <w:vAlign w:val="bottom"/>
          </w:tcPr>
          <w:p>
            <w:pPr>
              <w:ind w:left="660"/>
              <w:spacing w:after="0"/>
              <w:rPr>
                <w:sz w:val="20"/>
                <w:szCs w:val="20"/>
                <w:color w:val="auto"/>
              </w:rPr>
            </w:pPr>
            <w:r>
              <w:rPr>
                <w:rFonts w:ascii="Arial" w:cs="Arial" w:eastAsia="Arial" w:hAnsi="Arial"/>
                <w:sz w:val="16"/>
                <w:szCs w:val="16"/>
                <w:color w:val="auto"/>
                <w:w w:val="94"/>
              </w:rPr>
              <w:t>Non-cash interest expense related to amortization of discount on equity component of exchangeable senior</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7860" w:type="dxa"/>
            <w:vAlign w:val="bottom"/>
          </w:tcPr>
          <w:p>
            <w:pPr>
              <w:ind w:left="660"/>
              <w:spacing w:after="0"/>
              <w:rPr>
                <w:sz w:val="20"/>
                <w:szCs w:val="20"/>
                <w:color w:val="auto"/>
              </w:rPr>
            </w:pPr>
            <w:r>
              <w:rPr>
                <w:rFonts w:ascii="Arial" w:cs="Arial" w:eastAsia="Arial" w:hAnsi="Arial"/>
                <w:sz w:val="16"/>
                <w:szCs w:val="16"/>
                <w:color w:val="auto"/>
              </w:rPr>
              <w:t>notes</w:t>
            </w:r>
          </w:p>
        </w:tc>
        <w:tc>
          <w:tcPr>
            <w:tcW w:w="28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1,162</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860" w:type="dxa"/>
            <w:vAlign w:val="bottom"/>
          </w:tcPr>
          <w:p>
            <w:pPr>
              <w:ind w:left="660"/>
              <w:spacing w:after="0"/>
              <w:rPr>
                <w:sz w:val="20"/>
                <w:szCs w:val="20"/>
                <w:color w:val="auto"/>
              </w:rPr>
            </w:pPr>
            <w:r>
              <w:rPr>
                <w:rFonts w:ascii="Arial" w:cs="Arial" w:eastAsia="Arial" w:hAnsi="Arial"/>
                <w:sz w:val="16"/>
                <w:szCs w:val="16"/>
                <w:color w:val="auto"/>
              </w:rPr>
              <w:t>Compensation expense related to stock-based awards</w:t>
            </w:r>
          </w:p>
        </w:tc>
        <w:tc>
          <w:tcPr>
            <w:tcW w:w="2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2,954</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1,732</w:t>
            </w:r>
          </w:p>
        </w:tc>
      </w:tr>
      <w:tr>
        <w:trPr>
          <w:trHeight w:val="223"/>
        </w:trPr>
        <w:tc>
          <w:tcPr>
            <w:tcW w:w="7860" w:type="dxa"/>
            <w:vAlign w:val="bottom"/>
          </w:tcPr>
          <w:p>
            <w:pPr>
              <w:ind w:left="6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24"/>
        </w:trPr>
        <w:tc>
          <w:tcPr>
            <w:tcW w:w="7860" w:type="dxa"/>
            <w:vAlign w:val="bottom"/>
          </w:tcPr>
          <w:p>
            <w:pPr>
              <w:ind w:left="110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3,727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6,418</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(2,475)</w:t>
            </w:r>
          </w:p>
        </w:tc>
      </w:tr>
      <w:tr>
        <w:trPr>
          <w:trHeight w:val="217"/>
        </w:trPr>
        <w:tc>
          <w:tcPr>
            <w:tcW w:w="7860" w:type="dxa"/>
            <w:vAlign w:val="bottom"/>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189,256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169,339</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Acquisition of real estate assets</w:t>
            </w:r>
          </w:p>
        </w:tc>
        <w:tc>
          <w:tcPr>
            <w:tcW w:w="28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(30,164)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(212,552)</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Development and redevelopment of real estate assets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(15,373)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(15,846)</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Investment in unconsolidated real estate entities</w:t>
            </w:r>
          </w:p>
        </w:tc>
        <w:tc>
          <w:tcPr>
            <w:tcW w:w="28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(6,441)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(17,395)</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of notes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Purchase of equipment and fixtures</w:t>
            </w:r>
          </w:p>
        </w:tc>
        <w:tc>
          <w:tcPr>
            <w:tcW w:w="28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(1,182)</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(246,975)</w:t>
            </w: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notes payable and revolving lines of credit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268,000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424,000</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28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(192,508)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(225,020)</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Principal payments on notes payable to trusts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(30,928)</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28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proceeds from exercise of stock options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1,757</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(52,204)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Dividends paid on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(117,197)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(109,523)</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(8,505)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(8,412)</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(101,486)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51,774</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27,197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(25,862)</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70,733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72,690</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97,930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46,828</w:t>
            </w:r>
          </w:p>
        </w:tc>
      </w:tr>
      <w:tr>
        <w:trPr>
          <w:trHeight w:val="33"/>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37"/>
        </w:trPr>
        <w:tc>
          <w:tcPr>
            <w:tcW w:w="78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ind w:right="600"/>
              <w:spacing w:after="0"/>
              <w:rPr>
                <w:sz w:val="20"/>
                <w:szCs w:val="20"/>
                <w:color w:val="auto"/>
              </w:rPr>
            </w:pPr>
            <w:r>
              <w:rPr>
                <w:rFonts w:ascii="Arial" w:cs="Arial" w:eastAsia="Arial" w:hAnsi="Arial"/>
                <w:sz w:val="14"/>
                <w:szCs w:val="14"/>
                <w:b w:val="1"/>
                <w:bCs w:val="1"/>
                <w:color w:val="auto"/>
              </w:rPr>
              <w:t>2019</w:t>
            </w: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w w:val="93"/>
              </w:rPr>
              <w:t>41,013</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45,165</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976</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Noncontrolling interests in Operating Partnership</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(3,310)</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Common stock and paid-in capital</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330</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3,310</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Establishment of operating lease right of use assets and lease liabilities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Real estate assets - operating lease right-of-use assets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95,506</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(104,863)</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9,357</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Acquisitions of real estate assets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Real estate assets, net</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19,937</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Notes payable assumed</w:t>
            </w:r>
          </w:p>
        </w:tc>
        <w:tc>
          <w:tcPr>
            <w:tcW w:w="10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(17,157)</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Investment in unconsolidated real estate ventures</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(2,780)</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780</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(960)</w:t>
            </w:r>
          </w:p>
        </w:tc>
        <w:tc>
          <w:tcPr>
            <w:tcW w:w="48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(780)</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 of Preferred OP Units to unconsolidated real estate venture</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Investments in unconsolidated real estate ventures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23,447</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Value of Preferred Operating Partnership units issued</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(23,447)</w:t>
            </w:r>
          </w:p>
        </w:tc>
      </w:tr>
      <w:tr>
        <w:trPr>
          <w:trHeight w:val="33"/>
        </w:trPr>
        <w:tc>
          <w:tcPr>
            <w:tcW w:w="7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invests in stores by acquiring wholly-owned stores or by acquiring an equity interest in real estate entities. At March 31, 2020, the Company had direct and indirect equity interests in 1,176 stores. In addition, the Company managed 676 stores for third parties, bringing the total number of stores which it owns and/or manages to 1,852. These stores are located in 40 states, Washington, D.C. and Puerto Rico. The Company also offers tenant reinsurance at its owned and managed stores that insures the value of goods in the storage units.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2020 are not necessarily indicative of results that may be expected for the year ending</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December 31, 2020. The condensed consolidated balance sheet as of December 31, 2019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2019, as filed with the Securities and Exchange Commission.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(Topic 326): Measurement of Credit Losses on Financial Instruments." </w:t>
      </w:r>
      <w:r>
        <w:rPr>
          <w:rFonts w:ascii="Arial" w:cs="Arial" w:eastAsia="Arial" w:hAnsi="Arial"/>
          <w:sz w:val="16"/>
          <w:szCs w:val="16"/>
          <w:color w:val="auto"/>
        </w:rPr>
        <w:t>ASU 2016-13 changes how entities measure credit losses for most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This standard requires an entity to estimate its lifetime "expected credit loss" and record an allowance that, when deducted from the amortized cost basis of the financial asset, presents the net amount expected to be collected on the financial asset. In November 2018, the FASB issued ASU 2018-19, </w:t>
      </w:r>
      <w:r>
        <w:rPr>
          <w:rFonts w:ascii="Arial" w:cs="Arial" w:eastAsia="Arial" w:hAnsi="Arial"/>
          <w:sz w:val="16"/>
          <w:szCs w:val="16"/>
          <w:i w:val="1"/>
          <w:iCs w:val="1"/>
          <w:color w:val="auto"/>
        </w:rPr>
        <w:t xml:space="preserve">"Codification Improvements to Topic 326, Financial Instruments - Credit Losses," </w:t>
      </w:r>
      <w:r>
        <w:rPr>
          <w:rFonts w:ascii="Arial" w:cs="Arial" w:eastAsia="Arial" w:hAnsi="Arial"/>
          <w:sz w:val="16"/>
          <w:szCs w:val="16"/>
          <w:color w:val="auto"/>
        </w:rPr>
        <w:t>which clarified that receivables arising from operating leases are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the scope of the leasing standard (ASU 2016-02), and not within the scope of ASU 2016-13. This new standard became effective for the Company on January 1, 2020. The adoption of this standard by the Company did not have a material impact on the Company's consolidated financial statements.</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ASU 2020-04 contains practical expedients for reference rate reform related activities that impact debt, leases, derivatives and other contracts. The guidance in ASU 2020-04 is optional and may be elected over time as reference rate reform activities occur. The Company continues to evaluate the impact of the guidance and may apply other elections as applicable as additional changes in the market occur.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March 31, 2020,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1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March 31, 2020, aggregated by the level in the fair value hierarchy within which those measurements fall.</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center"/>
              <w:ind w:left="164"/>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080" w:type="dxa"/>
            <w:vAlign w:val="bottom"/>
            <w:vMerge w:val="restart"/>
          </w:tcPr>
          <w:p>
            <w:pPr>
              <w:jc w:val="center"/>
              <w:ind w:left="304"/>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7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84"/>
              <w:spacing w:after="0"/>
              <w:rPr>
                <w:sz w:val="20"/>
                <w:szCs w:val="20"/>
                <w:color w:val="auto"/>
              </w:rPr>
            </w:pPr>
            <w:r>
              <w:rPr>
                <w:rFonts w:ascii="Arial" w:cs="Arial" w:eastAsia="Arial" w:hAnsi="Arial"/>
                <w:sz w:val="18"/>
                <w:szCs w:val="18"/>
                <w:color w:val="auto"/>
              </w:rPr>
              <w:t>113,986</w:t>
            </w:r>
          </w:p>
        </w:tc>
        <w:tc>
          <w:tcPr>
            <w:tcW w:w="100" w:type="dxa"/>
            <w:vAlign w:val="bottom"/>
          </w:tcPr>
          <w:p>
            <w:pPr>
              <w:spacing w:after="0"/>
              <w:rPr>
                <w:sz w:val="21"/>
                <w:szCs w:val="21"/>
                <w:color w:val="auto"/>
              </w:rPr>
            </w:pPr>
          </w:p>
        </w:tc>
        <w:tc>
          <w:tcPr>
            <w:tcW w:w="1080" w:type="dxa"/>
            <w:vAlign w:val="bottom"/>
          </w:tcPr>
          <w:p>
            <w:pPr>
              <w:jc w:val="right"/>
              <w:ind w:right="884"/>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as of March 31, 2020 or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been identified as held for sale is less than the net carrying value of the assets, the Company would recognize an impairment loss on the assets held for sale. The operations of assets held for sale or sold during the period are presented as part of normal operations for all periods presented. As of March 31, 2020, the Company had one parcel of land classified as held for sale which is included in real estate assets, net. The estimated fair value less selling costs for this asset is greater than the carrying value of the asset, and therefore no loss has been recorded.</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March 31, 2020 and December 31, 2019 approximate fair value. Restricted cash is comprised of escrowed funds deposited with financial institutions located throughout the United States relating to earnest money deposits on potential acquisitions, real estate taxes, loan collateral, operating reserves and insurance and capital expenditures.</w:t>
      </w:r>
    </w:p>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values of the Company’s notes receivable from Preferred and Common Operating Partnership unit holders,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640"/>
              <w:spacing w:after="0"/>
              <w:rPr>
                <w:sz w:val="20"/>
                <w:szCs w:val="20"/>
                <w:color w:val="auto"/>
              </w:rPr>
            </w:pPr>
            <w:r>
              <w:rPr>
                <w:rFonts w:ascii="Arial" w:cs="Arial" w:eastAsia="Arial" w:hAnsi="Arial"/>
                <w:sz w:val="16"/>
                <w:szCs w:val="16"/>
                <w:b w:val="1"/>
                <w:bCs w:val="1"/>
                <w:color w:val="auto"/>
              </w:rPr>
              <w:t>March 31, 2020</w:t>
            </w:r>
          </w:p>
        </w:tc>
        <w:tc>
          <w:tcPr>
            <w:tcW w:w="300" w:type="dxa"/>
            <w:vAlign w:val="bottom"/>
          </w:tcPr>
          <w:p>
            <w:pPr>
              <w:spacing w:after="0"/>
              <w:rPr>
                <w:sz w:val="18"/>
                <w:szCs w:val="18"/>
                <w:color w:val="auto"/>
              </w:rPr>
            </w:pPr>
          </w:p>
        </w:tc>
        <w:tc>
          <w:tcPr>
            <w:tcW w:w="2660" w:type="dxa"/>
            <w:vAlign w:val="bottom"/>
            <w:gridSpan w:val="4"/>
          </w:tcPr>
          <w:p>
            <w:pPr>
              <w:jc w:val="right"/>
              <w:ind w:right="73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Notes receivable from Preferred and Common Operating Partnership</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 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119,016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118,524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116,184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118,524</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Fixed rate notes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3,599,824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3,460,253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3,511,151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3,417,928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635,375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673,831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575,000</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COMMON SHARE</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together with the Series A Units, Series B Units and Series C Units, the “Preferred OP Units”) and common Operating Partnership units (“OP Units”)) that do not have a current right to participate in earnings of the Company but could do so in the future by virtue of their option, redemption or conversion right.</w:t>
      </w:r>
    </w:p>
    <w:p>
      <w:pPr>
        <w:spacing w:after="0" w:line="19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months ended March 31, 2020, and 2019, there were no anti-dilutive options.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March 31, 2020 and 2019 was $104.13 and $96.05, respectively.</w:t>
      </w:r>
    </w:p>
    <w:p>
      <w:pPr>
        <w:spacing w:after="0" w:line="198" w:lineRule="exact"/>
        <w:rPr>
          <w:sz w:val="20"/>
          <w:szCs w:val="20"/>
          <w:color w:val="auto"/>
        </w:rPr>
      </w:pPr>
    </w:p>
    <w:p>
      <w:pPr>
        <w:ind w:right="820"/>
        <w:spacing w:after="0" w:line="276"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23495</wp:posOffset>
            </wp:positionV>
            <wp:extent cx="2100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5" w:lineRule="exact"/>
        <w:rPr>
          <w:sz w:val="20"/>
          <w:szCs w:val="20"/>
          <w:color w:val="auto"/>
        </w:rPr>
      </w:pPr>
    </w:p>
    <w:p>
      <w:pPr>
        <w:ind w:left="8600"/>
        <w:spacing w:after="0"/>
        <w:tabs>
          <w:tab w:leader="none" w:pos="102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23495</wp:posOffset>
            </wp:positionV>
            <wp:extent cx="2100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55" w:lineRule="exact"/>
        <w:rPr>
          <w:sz w:val="20"/>
          <w:szCs w:val="20"/>
          <w:color w:val="auto"/>
        </w:rPr>
      </w:pPr>
    </w:p>
    <w:p>
      <w:pPr>
        <w:jc w:val="center"/>
        <w:ind w:left="8080"/>
        <w:spacing w:after="0"/>
        <w:rPr>
          <w:sz w:val="20"/>
          <w:szCs w:val="20"/>
          <w:color w:val="auto"/>
        </w:rPr>
      </w:pPr>
      <w:r>
        <w:rPr>
          <w:rFonts w:ascii="Arial" w:cs="Arial" w:eastAsia="Arial" w:hAnsi="Arial"/>
          <w:sz w:val="13"/>
          <w:szCs w:val="13"/>
          <w:b w:val="1"/>
          <w:bCs w:val="1"/>
          <w:color w:val="auto"/>
        </w:rPr>
        <w:t>Equivalent Shares (if</w:t>
      </w:r>
    </w:p>
    <w:p>
      <w:pPr>
        <w:spacing w:after="0" w:line="15"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converted)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auto"/>
        </w:rPr>
        <w:t>Equivalent Shares (if</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converted)</w:t>
      </w:r>
    </w:p>
    <w:p>
      <w:pPr>
        <w:spacing w:after="0" w:line="9" w:lineRule="exact"/>
        <w:rPr>
          <w:sz w:val="20"/>
          <w:szCs w:val="20"/>
          <w:color w:val="auto"/>
        </w:rPr>
      </w:pPr>
    </w:p>
    <w:p>
      <w:pPr>
        <w:sectPr>
          <w:pgSz w:w="11900" w:h="16838" w:orient="portrait"/>
          <w:cols w:equalWidth="0" w:num="2">
            <w:col w:w="9380" w:space="420"/>
            <w:col w:w="144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B Units</w:t>
            </w:r>
          </w:p>
        </w:tc>
        <w:tc>
          <w:tcPr>
            <w:tcW w:w="16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436,254</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color w:val="auto"/>
              </w:rPr>
              <w:t>Series C Units (1)</w:t>
            </w: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129,763</w:t>
            </w: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D Units</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1,153,233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1,083,265</w:t>
            </w:r>
          </w:p>
        </w:tc>
      </w:tr>
      <w:tr>
        <w:trPr>
          <w:trHeight w:val="217"/>
        </w:trPr>
        <w:tc>
          <w:tcPr>
            <w:tcW w:w="7940" w:type="dxa"/>
            <w:vAlign w:val="bottom"/>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1,555,636</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1,649,282</w:t>
            </w: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(1) The remainder of the Series C Units were converted to OP Units on April 25, 2019.</w:t>
      </w:r>
    </w:p>
    <w:p>
      <w:pPr>
        <w:spacing w:after="0" w:line="2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Operating Partnership had $575,000 of its 3.125% Exchangeable Senior Notes due 2035 (the “2015 Notes”) issued and outstanding as of March 31, 2020.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$91.46 per share as of March 31, 2020,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Although the Company has retained the right to satisfy the exchange obligation in excess of the accreted principal amount of the 2015 Notes in cash and/or common stock,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per share computation. For the three months ended March 31, 2020 and 2019, 764,703 and 226,527 shares, respectively, related to the 2015 Notes were included in the computation for diluted earnings per share.</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is as follows for the periods presented:</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attributable to common stockholders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108,179</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94,770</w:t>
            </w:r>
          </w:p>
        </w:tc>
        <w:tc>
          <w:tcPr>
            <w:tcW w:w="0" w:type="dxa"/>
            <w:vAlign w:val="bottom"/>
          </w:tcPr>
          <w:p>
            <w:pPr>
              <w:spacing w:after="0"/>
              <w:rPr>
                <w:sz w:val="1"/>
                <w:szCs w:val="1"/>
                <w:color w:val="auto"/>
              </w:rPr>
            </w:pPr>
          </w:p>
        </w:tc>
      </w:tr>
      <w:tr>
        <w:trPr>
          <w:trHeight w:val="224"/>
        </w:trPr>
        <w:tc>
          <w:tcPr>
            <w:tcW w:w="7560" w:type="dxa"/>
            <w:vAlign w:val="bottom"/>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300" w:type="dxa"/>
            <w:vAlign w:val="bottom"/>
          </w:tcPr>
          <w:p>
            <w:pPr>
              <w:spacing w:after="0"/>
              <w:rPr>
                <w:sz w:val="19"/>
                <w:szCs w:val="19"/>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for basic computations</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108,016</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94,603</w:t>
            </w: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30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Income allocated to noncontrolling interest - Preferred Operating Partnership Units and Operating</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Partnership Units</w:t>
            </w: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6,171</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5,429</w:t>
            </w:r>
          </w:p>
        </w:tc>
        <w:tc>
          <w:tcPr>
            <w:tcW w:w="0" w:type="dxa"/>
            <w:vAlign w:val="bottom"/>
          </w:tcPr>
          <w:p>
            <w:pPr>
              <w:spacing w:after="0"/>
              <w:rPr>
                <w:sz w:val="1"/>
                <w:szCs w:val="1"/>
                <w:color w:val="auto"/>
              </w:rPr>
            </w:pPr>
          </w:p>
        </w:tc>
      </w:tr>
      <w:tr>
        <w:trPr>
          <w:trHeight w:val="220"/>
        </w:trPr>
        <w:tc>
          <w:tcPr>
            <w:tcW w:w="7560" w:type="dxa"/>
            <w:vAlign w:val="bottom"/>
          </w:tcPr>
          <w:p>
            <w:pPr>
              <w:ind w:left="500"/>
              <w:spacing w:after="0"/>
              <w:rPr>
                <w:sz w:val="20"/>
                <w:szCs w:val="20"/>
                <w:color w:val="auto"/>
              </w:rPr>
            </w:pPr>
            <w:r>
              <w:rPr>
                <w:rFonts w:ascii="Arial" w:cs="Arial" w:eastAsia="Arial" w:hAnsi="Arial"/>
                <w:sz w:val="16"/>
                <w:szCs w:val="16"/>
                <w:color w:val="auto"/>
                <w:w w:val="93"/>
              </w:rPr>
              <w:t>Fixed component of income allocated to noncontrolling interest - Preferred Operating Partnership (Series A</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500"/>
              <w:spacing w:after="0"/>
              <w:rPr>
                <w:sz w:val="20"/>
                <w:szCs w:val="20"/>
                <w:color w:val="auto"/>
              </w:rPr>
            </w:pPr>
            <w:r>
              <w:rPr>
                <w:rFonts w:ascii="Arial" w:cs="Arial" w:eastAsia="Arial" w:hAnsi="Arial"/>
                <w:sz w:val="16"/>
                <w:szCs w:val="16"/>
                <w:color w:val="auto"/>
              </w:rPr>
              <w:t>Units)</w:t>
            </w:r>
          </w:p>
        </w:tc>
        <w:tc>
          <w:tcPr>
            <w:tcW w:w="30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(572)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for diluted computations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113,778</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99,460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Arial" w:cs="Arial" w:eastAsia="Arial" w:hAnsi="Arial"/>
                <w:sz w:val="16"/>
                <w:szCs w:val="16"/>
                <w:color w:val="auto"/>
              </w:rPr>
              <w:t>Average number of common shares outstanding - basic</w:t>
            </w:r>
          </w:p>
        </w:tc>
        <w:tc>
          <w:tcPr>
            <w:tcW w:w="30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129,288,629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127,037,247</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 Units</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5,919,705</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5,960,981</w:t>
            </w: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Arial" w:cs="Arial" w:eastAsia="Arial" w:hAnsi="Arial"/>
                <w:sz w:val="16"/>
                <w:szCs w:val="16"/>
                <w:color w:val="auto"/>
              </w:rPr>
              <w:t>Series A Units</w:t>
            </w:r>
          </w:p>
        </w:tc>
        <w:tc>
          <w:tcPr>
            <w:tcW w:w="30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875,480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875,480</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Unvested restricted stock awards included for treasury stock method</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211,602</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560" w:type="dxa"/>
            <w:vAlign w:val="bottom"/>
          </w:tcPr>
          <w:p>
            <w:pPr>
              <w:ind w:left="500"/>
              <w:spacing w:after="0"/>
              <w:rPr>
                <w:sz w:val="20"/>
                <w:szCs w:val="20"/>
                <w:color w:val="auto"/>
              </w:rPr>
            </w:pPr>
            <w:r>
              <w:rPr>
                <w:rFonts w:ascii="Arial" w:cs="Arial" w:eastAsia="Arial" w:hAnsi="Arial"/>
                <w:sz w:val="16"/>
                <w:szCs w:val="16"/>
                <w:color w:val="auto"/>
              </w:rPr>
              <w:t>Shares related to exchangeable senior notes and dilutive stock options</w:t>
            </w:r>
          </w:p>
        </w:tc>
        <w:tc>
          <w:tcPr>
            <w:tcW w:w="30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844,144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416,008</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 outstanding - diluted</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137,139,560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134,289,716</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6"/>
                <w:szCs w:val="16"/>
                <w:color w:val="auto"/>
              </w:rPr>
              <w:t>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0.84</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0.83</w:t>
            </w:r>
          </w:p>
        </w:tc>
        <w:tc>
          <w:tcPr>
            <w:tcW w:w="14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6" w:name="page17"/>
    <w:bookmarkEnd w:id="16"/>
    <w:p>
      <w:pPr>
        <w:ind w:left="73"/>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5. STORE ACQUISITIONS</w:t>
      </w:r>
    </w:p>
    <w:p>
      <w:pPr>
        <w:spacing w:after="0" w:line="256" w:lineRule="exact"/>
        <w:rPr>
          <w:sz w:val="20"/>
          <w:szCs w:val="20"/>
          <w:color w:val="auto"/>
        </w:rPr>
      </w:pPr>
    </w:p>
    <w:p>
      <w:pPr>
        <w:ind w:left="73" w:right="40"/>
        <w:spacing w:after="0" w:line="263" w:lineRule="auto"/>
        <w:rPr>
          <w:sz w:val="20"/>
          <w:szCs w:val="20"/>
          <w:color w:val="auto"/>
        </w:rPr>
      </w:pPr>
      <w:r>
        <w:rPr>
          <w:rFonts w:ascii="Arial" w:cs="Arial" w:eastAsia="Arial" w:hAnsi="Arial"/>
          <w:sz w:val="18"/>
          <w:szCs w:val="18"/>
          <w:color w:val="auto"/>
        </w:rPr>
        <w:t>The following table shows the Company’s acquisitions of stores for the three months ended March 31, 2020 and 2019. The table excludes purchases of raw land and improvements made to existing assets. All acquisitions are considered asset acquisitions under ASU 2017-01, "</w:t>
      </w:r>
      <w:r>
        <w:rPr>
          <w:rFonts w:ascii="Arial" w:cs="Arial" w:eastAsia="Arial" w:hAnsi="Arial"/>
          <w:sz w:val="18"/>
          <w:szCs w:val="18"/>
          <w:i w:val="1"/>
          <w:iCs w:val="1"/>
          <w:color w:val="auto"/>
        </w:rPr>
        <w:t>Business Combinations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805): Clarifying the Definition of a Business</w:t>
      </w:r>
      <w:r>
        <w:rPr>
          <w:rFonts w:ascii="Arial" w:cs="Arial" w:eastAsia="Arial" w:hAnsi="Arial"/>
          <w:sz w:val="18"/>
          <w:szCs w:val="18"/>
          <w:color w:val="auto"/>
        </w:rPr>
        <w:t>."</w:t>
      </w:r>
    </w:p>
    <w:p>
      <w:pPr>
        <w:spacing w:after="0" w:line="13" w:lineRule="exact"/>
        <w:rPr>
          <w:sz w:val="20"/>
          <w:szCs w:val="20"/>
          <w:color w:val="auto"/>
        </w:rPr>
      </w:pPr>
    </w:p>
    <w:tbl>
      <w:tblPr>
        <w:tblLayout w:type="fixed"/>
        <w:tblInd w:w="73"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864"/>
              <w:spacing w:after="0"/>
              <w:rPr>
                <w:sz w:val="20"/>
                <w:szCs w:val="20"/>
                <w:color w:val="auto"/>
              </w:rPr>
            </w:pPr>
            <w:r>
              <w:rPr>
                <w:rFonts w:ascii="Arial" w:cs="Arial" w:eastAsia="Arial" w:hAnsi="Arial"/>
                <w:sz w:val="14"/>
                <w:szCs w:val="14"/>
                <w:b w:val="1"/>
                <w:bCs w:val="1"/>
                <w:color w:val="auto"/>
                <w:w w:val="92"/>
              </w:rPr>
              <w:t>Consideration Paid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420" w:type="dxa"/>
            <w:vAlign w:val="bottom"/>
            <w:vMerge w:val="restart"/>
          </w:tcPr>
          <w:p>
            <w:pPr>
              <w:jc w:val="center"/>
              <w:ind w:left="1444"/>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Loan</w:t>
            </w:r>
          </w:p>
        </w:tc>
        <w:tc>
          <w:tcPr>
            <w:tcW w:w="16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Investments in</w:t>
            </w:r>
          </w:p>
        </w:tc>
        <w:tc>
          <w:tcPr>
            <w:tcW w:w="11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Net Liabilities/</w:t>
            </w:r>
          </w:p>
        </w:tc>
        <w:tc>
          <w:tcPr>
            <w:tcW w:w="120" w:type="dxa"/>
            <w:vAlign w:val="bottom"/>
          </w:tcPr>
          <w:p>
            <w:pPr>
              <w:spacing w:after="0"/>
              <w:rPr>
                <w:sz w:val="13"/>
                <w:szCs w:val="13"/>
                <w:color w:val="auto"/>
              </w:rPr>
            </w:pPr>
          </w:p>
        </w:tc>
        <w:tc>
          <w:tcPr>
            <w:tcW w:w="8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w:t>
            </w:r>
          </w:p>
        </w:tc>
        <w:tc>
          <w:tcPr>
            <w:tcW w:w="24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Cash Paid</w:t>
            </w:r>
          </w:p>
        </w:tc>
        <w:tc>
          <w:tcPr>
            <w:tcW w:w="3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(Assets)</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2420" w:type="dxa"/>
            <w:vAlign w:val="bottom"/>
          </w:tcPr>
          <w:p>
            <w:pPr>
              <w:jc w:val="center"/>
              <w:ind w:left="1444"/>
              <w:spacing w:after="0"/>
              <w:rPr>
                <w:sz w:val="20"/>
                <w:szCs w:val="20"/>
                <w:color w:val="auto"/>
              </w:rPr>
            </w:pPr>
            <w:r>
              <w:rPr>
                <w:rFonts w:ascii="Arial" w:cs="Arial" w:eastAsia="Arial" w:hAnsi="Arial"/>
                <w:sz w:val="14"/>
                <w:szCs w:val="14"/>
                <w:b w:val="1"/>
                <w:bCs w:val="1"/>
                <w:color w:val="auto"/>
                <w:w w:val="87"/>
              </w:rPr>
              <w:t>Stores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14"/>
                <w:szCs w:val="14"/>
                <w:b w:val="1"/>
                <w:bCs w:val="1"/>
                <w:color w:val="auto"/>
                <w:w w:val="88"/>
              </w:rPr>
              <w:t>Assumed</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Ventures</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Assumed</w:t>
            </w:r>
          </w:p>
        </w:tc>
        <w:tc>
          <w:tcPr>
            <w:tcW w:w="12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36"/>
        </w:trPr>
        <w:tc>
          <w:tcPr>
            <w:tcW w:w="2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Q1 2020</w:t>
            </w:r>
          </w:p>
        </w:tc>
        <w:tc>
          <w:tcPr>
            <w:tcW w:w="2420" w:type="dxa"/>
            <w:vAlign w:val="bottom"/>
            <w:tcBorders>
              <w:top w:val="single" w:sz="8" w:color="auto"/>
              <w:bottom w:val="single" w:sz="8" w:color="CCEEFF"/>
            </w:tcBorders>
            <w:shd w:val="clear" w:color="auto" w:fill="CCEEFF"/>
          </w:tcPr>
          <w:p>
            <w:pPr>
              <w:jc w:val="right"/>
              <w:ind w:right="344"/>
              <w:spacing w:after="0"/>
              <w:rPr>
                <w:sz w:val="20"/>
                <w:szCs w:val="20"/>
                <w:color w:val="auto"/>
              </w:rPr>
            </w:pPr>
            <w:r>
              <w:rPr>
                <w:rFonts w:ascii="Arial" w:cs="Arial" w:eastAsia="Arial" w:hAnsi="Arial"/>
                <w:sz w:val="16"/>
                <w:szCs w:val="16"/>
                <w:color w:val="auto"/>
              </w:rPr>
              <w:t>2</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19,399</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19,354</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19,399</w:t>
            </w: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Q1 2019</w:t>
            </w:r>
          </w:p>
        </w:tc>
        <w:tc>
          <w:tcPr>
            <w:tcW w:w="2420" w:type="dxa"/>
            <w:vAlign w:val="bottom"/>
            <w:shd w:val="clear" w:color="auto" w:fill="CCEEFF"/>
          </w:tcPr>
          <w:p>
            <w:pPr>
              <w:jc w:val="right"/>
              <w:ind w:right="304"/>
              <w:spacing w:after="0"/>
              <w:rPr>
                <w:sz w:val="20"/>
                <w:szCs w:val="20"/>
                <w:color w:val="auto"/>
              </w:rPr>
            </w:pPr>
            <w:r>
              <w:rPr>
                <w:rFonts w:ascii="Arial" w:cs="Arial" w:eastAsia="Arial" w:hAnsi="Arial"/>
                <w:sz w:val="16"/>
                <w:szCs w:val="16"/>
                <w:color w:val="auto"/>
              </w:rPr>
              <w:t>14</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223,740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202,890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17,157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2,780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223,740</w:t>
            </w:r>
          </w:p>
        </w:tc>
        <w:tc>
          <w:tcPr>
            <w:tcW w:w="0" w:type="dxa"/>
            <w:vAlign w:val="bottom"/>
          </w:tcPr>
          <w:p>
            <w:pPr>
              <w:spacing w:after="0"/>
              <w:rPr>
                <w:sz w:val="1"/>
                <w:szCs w:val="1"/>
                <w:color w:val="auto"/>
              </w:rPr>
            </w:pPr>
          </w:p>
        </w:tc>
      </w:tr>
      <w:tr>
        <w:trPr>
          <w:trHeight w:val="33"/>
        </w:trPr>
        <w:tc>
          <w:tcPr>
            <w:tcW w:w="22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33" w:right="80" w:hanging="333"/>
        <w:spacing w:after="0" w:line="249" w:lineRule="auto"/>
        <w:tabs>
          <w:tab w:leader="none" w:pos="19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Store acquisitions during the three months ended March 31, 2019 include the acquisition of 12 stores previously held in joint ventures where the Company held a noncontrolling interest. The Company purchased its partners' remaining equity interests in the joint ventures, and the properties owned by the joint ventures became wholly owned by the Company. No gain or loss was recognized as a result of these acquisitions.</w:t>
      </w:r>
    </w:p>
    <w:p>
      <w:pPr>
        <w:spacing w:after="0" w:line="299" w:lineRule="exact"/>
        <w:rPr>
          <w:rFonts w:ascii="Arial" w:cs="Arial" w:eastAsia="Arial" w:hAnsi="Arial"/>
          <w:sz w:val="22"/>
          <w:szCs w:val="22"/>
          <w:color w:val="auto"/>
          <w:vertAlign w:val="superscript"/>
        </w:rPr>
      </w:pPr>
    </w:p>
    <w:p>
      <w:pPr>
        <w:ind w:left="253" w:hanging="172"/>
        <w:spacing w:after="0"/>
        <w:tabs>
          <w:tab w:leader="none" w:pos="253"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REAL ESTATE ENTITIES</w:t>
      </w:r>
    </w:p>
    <w:p>
      <w:pPr>
        <w:spacing w:after="0" w:line="229" w:lineRule="exact"/>
        <w:rPr>
          <w:sz w:val="20"/>
          <w:szCs w:val="20"/>
          <w:color w:val="auto"/>
        </w:rPr>
      </w:pPr>
    </w:p>
    <w:p>
      <w:pPr>
        <w:ind w:left="73" w:right="20"/>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8" w:lineRule="exact"/>
        <w:rPr>
          <w:sz w:val="20"/>
          <w:szCs w:val="20"/>
          <w:color w:val="auto"/>
        </w:rPr>
      </w:pPr>
    </w:p>
    <w:p>
      <w:pPr>
        <w:ind w:left="73" w:right="140"/>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211" w:lineRule="exact"/>
        <w:rPr>
          <w:sz w:val="20"/>
          <w:szCs w:val="20"/>
          <w:color w:val="auto"/>
        </w:rPr>
      </w:pPr>
    </w:p>
    <w:p>
      <w:pPr>
        <w:ind w:left="73" w:right="80"/>
        <w:spacing w:after="0" w:line="301"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184" w:lineRule="exact"/>
        <w:rPr>
          <w:sz w:val="20"/>
          <w:szCs w:val="20"/>
          <w:color w:val="auto"/>
        </w:rPr>
      </w:pPr>
    </w:p>
    <w:p>
      <w:pPr>
        <w:ind w:left="73" w:right="120"/>
        <w:spacing w:after="0" w:line="277" w:lineRule="auto"/>
        <w:rPr>
          <w:sz w:val="20"/>
          <w:szCs w:val="20"/>
          <w:color w:val="auto"/>
        </w:rPr>
      </w:pPr>
      <w:r>
        <w:rPr>
          <w:rFonts w:ascii="Arial" w:cs="Arial" w:eastAsia="Arial" w:hAnsi="Arial"/>
          <w:sz w:val="18"/>
          <w:szCs w:val="18"/>
          <w:color w:val="auto"/>
        </w:rPr>
        <w:t>During the three months ended March 31, 2020, the Company contributed a total of $6,441 to its joint ventures for the purchase of one operating store and two stores acquired at the issuance of certificate of occupancy.</w:t>
      </w:r>
    </w:p>
    <w:p>
      <w:pPr>
        <w:spacing w:after="0" w:line="200" w:lineRule="exact"/>
        <w:rPr>
          <w:sz w:val="20"/>
          <w:szCs w:val="20"/>
          <w:color w:val="auto"/>
        </w:rPr>
      </w:pPr>
    </w:p>
    <w:p>
      <w:pPr>
        <w:spacing w:after="0" w:line="34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unconsolidated real estate ventures and cash distributions in unconsolidated real estate ventures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Excess Profit %</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Ownership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 EXR Self Storage, LLC</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59,147</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59,391</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WICNN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36,445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36,552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VRS Self Storage, LLC</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17,356</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ESS-NYFL JV LP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12,611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GFN JV, LLC</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15,576</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12,168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PRISA Self Storage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9,073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Alan Jathoo JV LLC</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7,928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Storage Portfolio III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5,832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ESS Bristol Investments LLC</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2,914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Extra Space Northern Properties Six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Storage Portfolio II JV LLC</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(4,915)</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Storage Portfolio I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(38,570)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(38,345)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minority owned stores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10-50%</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25,523</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SmartStop Self Storage REIT, Inc. Preferred Stock (2)</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n/a</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Investments in and Cash distributions in unconsolidated</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244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296,692</w:t>
            </w:r>
          </w:p>
        </w:tc>
        <w:tc>
          <w:tcPr>
            <w:tcW w:w="3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292,790</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entities</w:t>
            </w: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pro-rata equity ownership share and promoted interest.</w:t>
      </w:r>
    </w:p>
    <w:p>
      <w:pPr>
        <w:spacing w:after="0" w:line="225" w:lineRule="exact"/>
        <w:rPr>
          <w:rFonts w:ascii="Arial" w:cs="Arial" w:eastAsia="Arial" w:hAnsi="Arial"/>
          <w:sz w:val="18"/>
          <w:szCs w:val="18"/>
          <w:color w:val="auto"/>
        </w:rPr>
      </w:pPr>
    </w:p>
    <w:p>
      <w:pPr>
        <w:ind w:left="340" w:right="60" w:hanging="332"/>
        <w:spacing w:after="0" w:line="275" w:lineRule="auto"/>
        <w:tabs>
          <w:tab w:leader="none" w:pos="271"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October 2019, the Company invested $150,000 in shares of newly issued convertible preferred stock of SmartStop,with an additional commitment to purchase up to $50,000 of the preferred shares over the 12 months after the original purchase.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VARIABLE INTERESTS</w:t>
      </w:r>
    </w:p>
    <w:p>
      <w:pPr>
        <w:spacing w:after="0" w:line="25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Operating Partnership had three wholly-owned unconsolidated subsidiaries (“Trust,” “Trust II” and “Trust III,” together, the “Trusts”) that had issued trust preferred securities to third parties and common securities to the Operating Partnership. The proceeds from the sale of the preferred and common securities were loaned in the form of notes to the Operating Partnership. The Trusts were variable interest entities ("VIEs") because the holders of the equity investment at risk (the trust preferred securities) did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was not considered an equity investment at risk. The Operating Partnership’s investment in the Trusts was not a variable interest because equity interests are variable interests only to the extent that the investment is considered to be at risk, and therefore the Operating Partnership cannot be the primary beneficiary of the Trusts. Since the Company was not the primary beneficiary of the Trusts, they were not consolidated. A debt obligation was recorded in the form of notes for the proceeds as discussed above, which were owed to the Trusts. The Company had also included its investment in the Trusts’ common securities in other assets on the condensed consolidated balance sheets.</w:t>
      </w:r>
    </w:p>
    <w:p>
      <w:pPr>
        <w:spacing w:after="0" w:line="20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year ended December 31, 2018, the Company repaid a total principal amount of $88,662, representing all of the notes payable to Trust III, all of the notes payable to Trust II, and all but $30,928 of the notes payable to Trust. The Trusts used the proceeds from these repayments to redeem their preferred and common securities. In January 2019, the Company repaid the remaining balance of $30,928 of notes payable to Trust.</w:t>
      </w:r>
    </w:p>
    <w:p>
      <w:pPr>
        <w:spacing w:after="0" w:line="1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time they were outstanding, the Company did not provide financing or other support during the periods presented to the Trusts that it was not previously contractually obligated to provide. The Company’s maximum exposure to loss as a result of its involvement with the Trusts was equal to the total amount of the notes discussed above less the amounts of the Company’s investments in the Trusts’ common securities. The net amount was equal to the notes payable that the Trusts owed to third parties for their investments in the Trusts’ preferred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three months ended March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months ended March 31, 2020 and 2019, such derivatives were used to hedge the variable cash flows associated with existing variable-rate debt. In the coming 12 months, the Company estimates that $32,595 will be reclassified and increase interest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25 derivative financial instruments which had a total combined notional amount of $2,396,948 as of March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Asset / Liability Derivatives</w:t>
            </w:r>
          </w:p>
        </w:tc>
      </w:tr>
      <w:tr>
        <w:trPr>
          <w:trHeight w:val="196"/>
        </w:trPr>
        <w:tc>
          <w:tcPr>
            <w:tcW w:w="7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20" w:type="dxa"/>
            <w:vAlign w:val="bottom"/>
          </w:tcPr>
          <w:p>
            <w:pPr>
              <w:spacing w:after="0"/>
              <w:rPr>
                <w:sz w:val="19"/>
                <w:szCs w:val="19"/>
                <w:color w:val="auto"/>
              </w:rPr>
            </w:pPr>
          </w:p>
        </w:tc>
        <w:tc>
          <w:tcPr>
            <w:tcW w:w="3080" w:type="dxa"/>
            <w:vAlign w:val="bottom"/>
            <w:gridSpan w:val="3"/>
          </w:tcPr>
          <w:p>
            <w:pPr>
              <w:jc w:val="right"/>
              <w:ind w:right="1196"/>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6,214</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113,986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31,400</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Gain (loss) recognized in OCI For the Three</w:t>
            </w:r>
          </w:p>
        </w:tc>
        <w:tc>
          <w:tcPr>
            <w:tcW w:w="120" w:type="dxa"/>
            <w:vAlign w:val="bottom"/>
          </w:tcPr>
          <w:p>
            <w:pPr>
              <w:spacing w:after="0"/>
              <w:rPr>
                <w:sz w:val="14"/>
                <w:szCs w:val="14"/>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Location of amounts</w:t>
            </w:r>
          </w:p>
        </w:tc>
        <w:tc>
          <w:tcPr>
            <w:tcW w:w="140" w:type="dxa"/>
            <w:vAlign w:val="bottom"/>
          </w:tcPr>
          <w:p>
            <w:pPr>
              <w:spacing w:after="0"/>
              <w:rPr>
                <w:sz w:val="14"/>
                <w:szCs w:val="14"/>
                <w:color w:val="auto"/>
              </w:rPr>
            </w:pPr>
          </w:p>
        </w:tc>
        <w:tc>
          <w:tcPr>
            <w:tcW w:w="308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4"/>
              </w:rPr>
              <w:t>Gain (loss) reclassified from OCI For the Three</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ind w:left="640"/>
              <w:spacing w:after="0" w:line="145" w:lineRule="exact"/>
              <w:rPr>
                <w:sz w:val="20"/>
                <w:szCs w:val="20"/>
                <w:color w:val="auto"/>
              </w:rPr>
            </w:pPr>
            <w:r>
              <w:rPr>
                <w:rFonts w:ascii="Arial" w:cs="Arial" w:eastAsia="Arial" w:hAnsi="Arial"/>
                <w:sz w:val="14"/>
                <w:szCs w:val="14"/>
                <w:b w:val="1"/>
                <w:bCs w:val="1"/>
                <w:color w:val="auto"/>
              </w:rPr>
              <w:t>Months Ended March 31,</w:t>
            </w: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gridSpan w:val="4"/>
          </w:tcPr>
          <w:p>
            <w:pPr>
              <w:jc w:val="right"/>
              <w:ind w:right="739"/>
              <w:spacing w:after="0" w:line="145" w:lineRule="exact"/>
              <w:rPr>
                <w:sz w:val="20"/>
                <w:szCs w:val="20"/>
                <w:color w:val="auto"/>
              </w:rPr>
            </w:pPr>
            <w:r>
              <w:rPr>
                <w:rFonts w:ascii="Arial" w:cs="Arial" w:eastAsia="Arial" w:hAnsi="Arial"/>
                <w:sz w:val="14"/>
                <w:szCs w:val="14"/>
                <w:b w:val="1"/>
                <w:bCs w:val="1"/>
                <w:color w:val="auto"/>
              </w:rPr>
              <w:t>Months Ended March 31,</w:t>
            </w:r>
          </w:p>
        </w:tc>
        <w:tc>
          <w:tcPr>
            <w:tcW w:w="0" w:type="dxa"/>
            <w:vAlign w:val="bottom"/>
          </w:tcPr>
          <w:p>
            <w:pPr>
              <w:spacing w:after="0"/>
              <w:rPr>
                <w:sz w:val="1"/>
                <w:szCs w:val="1"/>
                <w:color w:val="auto"/>
              </w:rPr>
            </w:pPr>
          </w:p>
        </w:tc>
      </w:tr>
      <w:tr>
        <w:trPr>
          <w:trHeight w:val="54"/>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Type</w:t>
            </w: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78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reclassified from OCI into</w:t>
            </w: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9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20" w:type="dxa"/>
            <w:vAlign w:val="bottom"/>
            <w:vMerge w:val="continue"/>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vMerge w:val="restart"/>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Swap Agreements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(89,710)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(19,576)</w:t>
            </w:r>
          </w:p>
        </w:tc>
        <w:tc>
          <w:tcPr>
            <w:tcW w:w="1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2020, the fair value of derivatives in a net liability position, which includes accrued interest but excludes any adjustment for nonperformance risk, related to these agreements was $116,411. As of March 31, 2020, the Company had not posted any collateral related to these agreements. If the Company had breached any of these provisions as of March 31, 2020, it could have been required to cash settle its obligations under the agreements at their termination value of $116,411, including accrued interest.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EXCHANGEABLE SENIOR NOTES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2015, the Operating Partnership issued $575,000 of its 3.125% Exchangeable Senior Notes due 2035. Costs incurred to issue the 2015 Notes were approximately $11,992, consisting primarily of a 2.0% underwriting fee. These costs are being amortized as an adjustment to interest expense over five years, which represents the estimated term based on the first available redemption date, and are included in exchangeable senior notes, net, in the condensed consolidated balance sheets. The 2015 Notes are general unsecured senior obligations of the Operating Partnership and are fully guaranteed by the Company. Interest is payable on April 1 and October 1 of each year beginning April 1, 2016, until the maturity date of October 1, 2035. The 2015 Notes bear interest at 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March 31, 2020 was approximately 10.93 shares of the Company’s common stock per $1,000 principal amount of the 2015 Notes.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Operating Partnership may redeem the 2015 Notes at any time to preserve the Company’s status as a REIT. In addition, on or after October 5, 2020, the Operating Partnership may redeem the 2015 Notes for cash, in whole or in part, at 100% of the principal amount plus accrued and unpaid interest, upon at least 30 days but not more than 60 days prior written notice to the holders of the 2015 Notes. The holders of the 2015 Notes have the right to require the Operating Partnership to repurchase the 2015 Notes for cash, in whole or in part, on October 1 of the years 2020, 2025 and 2030 (unless the Operating Partnership has called the 2015 Notes for redemption), and upon the occurrence of certain designated events, in each case for a repurchase price equal to 100% of the principal amount of the 2015 Notes plus accrued and unpaid interest. Certain events are considered “Events of Default,” as defined in the indenture governing the 2015 Notes, which may result in the accelerated maturity of the 2015 Notes.</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 2015 Notes can be exchanged during any calendar quarter, if the last reported sale price of the common stock of the Company is greater than or equal to 130% of the exchange price for at least 20 trading days during a period of 30 consecutive trading days ending on the last trading day of the immediately preceding calendar quarter. The price of the Company’s common stock did not exceed 130% of the exchange price for the required time period for the 2015 Notes during the quarter ended March 31, 2020.</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are amortized as interest expense over the remaining period of the debt through its first redemption date of October 1, 2020. The effective interest rate on the liability components of the 2015 Notes is 4.0%, which approximated the market rate of interest of similar debt without exchange features (i.e. nonconvertible debt) at the time of issuance.</w:t>
      </w:r>
    </w:p>
    <w:p>
      <w:pPr>
        <w:spacing w:after="0" w:line="204"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color w:val="auto"/>
        </w:rPr>
        <w:t>Information about the Company’s 2015 Notes, including the total carrying amount of the equity component, the principal amount of the liability component, the unamortized discount and the net carrying amount was as follows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22,597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Principal amount of liability component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575,000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575,000</w:t>
            </w: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 - equity component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(1,812)</w:t>
            </w: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liability component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571,321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569,513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of the Notes were as follows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38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6"/>
        </w:trPr>
        <w:tc>
          <w:tcPr>
            <w:tcW w:w="78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4,492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Amortization of discount</w:t>
            </w:r>
          </w:p>
        </w:tc>
        <w:tc>
          <w:tcPr>
            <w:tcW w:w="10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1,162</w:t>
            </w:r>
          </w:p>
        </w:tc>
      </w:tr>
      <w:tr>
        <w:trPr>
          <w:trHeight w:val="27"/>
        </w:trPr>
        <w:tc>
          <w:tcPr>
            <w:tcW w:w="7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recognized</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5,654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15, 2019, the Company filed its $500,000 "at the market" equity program with the Securities and Exchange Commission using a shelf registration statement on Form S-3, and entered into separate equity distribution agreements with nine sales agents.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March 31, 2020, the Company sold no shares of common stock under its "at the market" equity program and had $298,621 available for issuance under the equity distribution agreements.</w:t>
      </w:r>
    </w:p>
    <w:p>
      <w:pPr>
        <w:spacing w:after="0" w:line="19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On November 8, 2017, the Company's board of directors authorized a three-year share repurchase program to allow for the repurchase of shares with an aggregate value up to $400,000. In March 2020, the Company repurchased 653,597 shares at an average price of $79.85, paying a total of $52,204. As of March 31, 2020, the Company had remaining authorization to repurchase shares with an aggregate value up to $347,796.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3"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At March 31, 2020 and December 31, 2019,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March 31, 2020 and December 31, 2019, noncontrolling interests in Preferred OP Units were presented net of notes receivable from Preferred OP Unit holders of $100,000 as more fully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1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Series B Units were issued in 2013 and 2014 and have a liquidation value of $25.00 per unit for a fixed liquidation value of $41,902, which represents 1,676,087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 The Series C Units were convertible into OP Units at the option of the holder at a rate of 0.9145 OP Units per Series C Unit converted. This conversion option expired upon the fifth anniversary of the date of issuance.</w:t>
      </w:r>
    </w:p>
    <w:p>
      <w:pPr>
        <w:spacing w:after="0" w:line="21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December 2014, the Operating Partnership loaned certain holders of the Series C Units $20,230. The loan receivable, which was collateralized by the Series C Units, bears interest at 5.0% per annum and matures on December 15, 2024. The Series C Units were shown on the balance sheet net of the loan balance because the borrower under the loan receivable was also the holder of the Series C Units.</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December 1, 2018, certain holders of the Series C Units converted their Series C Units into OP Units, with a total of 407,996 Series C Units being converted into a total of 373,113 OP Units. As part of this conversion, the holders of the Series C Units agreed to pledge the OP Units received in the conversion as collateral on the loan receivable to replace the Series C Units that were converted. As of December 31, 2018, the total outstanding balance of the loan receivable was $19,735, of which $8,644 was shown as a reduction of the noncontrolling interests related to the Series C Units and $11,091 was shown as a reduction of the noncontrolling interests related to the OP Units on the Company's consolidated balance sheets. On April 25, 2019, the remaining 296,020 Series C Units were converted into 270,709 OP Units. The remaining outstanding balance of the loan receivable of $18,524 is shown as a reduction of the noncontrolling interests related to the OP Units as of December 31, 2019 and March 31, 2020. See footnote 12 for further discussion of noncontrolling interests.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Series D Units have been issued at various times from 2014 to 2019. During the three months ended March 31, 2019, the Operating Partnership issued 1,120,924 Series D Units valued at $28,023 in conjunction with joint venture acquisitions.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Series D Units have a liquidation value of $25.00 per unit, for a fixed liquidation value of $120,086, which represents 4,803,445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interest in its stores is held through the Operating Partnership. Between its general partner and limited partner interests, the Company held a 93.8% ownership interest in the Operating Partnership as of March 31, 2020. The remaining ownership interests in the Operating Partnership (including Preferred OP Units) of 6.2% are held by certain former owners of assets acquired by the Operating Partnership. As of March 31, 2020 and December 31, 2019, the noncontrolling interests in the Operating Partnership are shown on the balance sheet net of notes receivable of $18,524 because the borrowers under the loan receivable are also holders of OP Units (Note 11). This loan receivable bears interest at 5.0% per annum and matures on December 15, 2024.</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March 31, 2020, the ten-day average closing price of the Company's common stock was $87.07 and there were 5,915,916 OP Units outstanding. Assuming that all of the OP Unit holders exercised their right to redeem all of their OP Units on March 31, 2020 and the Company elected to pay the OP Unit holders cash, the Company would have paid $515,099 in cash consideration to redeem the units.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64"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37465</wp:posOffset>
            </wp:positionV>
            <wp:extent cx="24085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1860" w:type="dxa"/>
            <w:vAlign w:val="bottom"/>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1920" w:type="dxa"/>
            <w:vAlign w:val="bottom"/>
          </w:tcPr>
          <w:p>
            <w:pPr>
              <w:jc w:val="right"/>
              <w:ind w:right="675"/>
              <w:spacing w:after="0"/>
              <w:rPr>
                <w:sz w:val="20"/>
                <w:szCs w:val="20"/>
                <w:color w:val="auto"/>
              </w:rPr>
            </w:pPr>
            <w:r>
              <w:rPr>
                <w:rFonts w:ascii="Arial" w:cs="Arial" w:eastAsia="Arial" w:hAnsi="Arial"/>
                <w:sz w:val="16"/>
                <w:szCs w:val="16"/>
                <w:b w:val="1"/>
                <w:bCs w:val="1"/>
                <w:color w:val="auto"/>
              </w:rPr>
              <w:t>2019</w:t>
            </w:r>
          </w:p>
        </w:tc>
      </w:tr>
      <w:tr>
        <w:trPr>
          <w:trHeight w:val="33"/>
        </w:trPr>
        <w:tc>
          <w:tcPr>
            <w:tcW w:w="74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 Units redeemed for common stock</w:t>
            </w:r>
          </w:p>
        </w:tc>
        <w:tc>
          <w:tcPr>
            <w:tcW w:w="1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8,862</w:t>
            </w:r>
          </w:p>
        </w:tc>
        <w:tc>
          <w:tcPr>
            <w:tcW w:w="19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85,501</w:t>
            </w:r>
          </w:p>
        </w:tc>
      </w:tr>
      <w:tr>
        <w:trPr>
          <w:trHeight w:val="27"/>
        </w:trPr>
        <w:tc>
          <w:tcPr>
            <w:tcW w:w="74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Other noncontrolling interests represent the ownership interests of third parties in two consolidated joint ventures as of March 31, 2020. One joint venture owns four operating stores, and the other joint venture owns one operating store and one development store. The voting interests of the third-party owners are between 5.0% and 20.0%.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w w:val="98"/>
              </w:rPr>
              <w:t>For the Three Months Ended March 31,</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7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Self-Storage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286,703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271,003</w:t>
            </w: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33,613</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29,797</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320,316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300,800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Self-Storage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90,297</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78,765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Reinsurance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6,678</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64"/>
        </w:trPr>
        <w:tc>
          <w:tcPr>
            <w:tcW w:w="7700" w:type="dxa"/>
            <w:vAlign w:val="bottom"/>
          </w:tcPr>
          <w:p>
            <w:pPr>
              <w:ind w:left="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96,975</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85,732</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Self-Storage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196,406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192,238</w:t>
            </w: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26,935</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22,830</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223,341</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215,068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components of 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20"/>
              <w:spacing w:after="0"/>
              <w:rPr>
                <w:sz w:val="20"/>
                <w:szCs w:val="20"/>
                <w:color w:val="auto"/>
              </w:rPr>
            </w:pPr>
            <w:r>
              <w:rPr>
                <w:rFonts w:ascii="Arial" w:cs="Arial" w:eastAsia="Arial" w:hAnsi="Arial"/>
                <w:sz w:val="18"/>
                <w:szCs w:val="18"/>
                <w:color w:val="auto"/>
              </w:rPr>
              <w:t>Property management fees and other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12,136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10,746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(23,011)</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(22,678)</w:t>
            </w:r>
          </w:p>
        </w:tc>
        <w:tc>
          <w:tcPr>
            <w:tcW w:w="0" w:type="dxa"/>
            <w:vAlign w:val="bottom"/>
          </w:tcPr>
          <w:p>
            <w:pPr>
              <w:spacing w:after="0"/>
              <w:rPr>
                <w:sz w:val="1"/>
                <w:szCs w:val="1"/>
                <w:color w:val="auto"/>
              </w:rPr>
            </w:pPr>
          </w:p>
        </w:tc>
      </w:tr>
      <w:tr>
        <w:trPr>
          <w:trHeight w:val="243"/>
        </w:trPr>
        <w:tc>
          <w:tcPr>
            <w:tcW w:w="770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(55,275)</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(54,659)</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(44,358)</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(47,360)</w:t>
            </w: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Arial" w:cs="Arial" w:eastAsia="Arial" w:hAnsi="Arial"/>
                <w:sz w:val="18"/>
                <w:szCs w:val="18"/>
                <w:color w:val="auto"/>
                <w:w w:val="93"/>
              </w:rPr>
              <w:t>Non-cash interest expense related to amortization of discount on equity component of exchangeable</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(1,209)</w:t>
            </w:r>
          </w:p>
        </w:tc>
        <w:tc>
          <w:tcPr>
            <w:tcW w:w="4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43"/>
        </w:trPr>
        <w:tc>
          <w:tcPr>
            <w:tcW w:w="7700" w:type="dxa"/>
            <w:vAlign w:val="bottom"/>
          </w:tcPr>
          <w:p>
            <w:pPr>
              <w:ind w:left="220"/>
              <w:spacing w:after="0"/>
              <w:rPr>
                <w:sz w:val="20"/>
                <w:szCs w:val="20"/>
                <w:color w:val="auto"/>
              </w:rPr>
            </w:pPr>
            <w:r>
              <w:rPr>
                <w:rFonts w:ascii="Arial" w:cs="Arial" w:eastAsia="Arial" w:hAnsi="Arial"/>
                <w:sz w:val="18"/>
                <w:szCs w:val="18"/>
                <w:color w:val="auto"/>
              </w:rPr>
              <w:t>Equity in earnings and dividend income from unconsolidated real estate entities</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5,043</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64"/>
        </w:trPr>
        <w:tc>
          <w:tcPr>
            <w:tcW w:w="7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116,162</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102,160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March 31, 2020,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ectPr>
          <w:pgSz w:w="11900" w:h="16838" w:orient="portrait"/>
          <w:cols w:equalWidth="0" w:num="1">
            <w:col w:w="11240"/>
          </w:cols>
          <w:pgMar w:left="320" w:top="364" w:right="33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As of March 31, 2020, the Company was under agreement to acquire three stores at a total purchase price of $20,634. One store is scheduled to close in 2020 and the remaining two stores are expected to close in 2021. Additionally, the Company is under agreement to acquire five stores with joint venture partners, for a total investment of $25,770. Four of these stores are scheduled to close in 2020 and the remaining store is expected to close in 2021.</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5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Subsequent to March 31, 2020, the global economy has continued to be severely impacted by the COVID-19 pandemic. The impact of the COVID-19 pandemic on the U.S. and world economies generally, and on our future results in particular, could be significant and will largely depend on future developments, which are highly uncertain and cannot be predicted. This includes new information which may emerge concerning the severity of COVID-19, the success of actions taken to contain or treat COVID-19 and reactions by consumers, companies, governmental entities and capital markets.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5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The following discussion and analysis should be read in conjunction with our unaudited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Condensed Consolidated Financial Statements (unaudited)” </w:t>
      </w:r>
      <w:r>
        <w:rPr>
          <w:rFonts w:ascii="Arial" w:cs="Arial" w:eastAsia="Arial" w:hAnsi="Arial"/>
          <w:sz w:val="16"/>
          <w:szCs w:val="16"/>
          <w:color w:val="auto"/>
        </w:rPr>
        <w:t>appearing elsewhere in this report and the</w:t>
      </w:r>
      <w:r>
        <w:rPr>
          <w:rFonts w:ascii="Arial" w:cs="Arial" w:eastAsia="Arial" w:hAnsi="Arial"/>
          <w:sz w:val="16"/>
          <w:szCs w:val="16"/>
          <w:i w:val="1"/>
          <w:iCs w:val="1"/>
          <w:color w:val="auto"/>
        </w:rPr>
        <w:t xml:space="preserve"> “Consolidated Financial Statements,” “Notes to Consolidated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contained in our</w:t>
      </w:r>
    </w:p>
    <w:p>
      <w:pPr>
        <w:spacing w:after="0" w:line="2"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Form 10-K for the year ended December 31, 2019.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 Information</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2019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MATERIAL DEVELOPMENT – THE COVID-19 PANDEMIC</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United States and other countries around the world are experiencing a major health pandemic related to COVID-19, which has created considerable instability and disruption in the U.S. and world economies. Governmental authorities in impacted regions are taking increasingly dramatic action in an effort to slow the spread of COVID-19. Federal, state and local jurisdictions have issued varying forms of “stay-at-home” orders, halting public gatherings and restricting business functions outside of one’s home to only those that are considered “essential.” We are working to comply within the framework of local, county, state and federal laws as they evolve. In that regard,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We have transitioned many of our interactions between customers and leasing and support staff to on-line and telephonic communications. Due to the COVID-19 pandemic, our customers may be impacted, including through unemployment, which may impact their ability to pay rent or renew their leases.</w:t>
      </w:r>
    </w:p>
    <w:p>
      <w:pPr>
        <w:spacing w:after="0" w:line="19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While we have seen a decrease in new rentals as a result of the COVID-19 pandemic, we have not seen significant vacates from existing tenants, which continue to make up the majority of our occupancy.</w:t>
      </w:r>
    </w:p>
    <w:p>
      <w:pPr>
        <w:spacing w:after="0" w:line="198" w:lineRule="exact"/>
        <w:rPr>
          <w:sz w:val="20"/>
          <w:szCs w:val="20"/>
          <w:color w:val="auto"/>
        </w:rPr>
      </w:pPr>
    </w:p>
    <w:p>
      <w:pPr>
        <w:ind w:right="540"/>
        <w:spacing w:after="0" w:line="248" w:lineRule="auto"/>
        <w:rPr>
          <w:sz w:val="20"/>
          <w:szCs w:val="20"/>
          <w:color w:val="auto"/>
        </w:rPr>
      </w:pPr>
      <w:r>
        <w:rPr>
          <w:rFonts w:ascii="Arial" w:cs="Arial" w:eastAsia="Arial" w:hAnsi="Arial"/>
          <w:sz w:val="18"/>
          <w:szCs w:val="18"/>
          <w:color w:val="auto"/>
        </w:rPr>
        <w:t>Although the self-storage has historically been resilient to ordinary market downturns, the impact of the COVID-19 pandemic on the U.S. and world economies generally, and on our future results in particular, could be significant and will largely depend on future developments, which are highly uncertain and cannot be predicted. This includes new information which may emerge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ind w:right="260"/>
        <w:spacing w:after="0" w:line="261" w:lineRule="auto"/>
        <w:rPr>
          <w:sz w:val="20"/>
          <w:szCs w:val="20"/>
          <w:color w:val="auto"/>
        </w:rPr>
      </w:pPr>
      <w:r>
        <w:rPr>
          <w:rFonts w:ascii="Arial" w:cs="Arial" w:eastAsia="Arial" w:hAnsi="Arial"/>
          <w:sz w:val="18"/>
          <w:szCs w:val="18"/>
          <w:color w:val="auto"/>
        </w:rPr>
        <w:t>concerning the severity of COVID-19, the success of actions taken to contain or treat COVID-19 and reactions by consumers, companies, governmental entities and capital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March 31, 2020, we owned or had ownership interests in 1,176 operating stores. Of these stores, 927 are wholly-owned, five are in consolidated joint ventures, and 244 are in unconsolidated joint ventures. In addition, we managed an additional 676 stores for third parties bringing the total number of stores which we own and/or manage to 1,852. These stores are located in 40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8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As of March 31, 2020, approximately 1,030,000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March 31, 2020, the average length of stay was approximately 16.1 months.</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average annual rent per square foot for our existing customers at stabilized stores, net of discounts and bad debt, was $16.42 for the three months ended March 31, 2020, compared to $16.22 for the three months ended March 31, 2019. Average annual rent per square foot for new leases was $18.66 for the three months ended March 31, 2020, compared to $17.66 for the three months ended March 31, 2019. The average discounts, as a percentage of rental revenues, at all stabilized properties during these periods were 3.2% and 3.4%, respectively.</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9" w:name="page30"/>
    <w:bookmarkEnd w:id="29"/>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 2020</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240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400" w:type="dxa"/>
            <w:vAlign w:val="bottom"/>
          </w:tcPr>
          <w:p>
            <w:pPr>
              <w:spacing w:after="0"/>
              <w:rPr>
                <w:sz w:val="18"/>
                <w:szCs w:val="18"/>
                <w:color w:val="auto"/>
              </w:rPr>
            </w:pPr>
          </w:p>
        </w:tc>
        <w:tc>
          <w:tcPr>
            <w:tcW w:w="22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REIT Owned</w:t>
            </w:r>
          </w:p>
        </w:tc>
        <w:tc>
          <w:tcPr>
            <w:tcW w:w="22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Joint Venture Owned</w:t>
            </w:r>
          </w:p>
        </w:tc>
        <w:tc>
          <w:tcPr>
            <w:tcW w:w="218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Managed</w:t>
            </w:r>
          </w:p>
        </w:tc>
        <w:tc>
          <w:tcPr>
            <w:tcW w:w="860" w:type="dxa"/>
            <w:vAlign w:val="bottom"/>
          </w:tcPr>
          <w:p>
            <w:pPr>
              <w:spacing w:after="0"/>
              <w:rPr>
                <w:sz w:val="18"/>
                <w:szCs w:val="18"/>
                <w:color w:val="auto"/>
              </w:rPr>
            </w:pPr>
          </w:p>
        </w:tc>
        <w:tc>
          <w:tcPr>
            <w:tcW w:w="1320" w:type="dxa"/>
            <w:vAlign w:val="bottom"/>
          </w:tcPr>
          <w:p>
            <w:pPr>
              <w:jc w:val="right"/>
              <w:ind w:right="8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2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7"/>
        </w:trPr>
        <w:tc>
          <w:tcPr>
            <w:tcW w:w="240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Property</w:t>
            </w: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rPr>
              <w:t>Property</w:t>
            </w: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Property</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r>
      <w:tr>
        <w:trPr>
          <w:trHeight w:val="225"/>
        </w:trPr>
        <w:tc>
          <w:tcPr>
            <w:tcW w:w="24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Location</w:t>
            </w:r>
          </w:p>
        </w:tc>
        <w:tc>
          <w:tcPr>
            <w:tcW w:w="1020" w:type="dxa"/>
            <w:vAlign w:val="bottom"/>
            <w:tcBorders>
              <w:bottom w:val="single" w:sz="8" w:color="auto"/>
            </w:tcBorders>
          </w:tcPr>
          <w:p>
            <w:pPr>
              <w:jc w:val="right"/>
              <w:ind w:right="159"/>
              <w:spacing w:after="0" w:line="225"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Count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Count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Count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r>
      <w:tr>
        <w:trPr>
          <w:trHeight w:val="23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557,538</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75,821</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1,013,225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1,646,584</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Arizona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1,623,422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468,275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1,388,188</w:t>
            </w: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3,479,885</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166</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12,681,551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3,010,523</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6,152,489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21,844,563</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1,154,826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186,318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1,741,170</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3,082,314</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530,220</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630,009</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331,035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1,491,264</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76,945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137,618</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214,563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6,990,368</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2,583,489</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7,232,854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16,806,711</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Georgia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4,868,448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511,367</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1,648,442</w:t>
            </w: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7,028,257</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848,264</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211,634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1,059,898</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Idaho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712,786</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712,786</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2,808,931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566,908</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2,125,520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5,501,359</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Indiana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950,671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58,166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738,189</w:t>
            </w: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1,747,026</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83,011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108,770</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147,242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339,023</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930,478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51,128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339,523</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1,321,129</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142,525</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466,550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609,075</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Maryland</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2,655,908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618,458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2,110,571</w:t>
            </w: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5,384,937</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2,973,668</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641,533</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454,667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4,069,868</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Michigan</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560,657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313,176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249,901</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1,123,734</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Minnesota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382,961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150,870</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628,202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1,162,033</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220,182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205,610</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425,792</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333,480</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119,275</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539,518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992,273</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Nebraska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194,970</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194,970</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1,040,201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473,471</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533,505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2,047,177</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New Hampshire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136,135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83,925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61,490</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281,550</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4,665,875</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1,246,378</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1,099,279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7,011,532</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721,690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349,860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890,990</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1,962,540</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1,972,200</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1,510,548</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1,190,289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4,673,037</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North Carolina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1,411,294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373,864</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1,353,003</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3,138,161</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1,315,221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327,213</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546,293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2,188,727</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Oklahoma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1,731,033</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1,731,033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399,921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281,709</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766,965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1,448,595</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1,351,196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513,083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1,720,165</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3,584,444</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Rhode Island</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130,696</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165,617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296,313</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1,843,372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497,758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1,180,662</w:t>
            </w: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3,521,792</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1,433,223</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803,886</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1,161,571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3,398,680</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Texas</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8,603,027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707,712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6,589,954</w:t>
            </w:r>
          </w:p>
        </w:tc>
        <w:tc>
          <w:tcPr>
            <w:tcW w:w="860" w:type="dxa"/>
            <w:vAlign w:val="bottom"/>
          </w:tcPr>
          <w:p>
            <w:pPr>
              <w:jc w:val="right"/>
              <w:spacing w:after="0"/>
              <w:rPr>
                <w:sz w:val="20"/>
                <w:szCs w:val="20"/>
                <w:color w:val="auto"/>
              </w:rPr>
            </w:pPr>
            <w:r>
              <w:rPr>
                <w:rFonts w:ascii="Arial" w:cs="Arial" w:eastAsia="Arial" w:hAnsi="Arial"/>
                <w:sz w:val="16"/>
                <w:szCs w:val="16"/>
                <w:color w:val="auto"/>
              </w:rPr>
              <w:t>191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15,900,693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710,019</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1,343,811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2,053,830</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Virginia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3,682,996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567,003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1,365,942</w:t>
            </w: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5,615,941</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590,132</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57,340</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811,993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1,459,465</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Washington, DC</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100,039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103,567</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392,974</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596,580</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508,836</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428,525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937,361</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916,914</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916,914</w:t>
            </w:r>
          </w:p>
        </w:tc>
      </w:tr>
      <w:tr>
        <w:trPr>
          <w:trHeight w:val="33"/>
        </w:trPr>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932</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71,404,346</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18,577,184</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676</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53,020,879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143,002,409</w:t>
            </w:r>
          </w:p>
        </w:tc>
      </w:tr>
      <w:tr>
        <w:trPr>
          <w:trHeight w:val="20"/>
        </w:trPr>
        <w:tc>
          <w:tcPr>
            <w:tcW w:w="2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Includes five consolidated joint venture stores.</w:t>
      </w:r>
    </w:p>
    <w:p>
      <w:pPr>
        <w:sectPr>
          <w:pgSz w:w="11900" w:h="16838" w:orient="portrait"/>
          <w:cols w:equalWidth="0" w:num="1">
            <w:col w:w="11240"/>
          </w:cols>
          <w:pgMar w:left="320" w:top="1440" w:right="339" w:bottom="4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453"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Results for the three months ended March 31, 2020 included the operations of 1,176 stores (927 wholly-owned, five in consolidated joint ventures, and 244 in joint ventures accounted for using the equity method) compared to the results for the three months ended March 31, 2019, which included the operations of 1,119 stores (891 wholly-owned, four in consolidated joint ventures, and 224 in joint ventures accounted for using the equity method).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64" w:lineRule="exact"/>
        <w:rPr>
          <w:sz w:val="20"/>
          <w:szCs w:val="20"/>
          <w:color w:val="auto"/>
        </w:rPr>
      </w:pPr>
    </w:p>
    <w:p>
      <w:pPr>
        <w:jc w:val="center"/>
        <w:ind w:left="464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46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33020</wp:posOffset>
            </wp:positionV>
            <wp:extent cx="1337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r>
      <w:tr>
        <w:trPr>
          <w:trHeight w:val="33"/>
        </w:trPr>
        <w:tc>
          <w:tcPr>
            <w:tcW w:w="6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Property rental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w w:val="98"/>
              </w:rPr>
              <w:t>286,703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w w:val="98"/>
              </w:rPr>
              <w:t>271,003</w:t>
            </w:r>
          </w:p>
        </w:tc>
        <w:tc>
          <w:tcPr>
            <w:tcW w:w="10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15,700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900" w:type="dxa"/>
            <w:vAlign w:val="bottom"/>
          </w:tcPr>
          <w:p>
            <w:pPr>
              <w:ind w:left="380"/>
              <w:spacing w:after="0"/>
              <w:rPr>
                <w:sz w:val="20"/>
                <w:szCs w:val="20"/>
                <w:color w:val="auto"/>
              </w:rPr>
            </w:pPr>
            <w:r>
              <w:rPr>
                <w:rFonts w:ascii="Arial" w:cs="Arial" w:eastAsia="Arial" w:hAnsi="Arial"/>
                <w:sz w:val="18"/>
                <w:szCs w:val="18"/>
                <w:color w:val="auto"/>
              </w:rPr>
              <w:t>Management fees and other income</w:t>
            </w:r>
          </w:p>
        </w:tc>
        <w:tc>
          <w:tcPr>
            <w:tcW w:w="18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12,136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10,746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8"/>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332,452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311,546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20,906</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Property Rental—</w:t>
      </w:r>
      <w:r>
        <w:rPr>
          <w:rFonts w:ascii="Arial" w:cs="Arial" w:eastAsia="Arial" w:hAnsi="Arial"/>
          <w:sz w:val="18"/>
          <w:szCs w:val="18"/>
          <w:color w:val="auto"/>
        </w:rPr>
        <w:t>The increase in property rental revenues for the three months ended March 31, 2020 was primarily the result of revenues from newly-acquired stores and increases in rental rates at our stabilized stores. An increase of $9,655 was attributable to store acquisitions completed in 2020 and 2019. We acquired two wholly-owned stores during the three months ended March 31, 2020. We acquired 21 stores and added 27 leased properties (as part of a new net lease agreement) during</w:t>
      </w:r>
    </w:p>
    <w:p>
      <w:pPr>
        <w:spacing w:after="0" w:line="3"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 year ended December 31, 2019. An increase of $5,034 for the three months ended March 31, 2020 was due to higher net rental rates for new and existing customers at our stabilized stores.</w:t>
      </w:r>
    </w:p>
    <w:p>
      <w:pPr>
        <w:spacing w:after="0" w:line="20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our tenant reinsurance revenues was due primarily to an increase in the number of stores operated. We operated</w:t>
      </w:r>
      <w:r>
        <w:rPr>
          <w:rFonts w:ascii="Arial" w:cs="Arial" w:eastAsia="Arial" w:hAnsi="Arial"/>
          <w:sz w:val="18"/>
          <w:szCs w:val="18"/>
          <w:b w:val="1"/>
          <w:bCs w:val="1"/>
          <w:color w:val="auto"/>
        </w:rPr>
        <w:t xml:space="preserve"> </w:t>
      </w:r>
      <w:r>
        <w:rPr>
          <w:rFonts w:ascii="Arial" w:cs="Arial" w:eastAsia="Arial" w:hAnsi="Arial"/>
          <w:sz w:val="18"/>
          <w:szCs w:val="18"/>
          <w:color w:val="auto"/>
        </w:rPr>
        <w:t>1,852 stores at March 31, 2020 compared to 1,696 stores at March 31, 2019.</w:t>
      </w:r>
    </w:p>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Management fees and other income primarily represent the fee collected for our management of stores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and unconsolidated joint ventures and other transaction fee income. The increase for the three months ended March 31, 2020 was primarily due to an increase in the number of stores managed. As of March 31, 2020, we managed 925 stores for joint ventures and third parties, compared to 805 stores as of March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55"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13335</wp:posOffset>
            </wp:positionV>
            <wp:extent cx="13030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r>
      <w:tr>
        <w:trPr>
          <w:trHeight w:val="236"/>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120" w:type="dxa"/>
            <w:vAlign w:val="bottom"/>
          </w:tcPr>
          <w:p>
            <w:pPr>
              <w:ind w:left="340"/>
              <w:spacing w:after="0"/>
              <w:rPr>
                <w:sz w:val="20"/>
                <w:szCs w:val="20"/>
                <w:color w:val="auto"/>
              </w:rPr>
            </w:pPr>
            <w:r>
              <w:rPr>
                <w:rFonts w:ascii="Arial" w:cs="Arial" w:eastAsia="Arial" w:hAnsi="Arial"/>
                <w:sz w:val="18"/>
                <w:szCs w:val="18"/>
                <w:color w:val="auto"/>
              </w:rPr>
              <w:t>Property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90,297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78,765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11,532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1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23,011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54,659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6"/>
        </w:trPr>
        <w:tc>
          <w:tcPr>
            <w:tcW w:w="7120" w:type="dxa"/>
            <w:vAlign w:val="bottom"/>
          </w:tcPr>
          <w:p>
            <w:pPr>
              <w:ind w:left="66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5"/>
              </w:rPr>
              <w:t>175,261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5"/>
              </w:rPr>
              <w:t>163,069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12,192</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7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1" w:name="page32"/>
    <w:bookmarkEnd w:id="31"/>
    <w:p>
      <w:pPr>
        <w:ind w:right="20"/>
        <w:spacing w:after="0" w:line="258"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during the three months ended March 31, 2020 was due primarily to an increase of</w:t>
      </w:r>
      <w:r>
        <w:rPr>
          <w:rFonts w:ascii="Arial" w:cs="Arial" w:eastAsia="Arial" w:hAnsi="Arial"/>
          <w:sz w:val="18"/>
          <w:szCs w:val="18"/>
          <w:b w:val="1"/>
          <w:bCs w:val="1"/>
          <w:color w:val="auto"/>
        </w:rPr>
        <w:t xml:space="preserve"> </w:t>
      </w:r>
      <w:r>
        <w:rPr>
          <w:rFonts w:ascii="Arial" w:cs="Arial" w:eastAsia="Arial" w:hAnsi="Arial"/>
          <w:sz w:val="18"/>
          <w:szCs w:val="18"/>
          <w:color w:val="auto"/>
        </w:rPr>
        <w:t>$8,976 attributable to store acquisitions completed in 2020 and 2019. We acquired two wholly-owned stores during the three months ended March 31, 2020. We acquired 21 stores and added 27 leased properties (as part of a new net lease agreement) during the year ended December 31, 2019. An additional increase of $2,339 for the three months ended March 31, 2020 was related to an increase in expenses from property taxes, payroll and benefits, and marketing.</w:t>
      </w:r>
    </w:p>
    <w:p>
      <w:pPr>
        <w:spacing w:after="0" w:line="21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decrease in tenant reinsurance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three months ended March 31, 2020 was due primarily to a reduction in the number of claims as well as a decrease in the overall average payout on individual claims when compared to the three months ended March 31, 2019.</w:t>
      </w:r>
    </w:p>
    <w:p>
      <w:pPr>
        <w:spacing w:after="0" w:line="203"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office expense, office rent, travel and professional fees. We did not observe any material trends in specific payroll, travel or other expenses apart from the increase due to the management of additional stores.</w:t>
      </w:r>
    </w:p>
    <w:p>
      <w:pPr>
        <w:spacing w:after="0" w:line="20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two stores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three months ended March 31, 2020. We acquired 21 stores during the year ended 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Three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7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7"/>
                <w:szCs w:val="17"/>
                <w:color w:val="auto"/>
              </w:rPr>
            </w:pPr>
          </w:p>
        </w:tc>
      </w:tr>
      <w:tr>
        <w:trPr>
          <w:trHeight w:val="250"/>
        </w:trPr>
        <w:tc>
          <w:tcPr>
            <w:tcW w:w="7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(47,360)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w w:val="99"/>
              </w:rPr>
              <w:t>Non-cash interest expense related to amortization of discount on equity component of</w:t>
            </w:r>
          </w:p>
        </w:tc>
        <w:tc>
          <w:tcPr>
            <w:tcW w:w="12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exchangeable senior notes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Equity in earnings and dividend income from unconsolidated real estate entities</w:t>
            </w:r>
          </w:p>
        </w:tc>
        <w:tc>
          <w:tcPr>
            <w:tcW w:w="120" w:type="dxa"/>
            <w:vAlign w:val="bottom"/>
          </w:tcPr>
          <w:p>
            <w:pPr>
              <w:spacing w:after="0"/>
              <w:rPr>
                <w:sz w:val="21"/>
                <w:szCs w:val="21"/>
                <w:color w:val="auto"/>
              </w:rPr>
            </w:pP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6"/>
        </w:trPr>
        <w:tc>
          <w:tcPr>
            <w:tcW w:w="70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(41,029)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8"/>
              </w:rPr>
              <w:t>(46,317)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decrease in interest expense during the three months ended March 31, 2020 was primarily the result of a lower average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the prior year. The average interest rate for the three months ended March 31, 2020 was 3.1%, compared to an average interest rate of 3.5% for the three months ended March 31, 2019.</w:t>
      </w:r>
    </w:p>
    <w:p>
      <w:pPr>
        <w:spacing w:after="0" w:line="20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discounts related to the equity components of the exchangeable senior notes issued by our Operating Partnership. The 2015 Notes had an effective interest rate of 4.0% relative to the carrying amount of the liability.</w:t>
      </w:r>
    </w:p>
    <w:p>
      <w:pPr>
        <w:spacing w:after="0" w:line="20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Interest Income—</w:t>
      </w:r>
      <w:r>
        <w:rPr>
          <w:rFonts w:ascii="Arial" w:cs="Arial" w:eastAsia="Arial" w:hAnsi="Arial"/>
          <w:sz w:val="17"/>
          <w:szCs w:val="17"/>
          <w:color w:val="auto"/>
        </w:rPr>
        <w:t>Interest income represents amounts earned on cash and cash equivalents deposited with financial institutions, interest earned on bridge</w:t>
      </w:r>
      <w:r>
        <w:rPr>
          <w:rFonts w:ascii="Arial" w:cs="Arial" w:eastAsia="Arial" w:hAnsi="Arial"/>
          <w:sz w:val="17"/>
          <w:szCs w:val="17"/>
          <w:b w:val="1"/>
          <w:bCs w:val="1"/>
          <w:color w:val="auto"/>
        </w:rPr>
        <w:t xml:space="preserve"> </w:t>
      </w:r>
      <w:r>
        <w:rPr>
          <w:rFonts w:ascii="Arial" w:cs="Arial" w:eastAsia="Arial" w:hAnsi="Arial"/>
          <w:sz w:val="17"/>
          <w:szCs w:val="17"/>
          <w:color w:val="auto"/>
        </w:rPr>
        <w:t>loans and income earned on note receivable from Common and Preferred Operating Partnership unit holders. In late 2018 we began to provide bridge financing on completed properties, including recently completed properties, owned by third parties that we manage. The increase in interest income during the three months ended March 31, 2020 was primarily the result of interest earned on these bridge loans.</w:t>
      </w:r>
    </w:p>
    <w:p>
      <w:pPr>
        <w:spacing w:after="0" w:line="19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Equity in Earnings and Dividend Income from Unconsolidated Real Estate Entities—</w:t>
      </w:r>
      <w:r>
        <w:rPr>
          <w:rFonts w:ascii="Arial" w:cs="Arial" w:eastAsia="Arial" w:hAnsi="Arial"/>
          <w:sz w:val="16"/>
          <w:szCs w:val="16"/>
          <w:color w:val="auto"/>
        </w:rPr>
        <w:t>Equity in earnings of unconsolidated real estate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The increase related primarily to the dividends income recognized during the three months ended March 31, 2020.</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2" w:name="page33"/>
    <w:bookmarkEnd w:id="32"/>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months ended March 31, 2020, the increase in income tax expense was the result of an increase in income earned by</w:t>
      </w:r>
      <w:r>
        <w:rPr>
          <w:rFonts w:ascii="Arial" w:cs="Arial" w:eastAsia="Arial" w:hAnsi="Arial"/>
          <w:sz w:val="18"/>
          <w:szCs w:val="18"/>
          <w:b w:val="1"/>
          <w:bCs w:val="1"/>
          <w:color w:val="auto"/>
        </w:rPr>
        <w:t xml:space="preserve"> </w:t>
      </w:r>
      <w:r>
        <w:rPr>
          <w:rFonts w:ascii="Arial" w:cs="Arial" w:eastAsia="Arial" w:hAnsi="Arial"/>
          <w:sz w:val="18"/>
          <w:szCs w:val="18"/>
          <w:color w:val="auto"/>
        </w:rPr>
        <w:t>our taxable REIT subsidiary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64" w:lineRule="exact"/>
        <w:rPr>
          <w:sz w:val="20"/>
          <w:szCs w:val="20"/>
          <w:color w:val="auto"/>
        </w:rPr>
      </w:pPr>
    </w:p>
    <w:p>
      <w:pPr>
        <w:jc w:val="center"/>
        <w:ind w:left="884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88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33020</wp:posOffset>
            </wp:positionV>
            <wp:extent cx="1517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33"/>
        </w:trPr>
        <w:tc>
          <w:tcPr>
            <w:tcW w:w="8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94,770</w:t>
            </w:r>
          </w:p>
        </w:tc>
      </w:tr>
      <w:tr>
        <w:trPr>
          <w:trHeight w:val="257"/>
        </w:trPr>
        <w:tc>
          <w:tcPr>
            <w:tcW w:w="8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52,926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50,773</w:t>
            </w:r>
          </w:p>
        </w:tc>
      </w:tr>
      <w:tr>
        <w:trPr>
          <w:trHeight w:val="27"/>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2,288</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1,872</w:t>
            </w:r>
          </w:p>
        </w:tc>
      </w:tr>
      <w:tr>
        <w:trPr>
          <w:trHeight w:val="27"/>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7,983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7,390</w:t>
            </w:r>
          </w:p>
        </w:tc>
      </w:tr>
      <w:tr>
        <w:trPr>
          <w:trHeight w:val="27"/>
        </w:trPr>
        <w:tc>
          <w:tcPr>
            <w:tcW w:w="8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 attributable to common stockholders and unit 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171,297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156,521</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same-store pool for the periods presented consists of 863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For the Three Months Ended March 31,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50"/>
        </w:trPr>
        <w:tc>
          <w:tcPr>
            <w:tcW w:w="75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rental revenues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270,063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264,905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1.9%</w:t>
            </w:r>
          </w:p>
        </w:tc>
      </w:tr>
      <w:tr>
        <w:trPr>
          <w:trHeight w:val="243"/>
        </w:trPr>
        <w:tc>
          <w:tcPr>
            <w:tcW w:w="7560" w:type="dxa"/>
            <w:vAlign w:val="bottom"/>
          </w:tcPr>
          <w:p>
            <w:pPr>
              <w:ind w:left="180"/>
              <w:spacing w:after="0"/>
              <w:rPr>
                <w:sz w:val="20"/>
                <w:szCs w:val="20"/>
                <w:color w:val="auto"/>
              </w:rPr>
            </w:pPr>
            <w:r>
              <w:rPr>
                <w:rFonts w:ascii="Arial" w:cs="Arial" w:eastAsia="Arial" w:hAnsi="Arial"/>
                <w:sz w:val="18"/>
                <w:szCs w:val="18"/>
                <w:color w:val="auto"/>
              </w:rPr>
              <w:t>Same-store operating expenses</w:t>
            </w:r>
          </w:p>
        </w:tc>
        <w:tc>
          <w:tcPr>
            <w:tcW w:w="2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78,401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75,502</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3.8%</w:t>
            </w:r>
          </w:p>
        </w:tc>
      </w:tr>
      <w:tr>
        <w:trPr>
          <w:trHeight w:val="27"/>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net operating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191,662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189,403</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560" w:type="dxa"/>
            <w:vAlign w:val="bottom"/>
          </w:tcPr>
          <w:p>
            <w:pPr>
              <w:ind w:left="180"/>
              <w:spacing w:after="0"/>
              <w:rPr>
                <w:sz w:val="20"/>
                <w:szCs w:val="20"/>
                <w:color w:val="auto"/>
              </w:rPr>
            </w:pPr>
            <w:r>
              <w:rPr>
                <w:rFonts w:ascii="Arial" w:cs="Arial" w:eastAsia="Arial" w:hAnsi="Arial"/>
                <w:sz w:val="18"/>
                <w:szCs w:val="18"/>
                <w:color w:val="auto"/>
              </w:rPr>
              <w:t>Same-store square foot occupancy as of quarter end</w:t>
            </w:r>
          </w:p>
        </w:tc>
        <w:tc>
          <w:tcPr>
            <w:tcW w:w="260" w:type="dxa"/>
            <w:vAlign w:val="bottom"/>
          </w:tcPr>
          <w:p>
            <w:pPr>
              <w:spacing w:after="0"/>
              <w:rPr>
                <w:sz w:val="18"/>
                <w:szCs w:val="18"/>
                <w:color w:val="auto"/>
              </w:rPr>
            </w:pPr>
          </w:p>
        </w:tc>
        <w:tc>
          <w:tcPr>
            <w:tcW w:w="980" w:type="dxa"/>
            <w:vAlign w:val="bottom"/>
          </w:tcPr>
          <w:p>
            <w:pPr>
              <w:jc w:val="center"/>
              <w:ind w:right="173"/>
              <w:spacing w:after="0"/>
              <w:rPr>
                <w:sz w:val="20"/>
                <w:szCs w:val="20"/>
                <w:color w:val="auto"/>
              </w:rPr>
            </w:pPr>
            <w:r>
              <w:rPr>
                <w:rFonts w:ascii="Arial" w:cs="Arial" w:eastAsia="Arial" w:hAnsi="Arial"/>
                <w:sz w:val="18"/>
                <w:szCs w:val="18"/>
                <w:color w:val="auto"/>
                <w:w w:val="93"/>
              </w:rPr>
              <w:t>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right="153"/>
              <w:spacing w:after="0"/>
              <w:rPr>
                <w:sz w:val="20"/>
                <w:szCs w:val="20"/>
                <w:color w:val="auto"/>
              </w:rPr>
            </w:pPr>
            <w:r>
              <w:rPr>
                <w:rFonts w:ascii="Arial" w:cs="Arial" w:eastAsia="Arial" w:hAnsi="Arial"/>
                <w:sz w:val="18"/>
                <w:szCs w:val="18"/>
                <w:color w:val="auto"/>
                <w:w w:val="90"/>
              </w:rPr>
              <w:t>91.4%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Properties included in same-store</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93"/>
              </w:rPr>
              <w:t>863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right="153"/>
              <w:spacing w:after="0"/>
              <w:rPr>
                <w:sz w:val="20"/>
                <w:szCs w:val="20"/>
                <w:color w:val="auto"/>
              </w:rPr>
            </w:pPr>
            <w:r>
              <w:rPr>
                <w:rFonts w:ascii="Arial" w:cs="Arial" w:eastAsia="Arial" w:hAnsi="Arial"/>
                <w:sz w:val="18"/>
                <w:szCs w:val="18"/>
                <w:color w:val="auto"/>
                <w:w w:val="86"/>
              </w:rPr>
              <w:t>863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Same-store revenues for the three months ended March 31, 2020 increased due to higher average occupancy and net rental rates for customers. Same-store expenses were higher for the three months ended March 31, 2020 primarily due to increases in marketing, payroll and benefits, and property taxes. For the three months ended March 31, 2020, the increase in same-store expenses was partially offset by decreases in repairs and maintenance expense.</w:t>
      </w:r>
    </w:p>
    <w:p>
      <w:pPr>
        <w:spacing w:after="0" w:line="17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96"/>
        </w:trPr>
        <w:tc>
          <w:tcPr>
            <w:tcW w:w="8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49"/>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116,162</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102,160</w:t>
            </w:r>
          </w:p>
        </w:tc>
      </w:tr>
      <w:tr>
        <w:trPr>
          <w:trHeight w:val="243"/>
        </w:trPr>
        <w:tc>
          <w:tcPr>
            <w:tcW w:w="8720" w:type="dxa"/>
            <w:vAlign w:val="bottom"/>
          </w:tcPr>
          <w:p>
            <w:pPr>
              <w:ind w:left="120"/>
              <w:spacing w:after="0"/>
              <w:rPr>
                <w:sz w:val="20"/>
                <w:szCs w:val="20"/>
                <w:color w:val="auto"/>
              </w:rPr>
            </w:pPr>
            <w:r>
              <w:rPr>
                <w:rFonts w:ascii="Arial" w:cs="Arial" w:eastAsia="Arial" w:hAnsi="Arial"/>
                <w:sz w:val="18"/>
                <w:szCs w:val="18"/>
                <w:color w:val="auto"/>
              </w:rPr>
              <w:t>Adjusted to exclude: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earnings and dividend income from unconsolidated real estate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(5,043)</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w:t>
            </w: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45,567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48,522</w:t>
            </w:r>
          </w:p>
        </w:tc>
      </w:tr>
      <w:tr>
        <w:trPr>
          <w:trHeight w:val="27"/>
        </w:trPr>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55,275</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54,659</w:t>
            </w: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2,179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1,813</w:t>
            </w:r>
          </w:p>
        </w:tc>
      </w:tr>
      <w:tr>
        <w:trPr>
          <w:trHeight w:val="27"/>
        </w:trPr>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23,011</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22,678</w:t>
            </w: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Management fees, other income and interest income</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(13,810)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(12,134)</w:t>
            </w:r>
          </w:p>
        </w:tc>
      </w:tr>
      <w:tr>
        <w:trPr>
          <w:trHeight w:val="27"/>
        </w:trPr>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tenant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(26,935)</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(22,830)</w:t>
            </w:r>
          </w:p>
        </w:tc>
      </w:tr>
      <w:tr>
        <w:trPr>
          <w:trHeight w:val="243"/>
        </w:trPr>
        <w:tc>
          <w:tcPr>
            <w:tcW w:w="8720" w:type="dxa"/>
            <w:vAlign w:val="bottom"/>
          </w:tcPr>
          <w:p>
            <w:pPr>
              <w:ind w:left="220"/>
              <w:spacing w:after="0"/>
              <w:rPr>
                <w:sz w:val="20"/>
                <w:szCs w:val="20"/>
                <w:color w:val="auto"/>
              </w:rPr>
            </w:pPr>
            <w:r>
              <w:rPr>
                <w:rFonts w:ascii="Arial" w:cs="Arial" w:eastAsia="Arial" w:hAnsi="Arial"/>
                <w:sz w:val="18"/>
                <w:szCs w:val="18"/>
                <w:color w:val="auto"/>
              </w:rPr>
              <w:t>Non-same store rental revenue</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(16,640)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(6,098)</w:t>
            </w:r>
          </w:p>
        </w:tc>
      </w:tr>
      <w:tr>
        <w:trPr>
          <w:trHeight w:val="27"/>
        </w:trPr>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Non-same store operating expense</w:t>
            </w: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11,896</w:t>
            </w:r>
          </w:p>
        </w:tc>
        <w:tc>
          <w:tcPr>
            <w:tcW w:w="2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3,263</w:t>
            </w:r>
          </w:p>
        </w:tc>
      </w:tr>
      <w:tr>
        <w:trPr>
          <w:trHeight w:val="27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Same-store net operating income</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191,662</w:t>
            </w:r>
          </w:p>
        </w:tc>
        <w:tc>
          <w:tcPr>
            <w:tcW w:w="26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189,403</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87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r>
      <w:tr>
        <w:trPr>
          <w:trHeight w:val="237"/>
        </w:trPr>
        <w:tc>
          <w:tcPr>
            <w:tcW w:w="8720" w:type="dxa"/>
            <w:vAlign w:val="bottom"/>
          </w:tcPr>
          <w:p>
            <w:pPr>
              <w:ind w:left="20"/>
              <w:spacing w:after="0"/>
              <w:rPr>
                <w:sz w:val="20"/>
                <w:szCs w:val="20"/>
                <w:color w:val="auto"/>
              </w:rPr>
            </w:pPr>
            <w:r>
              <w:rPr>
                <w:rFonts w:ascii="Arial" w:cs="Arial" w:eastAsia="Arial" w:hAnsi="Arial"/>
                <w:sz w:val="18"/>
                <w:szCs w:val="18"/>
                <w:color w:val="auto"/>
              </w:rPr>
              <w:t>Same-store rental revenues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270,063</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264,905</w:t>
            </w:r>
          </w:p>
        </w:tc>
      </w:tr>
      <w:tr>
        <w:trPr>
          <w:trHeight w:val="27"/>
        </w:trPr>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Same-store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78,401</w:t>
            </w: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75,502</w:t>
            </w:r>
          </w:p>
        </w:tc>
      </w:tr>
      <w:tr>
        <w:trPr>
          <w:trHeight w:val="263"/>
        </w:trPr>
        <w:tc>
          <w:tcPr>
            <w:tcW w:w="8720" w:type="dxa"/>
            <w:vAlign w:val="bottom"/>
          </w:tcPr>
          <w:p>
            <w:pPr>
              <w:ind w:left="20"/>
              <w:spacing w:after="0"/>
              <w:rPr>
                <w:sz w:val="20"/>
                <w:szCs w:val="20"/>
                <w:color w:val="auto"/>
              </w:rPr>
            </w:pPr>
            <w:r>
              <w:rPr>
                <w:rFonts w:ascii="Arial" w:cs="Arial" w:eastAsia="Arial" w:hAnsi="Arial"/>
                <w:sz w:val="18"/>
                <w:szCs w:val="18"/>
                <w:color w:val="auto"/>
              </w:rPr>
              <w:t>Same-store net operating income</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191,662</w:t>
            </w:r>
          </w:p>
        </w:tc>
        <w:tc>
          <w:tcPr>
            <w:tcW w:w="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189,403</w:t>
            </w:r>
          </w:p>
        </w:tc>
      </w:tr>
      <w:tr>
        <w:trPr>
          <w:trHeight w:val="21"/>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flows from operating activities increased as a result of our continued revenue growth. This growth was due to increased rental rates and an increase in the number of stores we own and operate.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196"/>
        </w:trPr>
        <w:tc>
          <w:tcPr>
            <w:tcW w:w="83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169,339</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(60,573)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(246,975)</w:t>
            </w:r>
          </w:p>
        </w:tc>
      </w:tr>
      <w:tr>
        <w:trPr>
          <w:trHeight w:val="27"/>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51,774</w:t>
            </w:r>
          </w:p>
        </w:tc>
      </w:tr>
      <w:tr>
        <w:trPr>
          <w:trHeight w:val="270"/>
        </w:trPr>
        <w:tc>
          <w:tcPr>
            <w:tcW w:w="8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Significant components of net cash flow included: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116,162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102,160</w:t>
            </w:r>
          </w:p>
        </w:tc>
      </w:tr>
      <w:tr>
        <w:trPr>
          <w:trHeight w:val="27"/>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54,659</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Acquisition and development of new stores</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(45,537)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(228,398)</w:t>
            </w:r>
          </w:p>
        </w:tc>
      </w:tr>
      <w:tr>
        <w:trPr>
          <w:trHeight w:val="27"/>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Net proceeds (payments) from our debt financing</w:t>
            </w:r>
          </w:p>
        </w:tc>
        <w:tc>
          <w:tcPr>
            <w:tcW w:w="1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75,492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168,052</w:t>
            </w:r>
          </w:p>
        </w:tc>
      </w:tr>
      <w:tr>
        <w:trPr>
          <w:trHeight w:val="27"/>
        </w:trPr>
        <w:tc>
          <w:tcPr>
            <w:tcW w:w="8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on common stock</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(117,197)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(109,523)</w:t>
            </w:r>
          </w:p>
        </w:tc>
      </w:tr>
      <w:tr>
        <w:trPr>
          <w:trHeight w:val="27"/>
        </w:trPr>
        <w:tc>
          <w:tcPr>
            <w:tcW w:w="8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1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expect to generate positive cash flow from operations in 2020,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2020, we had $93,297 available in cash and cash equivalents. Our cash and cash equivalents are held in accounts managed by third party financial institutions and consist of invested cash and cash in our operating accounts. During 2020 and 2019, we experienced no loss or lack of access to our cash or cash equivalents; however, there can be no assurance that access to our cash and cash equivalents will not be impacted by adverse conditions in the financial markets.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2020, we had $5,151,993 face value of debt, resulting in a debt to total enterprise value ratio of 27.9%. As of March 31, 2020, the ratio of total fixed-rate debt and other instruments to total debt was 78.3% (including $2,333,276 on which we have interest rate swaps that have been included as fixed-rate debt). The weighted average interest rate of the total of fixed- and variable-rate debt at March 31, 2020 was 3.1%. Certain of our real estate assets are pledged as collateral for our debt. We are subject to certain restrictive covenants relating to our outstanding debt. We were in compliance with all financial covenants at March 31, 2020.</w:t>
      </w:r>
    </w:p>
    <w:p>
      <w:pPr>
        <w:spacing w:after="0" w:line="215"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43" w:lineRule="auto"/>
        <w:rPr>
          <w:sz w:val="20"/>
          <w:szCs w:val="20"/>
          <w:color w:val="auto"/>
        </w:rPr>
      </w:pPr>
      <w:r>
        <w:rPr>
          <w:rFonts w:ascii="Arial" w:cs="Arial" w:eastAsia="Arial" w:hAnsi="Arial"/>
          <w:sz w:val="18"/>
          <w:szCs w:val="18"/>
          <w:color w:val="auto"/>
        </w:rPr>
        <w:t>The COVID-19 Pandemic has had negative impacts on the cost of debt and equity capital, and may continue to do so or such negative impacts could intensify. Based upon the current availability of our credit facility and our credit rating, we do not expect such capital market dislocations to have a material impact upon our ability to satisfy obligations and maturities or our growth plans during the year. However, there can be no assurance that they would not in the future, if they were to persist for a long period of time or intensify.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6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 of March 31, 2020, we had approximately $5.2 billion in total face value of debt, of which approximately $1.1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$11.2 million annually.</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10"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2019, which could materially affect our business, financial condition and results of operations. Except as described below, there have been no material changes to the risk factors described in the “Risk Factors” section in our Annual Report on Form 10-K for the year ended December 31, 2019.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1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current COVID-19 pandemic, or the future outbreak of other highly infectious or contagious diseases, could materially and adversely affect our financial condition, operating results and cash flows.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outbreak of COVID-19, which has rapidly spread to a growing number of countries, including the United States and the specific regions in which our stores are located, has created considerable instability and disruption in the U.S. and world economies. Considerable uncertainty still surrounds COVID-19 and its potential effects, as well as the extent of and effectiveness of any responses taken on a national and local level. However, measures taken to limit the impact of COVID-19, including “social distancing” and other restrictions on travel, congregation and business operations have already resulted in significant negative economic impacts. The long-term impact of COVID-19 on the U.S. and world economies remains uncertain, but is likely to result in a world-wide economic downturn, the duration and scope of which cannot currently be predicted. The extent to which our financial condition or operating results will continue to be affected by the COVID-19 pandemic will largely depend on future developments, which are highly uncertain and cannot be accurately predicted.</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operating results depend, in large part, on revenues derived from the demand for self-storage space. If the outbreak causes further weakness in national, regional and local economies that negatively impacts the demand for self-storage space, our financial condition, operating results and cash flows could be adversely impacted. The spread of COVID-19 could also result in further increases in unemployment, and customers that experience deteriorating financing conditions as a result of the pandemic may be unwilling or unable to pay rent on a timely basis, or at all. Additionally, certain states and cities, including where we own or operate stores, have reacted to the COVID-19 pandemic by instituting quarantines, restrictions on travel, “stay-at-home” orders and business shutdowns, which could result in the Company being required to close access at some stores to customers. Certain states have also put into effect state of emergency orders which may restrict our ability to increase rent or evict delinquent tenants. In addition, we typically conduct many aspects of our leasing activity on-site at our stores, as well as offer various ancillary products, including moving and packing supplies, and other services, such as</w:t>
      </w:r>
    </w:p>
    <w:p>
      <w:pPr>
        <w:spacing w:after="0" w:line="4"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tenant reinsurance. Accordingly, reductions in the ability and willingness of customers to visit our facilities due to the COVID-19 pandemic could reduce rental revenue and ancillary operating revenue produced by our facilities. Concerns relating to the COVID-19 pandemic could also cause our on-site personnel to avoid reporting for work at our facilities, which could adversely affect our ability to adequately manage our facilities. Such restrictions may reduce demand for self-storage facilities which could negatively impact occupancy and rental rates and therefore our results of operations and cash flows.</w:t>
      </w:r>
    </w:p>
    <w:p>
      <w:pPr>
        <w:spacing w:after="0" w:line="16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Additionally, market fluctuations as a result of the COVID-19 pandemic may affect our ability to obtain necessary funds for our operations from current lenders or new borrowings. We may be unable to obtain financing for the acquisition of investments on satisfactory terms, or at all. In addition, moratoriums on construction and macro-economic factors may cause construction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line="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contractors to be unable to perform, which may delay the start or completion of certain development projects by us or our joint venture partners. Further, while we carry comprehensive property and casualty insurance along with other insurance policies that may provide some coverage for any losses or costs incurred in connection with the COVID-19 pandemic, given the novelty of the issue and the scale of losses incurred throughout the world, there can be no assurance that we will be able to recover all or any portion of our losses and costs under these policies. The occurrence of any of the foregoing events or any other related matters could have a material adverse effect on our business, financial condition, results of operations or cash flows.</w:t>
      </w:r>
    </w:p>
    <w:p>
      <w:pPr>
        <w:spacing w:after="0" w:line="18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global impact of the COVID-19 pandemic continues to evolve rapidly, and the extent of its effect on our operational and financial performance will depend on future developments, which are highly uncertain and cannot be predicted with confidence, including the duration, scope and severity of the pandemic, the actions taken to contain or mitigate its impact, and the direct and indirect economic effects of the pandemic and related containment measures, among others. However, the COVID-19 pandemic presents material uncertainty and risk with respect to our financial condition, operating results and cash flows. Moreover, to the extent any of these risks and uncertainties adversely impact us in the ways described above or otherwise, they may also have the effect of heightening many of the other risks set forth in our Annual Report on Form 10-K for the year ended December 31, 2019. In addition, if in the future there is an outbreak of another highly infectious or contagious disease or other health concern, we and our properties may be subject to similar risks as posed by COVID-19.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During the three months ended March 31, 2020, we repurchased 653,597 shares of common stock for approximately $52.2 million under our stock repurchase program approved by our board of directors.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to the Condensed Consolidated Financial Statements contained in Part I, Item 1 of this report for additional details.</w:t>
      </w:r>
    </w:p>
    <w:p>
      <w:pPr>
        <w:spacing w:after="0" w:line="20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presents information regarding repurchases by us of common stock during the three months ended March 31, 2020 under the stock repurchase program.</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5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 Paid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1320" w:type="dxa"/>
            <w:vAlign w:val="bottom"/>
          </w:tcPr>
          <w:p>
            <w:pPr>
              <w:jc w:val="right"/>
              <w:ind w:right="76"/>
              <w:spacing w:after="0"/>
              <w:rPr>
                <w:sz w:val="20"/>
                <w:szCs w:val="20"/>
                <w:color w:val="auto"/>
              </w:rPr>
            </w:pPr>
            <w:r>
              <w:rPr>
                <w:rFonts w:ascii="Arial" w:cs="Arial" w:eastAsia="Arial" w:hAnsi="Arial"/>
                <w:sz w:val="14"/>
                <w:szCs w:val="14"/>
                <w:b w:val="1"/>
                <w:bCs w:val="1"/>
                <w:color w:val="auto"/>
              </w:rPr>
              <w:t>Shares Purchase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2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Program (in thousands)</w:t>
            </w:r>
          </w:p>
        </w:tc>
        <w:tc>
          <w:tcPr>
            <w:tcW w:w="0" w:type="dxa"/>
            <w:vAlign w:val="bottom"/>
          </w:tcPr>
          <w:p>
            <w:pPr>
              <w:spacing w:after="0"/>
              <w:rPr>
                <w:sz w:val="1"/>
                <w:szCs w:val="1"/>
                <w:color w:val="auto"/>
              </w:rPr>
            </w:pPr>
          </w:p>
        </w:tc>
      </w:tr>
      <w:tr>
        <w:trPr>
          <w:trHeight w:val="202"/>
        </w:trPr>
        <w:tc>
          <w:tcPr>
            <w:tcW w:w="454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January 1 - January 31, 2020</w:t>
            </w: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February 1 – February 29, 2020</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March 1 – March 31, 2020</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653,597</w:t>
            </w:r>
          </w:p>
        </w:tc>
        <w:tc>
          <w:tcPr>
            <w:tcW w:w="44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79.85</w:t>
            </w:r>
          </w:p>
        </w:tc>
        <w:tc>
          <w:tcPr>
            <w:tcW w:w="2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653,597</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$347,796</w:t>
            </w:r>
          </w:p>
        </w:tc>
        <w:tc>
          <w:tcPr>
            <w:tcW w:w="0" w:type="dxa"/>
            <w:vAlign w:val="bottom"/>
          </w:tcPr>
          <w:p>
            <w:pPr>
              <w:spacing w:after="0"/>
              <w:rPr>
                <w:sz w:val="1"/>
                <w:szCs w:val="1"/>
                <w:color w:val="auto"/>
              </w:rPr>
            </w:pPr>
          </w:p>
        </w:tc>
      </w:tr>
      <w:tr>
        <w:trPr>
          <w:trHeight w:val="224"/>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653,597</w:t>
            </w:r>
          </w:p>
        </w:tc>
        <w:tc>
          <w:tcPr>
            <w:tcW w:w="4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79.85</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653,597</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$347,796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42">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171" w:lineRule="exact"/>
        <w:rPr>
          <w:sz w:val="20"/>
          <w:szCs w:val="20"/>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43">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171" w:lineRule="exact"/>
        <w:rPr>
          <w:sz w:val="20"/>
          <w:szCs w:val="20"/>
          <w:color w:val="auto"/>
        </w:rPr>
      </w:pPr>
    </w:p>
    <w:p>
      <w:pPr>
        <w:ind w:left="740" w:hanging="566"/>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44">
        <w:r>
          <w:rPr>
            <w:rFonts w:ascii="Arial" w:cs="Arial" w:eastAsia="Arial" w:hAnsi="Arial"/>
            <w:sz w:val="18"/>
            <w:szCs w:val="18"/>
            <w:u w:val="single" w:color="auto"/>
            <w:color w:val="0000FF"/>
          </w:rPr>
          <w:t>Certifications of the Chief Executive Officer and Chief Financial Officer pursuant to 18 U.S.C. Section 1350, as adopted pursuant to Section 906 of</w:t>
        </w:r>
      </w:hyperlink>
      <w:r>
        <w:rPr>
          <w:rFonts w:ascii="Arial" w:cs="Arial" w:eastAsia="Arial" w:hAnsi="Arial"/>
          <w:sz w:val="18"/>
          <w:szCs w:val="18"/>
          <w:color w:val="auto"/>
        </w:rPr>
        <w:t xml:space="preserve"> </w:t>
      </w:r>
      <w:hyperlink w:anchor="page44">
        <w:r>
          <w:rPr>
            <w:rFonts w:ascii="Arial" w:cs="Arial" w:eastAsia="Arial" w:hAnsi="Arial"/>
            <w:sz w:val="18"/>
            <w:szCs w:val="18"/>
            <w:u w:val="single" w:color="auto"/>
            <w:color w:val="0000FF"/>
          </w:rPr>
          <w:t>the Sarbanes-Oxley Act of 2002.</w:t>
        </w:r>
      </w:hyperlink>
    </w:p>
    <w:p>
      <w:pPr>
        <w:spacing w:after="0" w:line="116" w:lineRule="exact"/>
        <w:rPr>
          <w:sz w:val="20"/>
          <w:szCs w:val="20"/>
          <w:color w:val="auto"/>
        </w:rPr>
      </w:pPr>
    </w:p>
    <w:p>
      <w:pPr>
        <w:ind w:left="740" w:right="60" w:hanging="570"/>
        <w:spacing w:after="0" w:line="301" w:lineRule="auto"/>
        <w:tabs>
          <w:tab w:leader="none" w:pos="53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March 31, 2020,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6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EXTRA SPACE STORAGE INC.</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Registrant</w:t>
      </w:r>
    </w:p>
    <w:p>
      <w:pPr>
        <w:spacing w:after="0" w:line="333" w:lineRule="exact"/>
        <w:rPr>
          <w:sz w:val="20"/>
          <w:szCs w:val="20"/>
          <w:color w:val="auto"/>
        </w:rPr>
      </w:pPr>
    </w:p>
    <w:p>
      <w:pPr>
        <w:ind w:left="20"/>
        <w:spacing w:after="0"/>
        <w:tabs>
          <w:tab w:leader="none" w:pos="63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30346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Joseph D. Margolis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20"/>
        <w:spacing w:after="0"/>
        <w:tabs>
          <w:tab w:leader="none" w:pos="63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5"/>
          <w:szCs w:val="15"/>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30346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 Scott Stubbs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17"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8, 2020</w:t>
            </w:r>
          </w:p>
        </w:tc>
        <w:tc>
          <w:tcPr>
            <w:tcW w:w="2520" w:type="dxa"/>
            <w:vAlign w:val="bottom"/>
          </w:tcPr>
          <w:p>
            <w:pPr>
              <w:ind w:left="1840"/>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Joseph D. Margolis</w:t>
            </w:r>
          </w:p>
        </w:tc>
      </w:tr>
      <w:tr>
        <w:trPr>
          <w:trHeight w:val="27"/>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520" w:type="dxa"/>
            <w:vAlign w:val="bottom"/>
          </w:tcPr>
          <w:p>
            <w:pPr>
              <w:ind w:left="184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70"/>
        </w:trPr>
        <w:tc>
          <w:tcPr>
            <w:tcW w:w="3200" w:type="dxa"/>
            <w:vAlign w:val="bottom"/>
          </w:tcPr>
          <w:p>
            <w:pPr>
              <w:spacing w:after="0"/>
              <w:rPr>
                <w:sz w:val="23"/>
                <w:szCs w:val="23"/>
                <w:color w:val="auto"/>
              </w:rPr>
            </w:pPr>
          </w:p>
        </w:tc>
        <w:tc>
          <w:tcPr>
            <w:tcW w:w="2520" w:type="dxa"/>
            <w:vAlign w:val="bottom"/>
          </w:tcPr>
          <w:p>
            <w:pPr>
              <w:ind w:left="184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5040" w:val="left"/>
          <w:tab w:leader="none" w:pos="57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63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5740" w:val="left"/>
        </w:tabs>
        <w:rPr>
          <w:sz w:val="20"/>
          <w:szCs w:val="20"/>
          <w:color w:val="auto"/>
        </w:rPr>
      </w:pPr>
      <w:r>
        <w:rPr>
          <w:rFonts w:ascii="Arial" w:cs="Arial" w:eastAsia="Arial" w:hAnsi="Arial"/>
          <w:sz w:val="18"/>
          <w:szCs w:val="18"/>
          <w:color w:val="auto"/>
        </w:rPr>
        <w:t>Name:</w:t>
        <w:tab/>
        <w:t>P. Scott Stubbs</w:t>
      </w:r>
    </w:p>
    <w:p>
      <w:pPr>
        <w:spacing w:after="0" w:line="63" w:lineRule="exact"/>
        <w:rPr>
          <w:sz w:val="20"/>
          <w:szCs w:val="20"/>
          <w:color w:val="auto"/>
        </w:rPr>
      </w:pPr>
    </w:p>
    <w:p>
      <w:pPr>
        <w:ind w:left="5060"/>
        <w:spacing w:after="0"/>
        <w:tabs>
          <w:tab w:leader="none" w:pos="5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6"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Joseph D. Margolis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0" w:type="dxa"/>
            <w:vAlign w:val="bottom"/>
            <w:vMerge w:val="continue"/>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May 8, 2020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6"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P. Scott Stubbs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May 8, 2020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lvl w:ilvl="1">
      <w:lvlJc w:val="left"/>
      <w:lvlText w:val="%2."/>
      <w:numFmt w:val="decimal"/>
      <w:start w:val="6"/>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10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2020-05-08T15:31:40Z</dcterms:created>
  <dcterms:modified xsi:type="dcterms:W3CDTF">2020-05-08T15:31:40Z</dcterms:modified>
</cp:coreProperties>
</file>