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2360930</wp:posOffset>
            </wp:positionH>
            <wp:positionV relativeFrom="paragraph">
              <wp:posOffset>-219710</wp:posOffset>
            </wp:positionV>
            <wp:extent cx="25355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35555" cy="8255"/>
                    </a:xfrm>
                    <a:prstGeom prst="rect">
                      <a:avLst/>
                    </a:prstGeom>
                    <a:noFill/>
                  </pic:spPr>
                </pic:pic>
              </a:graphicData>
            </a:graphic>
          </wp:anchor>
        </w:drawing>
        <w:drawing>
          <wp:anchor simplePos="0" relativeHeight="251657728" behindDoc="1" locked="0" layoutInCell="0" allowOverlap="1">
            <wp:simplePos x="0" y="0"/>
            <wp:positionH relativeFrom="column">
              <wp:posOffset>2360930</wp:posOffset>
            </wp:positionH>
            <wp:positionV relativeFrom="paragraph">
              <wp:posOffset>105410</wp:posOffset>
            </wp:positionV>
            <wp:extent cx="25355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35555" cy="8255"/>
                    </a:xfrm>
                    <a:prstGeom prst="rect">
                      <a:avLst/>
                    </a:prstGeom>
                    <a:noFill/>
                  </pic:spPr>
                </pic:pic>
              </a:graphicData>
            </a:graphic>
          </wp:anchor>
        </w:drawing>
      </w:r>
    </w:p>
    <w:p>
      <w:pPr>
        <w:spacing w:after="0" w:line="26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8"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98" w:lineRule="exact"/>
        <w:rPr>
          <w:rFonts w:ascii="Arial" w:cs="Arial" w:eastAsia="Arial" w:hAnsi="Arial"/>
          <w:sz w:val="20"/>
          <w:szCs w:val="20"/>
          <w:color w:val="auto"/>
        </w:rPr>
      </w:pPr>
    </w:p>
    <w:p>
      <w:pPr>
        <w:ind w:left="4020"/>
        <w:spacing w:after="0"/>
        <w:rPr>
          <w:rFonts w:ascii="Arial" w:cs="Arial" w:eastAsia="Arial" w:hAnsi="Arial"/>
          <w:sz w:val="20"/>
          <w:szCs w:val="20"/>
          <w:color w:val="auto"/>
        </w:rPr>
      </w:pPr>
      <w:r>
        <w:rPr>
          <w:rFonts w:ascii="Arial" w:cs="Arial" w:eastAsia="Arial" w:hAnsi="Arial"/>
          <w:sz w:val="18"/>
          <w:szCs w:val="18"/>
          <w:b w:val="1"/>
          <w:bCs w:val="1"/>
          <w:color w:val="auto"/>
        </w:rPr>
        <w:t>For the fiscal year ended December 31, 2016</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58" w:lineRule="exact"/>
        <w:rPr>
          <w:sz w:val="24"/>
          <w:szCs w:val="24"/>
          <w:color w:val="auto"/>
        </w:rPr>
      </w:pPr>
    </w:p>
    <w:p>
      <w:pPr>
        <w:ind w:left="720" w:hanging="685"/>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420"/>
          </w:cols>
          <w:pgMar w:left="240" w:top="966" w:right="239" w:bottom="1440" w:gutter="0" w:footer="0" w:header="0"/>
        </w:sectPr>
      </w:pPr>
    </w:p>
    <w:p>
      <w:pPr>
        <w:spacing w:after="0" w:line="114" w:lineRule="exact"/>
        <w:rPr>
          <w:sz w:val="24"/>
          <w:szCs w:val="24"/>
          <w:color w:val="auto"/>
        </w:rPr>
      </w:pPr>
    </w:p>
    <w:p>
      <w:pPr>
        <w:ind w:left="388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95" w:lineRule="exact"/>
        <w:rPr>
          <w:sz w:val="24"/>
          <w:szCs w:val="24"/>
          <w:color w:val="auto"/>
        </w:rPr>
      </w:pPr>
    </w:p>
    <w:p>
      <w:pPr>
        <w:sectPr>
          <w:pgSz w:w="11900" w:h="16838" w:orient="portrait"/>
          <w:cols w:equalWidth="0" w:num="3">
            <w:col w:w="5980" w:space="720"/>
            <w:col w:w="120" w:space="700"/>
            <w:col w:w="3900"/>
          </w:cols>
          <w:pgMar w:left="240" w:top="966"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Commission File Number: 001-32269</w:t>
      </w:r>
    </w:p>
    <w:p>
      <w:pPr>
        <w:sectPr>
          <w:pgSz w:w="11900" w:h="16838" w:orient="portrait"/>
          <w:cols w:equalWidth="0" w:num="1">
            <w:col w:w="11420"/>
          </w:cols>
          <w:pgMar w:left="240" w:top="966" w:right="239" w:bottom="1440" w:gutter="0" w:footer="0" w:header="0"/>
          <w:type w:val="continuous"/>
        </w:sect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EXTRA SPACE STORAGE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2360930</wp:posOffset>
            </wp:positionH>
            <wp:positionV relativeFrom="paragraph">
              <wp:posOffset>-278130</wp:posOffset>
            </wp:positionV>
            <wp:extent cx="25355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35555" cy="8255"/>
                    </a:xfrm>
                    <a:prstGeom prst="rect">
                      <a:avLst/>
                    </a:prstGeom>
                    <a:noFill/>
                  </pic:spPr>
                </pic:pic>
              </a:graphicData>
            </a:graphic>
          </wp:anchor>
        </w:drawing>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2360930</wp:posOffset>
            </wp:positionH>
            <wp:positionV relativeFrom="paragraph">
              <wp:posOffset>86360</wp:posOffset>
            </wp:positionV>
            <wp:extent cx="25355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5555" cy="8255"/>
                    </a:xfrm>
                    <a:prstGeom prst="rect">
                      <a:avLst/>
                    </a:prstGeom>
                    <a:noFill/>
                  </pic:spPr>
                </pic:pic>
              </a:graphicData>
            </a:graphic>
          </wp:anchor>
        </w:drawing>
      </w:r>
    </w:p>
    <w:p>
      <w:pPr>
        <w:spacing w:after="0" w:line="399" w:lineRule="exact"/>
        <w:rPr>
          <w:sz w:val="24"/>
          <w:szCs w:val="24"/>
          <w:color w:val="auto"/>
        </w:rPr>
      </w:pPr>
    </w:p>
    <w:tbl>
      <w:tblPr>
        <w:tblLayout w:type="fixed"/>
        <w:tblInd w:w="2400" w:type="dxa"/>
        <w:tblCellMar>
          <w:top w:w="0" w:type="dxa"/>
          <w:left w:w="0" w:type="dxa"/>
          <w:bottom w:w="0" w:type="dxa"/>
          <w:right w:w="0" w:type="dxa"/>
        </w:tblCellMar>
      </w:tblPr>
      <w:tr>
        <w:trPr>
          <w:trHeight w:val="210"/>
        </w:trPr>
        <w:tc>
          <w:tcPr>
            <w:tcW w:w="3300" w:type="dxa"/>
            <w:vAlign w:val="bottom"/>
          </w:tcPr>
          <w:p>
            <w:pPr>
              <w:spacing w:after="0"/>
              <w:rPr>
                <w:sz w:val="20"/>
                <w:szCs w:val="20"/>
                <w:color w:val="auto"/>
              </w:rPr>
            </w:pPr>
            <w:r>
              <w:rPr>
                <w:rFonts w:ascii="Arial" w:cs="Arial" w:eastAsia="Arial" w:hAnsi="Arial"/>
                <w:sz w:val="16"/>
                <w:szCs w:val="16"/>
                <w:b w:val="1"/>
                <w:bCs w:val="1"/>
                <w:color w:val="auto"/>
              </w:rPr>
              <w:t>Maryland</w:t>
            </w:r>
          </w:p>
        </w:tc>
        <w:tc>
          <w:tcPr>
            <w:tcW w:w="3380" w:type="dxa"/>
            <w:vAlign w:val="bottom"/>
          </w:tcPr>
          <w:p>
            <w:pPr>
              <w:jc w:val="right"/>
              <w:spacing w:after="0"/>
              <w:rPr>
                <w:sz w:val="20"/>
                <w:szCs w:val="20"/>
                <w:color w:val="auto"/>
              </w:rPr>
            </w:pPr>
            <w:r>
              <w:rPr>
                <w:rFonts w:ascii="Arial" w:cs="Arial" w:eastAsia="Arial" w:hAnsi="Arial"/>
                <w:sz w:val="16"/>
                <w:szCs w:val="16"/>
                <w:b w:val="1"/>
                <w:bCs w:val="1"/>
                <w:color w:val="auto"/>
              </w:rPr>
              <w:t>20-1076777</w:t>
            </w:r>
          </w:p>
        </w:tc>
      </w:tr>
    </w:tbl>
    <w:p>
      <w:pPr>
        <w:spacing w:after="0" w:line="42" w:lineRule="exact"/>
        <w:rPr>
          <w:sz w:val="24"/>
          <w:szCs w:val="24"/>
          <w:color w:val="auto"/>
        </w:rPr>
      </w:pPr>
    </w:p>
    <w:p>
      <w:pPr>
        <w:sectPr>
          <w:pgSz w:w="11900" w:h="16838" w:orient="portrait"/>
          <w:cols w:equalWidth="0" w:num="1">
            <w:col w:w="11420"/>
          </w:cols>
          <w:pgMar w:left="240" w:top="966" w:right="239" w:bottom="1440" w:gutter="0" w:footer="0" w:header="0"/>
          <w:type w:val="continuous"/>
        </w:sectPr>
      </w:pPr>
    </w:p>
    <w:p>
      <w:pPr>
        <w:ind w:left="1620"/>
        <w:spacing w:after="0"/>
        <w:rPr>
          <w:sz w:val="20"/>
          <w:szCs w:val="20"/>
          <w:color w:val="auto"/>
        </w:rPr>
      </w:pPr>
      <w:r>
        <w:rPr>
          <w:rFonts w:ascii="Arial" w:cs="Arial" w:eastAsia="Arial" w:hAnsi="Arial"/>
          <w:sz w:val="16"/>
          <w:szCs w:val="16"/>
          <w:b w:val="1"/>
          <w:bCs w:val="1"/>
          <w:color w:val="auto"/>
        </w:rPr>
        <w:t>(State or other jurisdiction of</w:t>
      </w:r>
    </w:p>
    <w:p>
      <w:pPr>
        <w:spacing w:after="0" w:line="50"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b w:val="1"/>
          <w:bCs w:val="1"/>
          <w:color w:val="auto"/>
        </w:rPr>
        <w:t>(I.R.S. Employer</w:t>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Identification No.)</w:t>
      </w:r>
    </w:p>
    <w:p>
      <w:pPr>
        <w:spacing w:after="0" w:line="112" w:lineRule="exact"/>
        <w:rPr>
          <w:sz w:val="24"/>
          <w:szCs w:val="24"/>
          <w:color w:val="auto"/>
        </w:rPr>
      </w:pPr>
    </w:p>
    <w:p>
      <w:pPr>
        <w:sectPr>
          <w:pgSz w:w="11900" w:h="16838" w:orient="portrait"/>
          <w:cols w:equalWidth="0" w:num="2">
            <w:col w:w="7260" w:space="720"/>
            <w:col w:w="3440"/>
          </w:cols>
          <w:pgMar w:left="240" w:top="966"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2795 East Cottonwood Parkway, Suite 400</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Salt Lake City, Utah 84121</w:t>
      </w:r>
    </w:p>
    <w:p>
      <w:pPr>
        <w:jc w:val="center"/>
        <w:spacing w:after="0"/>
        <w:rPr>
          <w:sz w:val="20"/>
          <w:szCs w:val="20"/>
          <w:color w:val="auto"/>
        </w:rPr>
      </w:pPr>
      <w:r>
        <w:rPr>
          <w:rFonts w:ascii="Arial" w:cs="Arial" w:eastAsia="Arial" w:hAnsi="Arial"/>
          <w:sz w:val="12"/>
          <w:szCs w:val="12"/>
          <w:b w:val="1"/>
          <w:bCs w:val="1"/>
          <w:color w:val="auto"/>
        </w:rPr>
        <w:t>(Address of principal executive offices and zip code)</w:t>
      </w:r>
    </w:p>
    <w:p>
      <w:pPr>
        <w:sectPr>
          <w:pgSz w:w="11900" w:h="16838" w:orient="portrait"/>
          <w:cols w:equalWidth="0" w:num="1">
            <w:col w:w="11420"/>
          </w:cols>
          <w:pgMar w:left="240" w:top="966" w:right="239" w:bottom="1440" w:gutter="0" w:footer="0" w:header="0"/>
          <w:type w:val="continuous"/>
        </w:sectPr>
      </w:pPr>
    </w:p>
    <w:p>
      <w:pPr>
        <w:spacing w:after="0" w:line="8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(801) 365-4600</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54" w:lineRule="exact"/>
        <w:rPr>
          <w:sz w:val="24"/>
          <w:szCs w:val="24"/>
          <w:color w:val="auto"/>
        </w:rPr>
      </w:pPr>
    </w:p>
    <w:tbl>
      <w:tblPr>
        <w:tblLayout w:type="fixed"/>
        <w:tblInd w:w="166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5320" w:type="dxa"/>
            <w:vAlign w:val="bottom"/>
            <w:gridSpan w:val="2"/>
          </w:tcPr>
          <w:p>
            <w:pPr>
              <w:jc w:val="center"/>
              <w:ind w:right="4180"/>
              <w:spacing w:after="0"/>
              <w:rPr>
                <w:sz w:val="20"/>
                <w:szCs w:val="20"/>
                <w:color w:val="auto"/>
              </w:rPr>
            </w:pPr>
            <w:r>
              <w:rPr>
                <w:rFonts w:ascii="Arial" w:cs="Arial" w:eastAsia="Arial" w:hAnsi="Arial"/>
                <w:sz w:val="14"/>
                <w:szCs w:val="14"/>
                <w:b w:val="1"/>
                <w:bCs w:val="1"/>
                <w:color w:val="auto"/>
                <w:w w:val="91"/>
              </w:rPr>
              <w:t>Title of Each Class</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20"/>
        </w:trPr>
        <w:tc>
          <w:tcPr>
            <w:tcW w:w="5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r>
        <w:trPr>
          <w:trHeight w:val="244"/>
        </w:trPr>
        <w:tc>
          <w:tcPr>
            <w:tcW w:w="5840" w:type="dxa"/>
            <w:vAlign w:val="bottom"/>
            <w:gridSpan w:val="3"/>
          </w:tcPr>
          <w:p>
            <w:pPr>
              <w:jc w:val="center"/>
              <w:ind w:right="3640"/>
              <w:spacing w:after="0"/>
              <w:rPr>
                <w:sz w:val="20"/>
                <w:szCs w:val="20"/>
                <w:color w:val="auto"/>
              </w:rPr>
            </w:pPr>
            <w:r>
              <w:rPr>
                <w:rFonts w:ascii="Arial" w:cs="Arial" w:eastAsia="Arial" w:hAnsi="Arial"/>
                <w:sz w:val="16"/>
                <w:szCs w:val="16"/>
                <w:b w:val="1"/>
                <w:bCs w:val="1"/>
                <w:color w:val="auto"/>
                <w:w w:val="91"/>
              </w:rPr>
              <w:t>Common Stock, $0.01 par value</w:t>
            </w:r>
          </w:p>
        </w:tc>
        <w:tc>
          <w:tcPr>
            <w:tcW w:w="2360" w:type="dxa"/>
            <w:vAlign w:val="bottom"/>
          </w:tcPr>
          <w:p>
            <w:pPr>
              <w:jc w:val="center"/>
              <w:spacing w:after="0"/>
              <w:rPr>
                <w:sz w:val="20"/>
                <w:szCs w:val="20"/>
                <w:color w:val="auto"/>
              </w:rPr>
            </w:pPr>
            <w:r>
              <w:rPr>
                <w:rFonts w:ascii="Arial" w:cs="Arial" w:eastAsia="Arial" w:hAnsi="Arial"/>
                <w:sz w:val="16"/>
                <w:szCs w:val="16"/>
                <w:b w:val="1"/>
                <w:bCs w:val="1"/>
                <w:color w:val="auto"/>
                <w:w w:val="90"/>
              </w:rPr>
              <w:t>New York Stock Exchange, Inc.</w:t>
            </w:r>
          </w:p>
        </w:tc>
      </w:tr>
    </w:tbl>
    <w:p>
      <w:pPr>
        <w:spacing w:after="0" w:line="8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2360930</wp:posOffset>
            </wp:positionH>
            <wp:positionV relativeFrom="paragraph">
              <wp:posOffset>234315</wp:posOffset>
            </wp:positionV>
            <wp:extent cx="25355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35555" cy="8255"/>
                    </a:xfrm>
                    <a:prstGeom prst="rect">
                      <a:avLst/>
                    </a:prstGeom>
                    <a:noFill/>
                  </pic:spPr>
                </pic:pic>
              </a:graphicData>
            </a:graphic>
          </wp:anchor>
        </w:drawing>
      </w:r>
    </w:p>
    <w:p>
      <w:pPr>
        <w:sectPr>
          <w:pgSz w:w="11900" w:h="16838" w:orient="portrait"/>
          <w:cols w:equalWidth="0" w:num="1">
            <w:col w:w="11420"/>
          </w:cols>
          <w:pgMar w:left="240" w:top="966"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Yes 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4">
            <w:col w:w="7940" w:space="140"/>
            <w:col w:w="400" w:space="160"/>
            <w:col w:w="200" w:space="80"/>
            <w:col w:w="2500"/>
          </w:cols>
          <w:pgMar w:left="240" w:top="966" w:right="239" w:bottom="1440" w:gutter="0" w:footer="0" w:header="0"/>
          <w:type w:val="continuous"/>
        </w:sectPr>
      </w:pPr>
    </w:p>
    <w:p>
      <w:pPr>
        <w:spacing w:after="0" w:line="30"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72" w:lineRule="exact"/>
        <w:rPr>
          <w:sz w:val="24"/>
          <w:szCs w:val="24"/>
          <w:color w:val="auto"/>
        </w:rPr>
      </w:pPr>
    </w:p>
    <w:p>
      <w:pPr>
        <w:sectPr>
          <w:pgSz w:w="11900" w:h="16838" w:orient="portrait"/>
          <w:cols w:equalWidth="0" w:num="4">
            <w:col w:w="8080" w:space="160"/>
            <w:col w:w="220" w:space="80"/>
            <w:col w:w="160" w:space="160"/>
            <w:col w:w="2560"/>
          </w:cols>
          <w:pgMar w:left="240" w:top="966" w:right="239" w:bottom="1440" w:gutter="0" w:footer="0" w:header="0"/>
          <w:type w:val="continuous"/>
        </w:sectPr>
      </w:pPr>
    </w:p>
    <w:p>
      <w:pPr>
        <w:jc w:val="both"/>
        <w:ind w:right="54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34" w:lineRule="exact"/>
        <w:rPr>
          <w:sz w:val="24"/>
          <w:szCs w:val="24"/>
          <w:color w:val="auto"/>
        </w:rPr>
      </w:pPr>
    </w:p>
    <w:p>
      <w:pPr>
        <w:ind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34" w:lineRule="exact"/>
        <w:rPr>
          <w:sz w:val="24"/>
          <w:szCs w:val="24"/>
          <w:color w:val="auto"/>
        </w:rPr>
      </w:pPr>
    </w:p>
    <w:p>
      <w:pPr>
        <w:ind w:right="640" w:firstLine="324"/>
        <w:spacing w:after="0" w:line="206"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of this Form 10-K. </w:t>
      </w:r>
      <w:r>
        <w:rPr>
          <w:rFonts w:ascii="MS PGothic" w:cs="MS PGothic" w:eastAsia="MS PGothic" w:hAnsi="MS PGothic"/>
          <w:sz w:val="14"/>
          <w:szCs w:val="14"/>
          <w:color w:val="auto"/>
        </w:rPr>
        <w:t>☐</w:t>
      </w:r>
    </w:p>
    <w:p>
      <w:pPr>
        <w:spacing w:after="0" w:line="33" w:lineRule="exact"/>
        <w:rPr>
          <w:sz w:val="24"/>
          <w:szCs w:val="24"/>
          <w:color w:val="auto"/>
        </w:rPr>
      </w:pPr>
    </w:p>
    <w:p>
      <w:pPr>
        <w:ind w:right="40" w:firstLine="324"/>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966" w:right="239" w:bottom="1440" w:gutter="0" w:footer="0" w:header="0"/>
          <w:type w:val="continuous"/>
        </w:sectPr>
      </w:pPr>
    </w:p>
    <w:p>
      <w:pPr>
        <w:spacing w:after="0" w:line="131"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4" w:lineRule="exact"/>
        <w:rPr>
          <w:sz w:val="24"/>
          <w:szCs w:val="24"/>
          <w:color w:val="auto"/>
        </w:rPr>
      </w:pPr>
    </w:p>
    <w:p>
      <w:pPr>
        <w:sectPr>
          <w:pgSz w:w="11900" w:h="16838" w:orient="portrait"/>
          <w:cols w:equalWidth="0" w:num="4">
            <w:col w:w="1480" w:space="500"/>
            <w:col w:w="3980" w:space="720"/>
            <w:col w:w="3700" w:space="720"/>
            <w:col w:w="320"/>
          </w:cols>
          <w:pgMar w:left="240" w:top="966" w:right="23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89" w:lineRule="exact"/>
        <w:rPr>
          <w:sz w:val="24"/>
          <w:szCs w:val="24"/>
          <w:color w:val="auto"/>
        </w:rPr>
      </w:pPr>
    </w:p>
    <w:p>
      <w:pPr>
        <w:sectPr>
          <w:pgSz w:w="11900" w:h="16838" w:orient="portrait"/>
          <w:cols w:equalWidth="0" w:num="4">
            <w:col w:w="1400" w:space="580"/>
            <w:col w:w="3980" w:space="720"/>
            <w:col w:w="3700" w:space="720"/>
            <w:col w:w="320"/>
          </w:cols>
          <w:pgMar w:left="240" w:top="966" w:right="239" w:bottom="1440" w:gutter="0" w:footer="0" w:header="0"/>
          <w:type w:val="continuous"/>
        </w:sectPr>
      </w:pPr>
    </w:p>
    <w:p>
      <w:pPr>
        <w:spacing w:after="0" w:line="30"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72" w:lineRule="exact"/>
        <w:rPr>
          <w:sz w:val="24"/>
          <w:szCs w:val="24"/>
          <w:color w:val="auto"/>
        </w:rPr>
      </w:pPr>
    </w:p>
    <w:p>
      <w:pPr>
        <w:sectPr>
          <w:pgSz w:w="11900" w:h="16838" w:orient="portrait"/>
          <w:cols w:equalWidth="0" w:num="4">
            <w:col w:w="7680" w:space="160"/>
            <w:col w:w="240" w:space="80"/>
            <w:col w:w="140" w:space="160"/>
            <w:col w:w="2960"/>
          </w:cols>
          <w:pgMar w:left="240" w:top="966" w:right="239" w:bottom="1440" w:gutter="0" w:footer="0" w:header="0"/>
          <w:type w:val="continuous"/>
        </w:sectPr>
      </w:pPr>
    </w:p>
    <w:p>
      <w:pPr>
        <w:ind w:right="20" w:firstLine="324"/>
        <w:spacing w:after="0" w:line="260" w:lineRule="auto"/>
        <w:rPr>
          <w:sz w:val="20"/>
          <w:szCs w:val="20"/>
          <w:color w:val="auto"/>
        </w:rPr>
      </w:pPr>
      <w:r>
        <w:rPr>
          <w:rFonts w:ascii="Arial" w:cs="Arial" w:eastAsia="Arial" w:hAnsi="Arial"/>
          <w:sz w:val="16"/>
          <w:szCs w:val="16"/>
          <w:color w:val="auto"/>
        </w:rPr>
        <w:t>The aggregate market value of the common stock held by non-affiliates of the registrant was $11,138,435,421 based upon the closing price on the New York Stock Exchange on June 30, 2016, the last business day of the registrant’s most recently completed second fiscal quarter. This calculation does not reflect a determination that persons whose shares are excluded from the computation are affiliates for any other purpose.</w:t>
      </w:r>
    </w:p>
    <w:p>
      <w:pPr>
        <w:spacing w:after="0" w:line="32" w:lineRule="exact"/>
        <w:rPr>
          <w:sz w:val="24"/>
          <w:szCs w:val="24"/>
          <w:color w:val="auto"/>
        </w:rPr>
      </w:pPr>
    </w:p>
    <w:p>
      <w:pPr>
        <w:ind w:left="4380" w:right="1700" w:hanging="4046"/>
        <w:spacing w:after="0" w:line="336" w:lineRule="auto"/>
        <w:rPr>
          <w:sz w:val="20"/>
          <w:szCs w:val="20"/>
          <w:color w:val="auto"/>
        </w:rPr>
      </w:pPr>
      <w:r>
        <w:rPr>
          <w:rFonts w:ascii="Arial" w:cs="Arial" w:eastAsia="Arial" w:hAnsi="Arial"/>
          <w:sz w:val="16"/>
          <w:szCs w:val="16"/>
          <w:b w:val="1"/>
          <w:bCs w:val="1"/>
          <w:color w:val="auto"/>
        </w:rPr>
        <w:t>The number of shares outstanding of the registrant’s common stock, $0.01 par value per share, as of February 21, 2017 was 125,912,481. Documents Incorporated by Reference</w:t>
      </w:r>
    </w:p>
    <w:p>
      <w:pPr>
        <w:spacing w:after="0" w:line="1" w:lineRule="exact"/>
        <w:rPr>
          <w:sz w:val="24"/>
          <w:szCs w:val="24"/>
          <w:color w:val="auto"/>
        </w:rPr>
      </w:pPr>
    </w:p>
    <w:p>
      <w:pPr>
        <w:ind w:right="140" w:firstLine="324"/>
        <w:spacing w:after="0" w:line="275" w:lineRule="auto"/>
        <w:rPr>
          <w:sz w:val="20"/>
          <w:szCs w:val="20"/>
          <w:color w:val="auto"/>
        </w:rPr>
      </w:pPr>
      <w:r>
        <w:rPr>
          <w:rFonts w:ascii="Arial" w:cs="Arial" w:eastAsia="Arial" w:hAnsi="Arial"/>
          <w:sz w:val="16"/>
          <w:szCs w:val="16"/>
          <w:color w:val="auto"/>
        </w:rPr>
        <w:t>Portions of the registrant’s definitive proxy statement to be issued in connection with the registrant’s annual stockholders’ meeting to be held in 2017 are incorporated by reference into Part III of this Annual Report on Form 10-K.</w:t>
      </w:r>
    </w:p>
    <w:p>
      <w:pPr>
        <w:sectPr>
          <w:pgSz w:w="11900" w:h="16838" w:orient="portrait"/>
          <w:cols w:equalWidth="0" w:num="1">
            <w:col w:w="11420"/>
          </w:cols>
          <w:pgMar w:left="240" w:top="96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0" w:type="dxa"/>
            <w:vAlign w:val="bottom"/>
            <w:gridSpan w:val="8"/>
          </w:tcPr>
          <w:p>
            <w:pPr>
              <w:jc w:val="center"/>
              <w:ind w:right="2940"/>
              <w:spacing w:after="0"/>
              <w:rPr>
                <w:sz w:val="20"/>
                <w:szCs w:val="20"/>
                <w:color w:val="auto"/>
              </w:rPr>
            </w:pPr>
            <w:r>
              <w:rPr>
                <w:rFonts w:ascii="Arial" w:cs="Arial" w:eastAsia="Arial" w:hAnsi="Arial"/>
                <w:sz w:val="18"/>
                <w:szCs w:val="18"/>
                <w:b w:val="1"/>
                <w:bCs w:val="1"/>
                <w:color w:val="auto"/>
                <w:w w:val="89"/>
              </w:rPr>
              <w:t>Extra Space Storage Inc.</w:t>
            </w:r>
          </w:p>
        </w:tc>
        <w:tc>
          <w:tcPr>
            <w:tcW w:w="1320" w:type="dxa"/>
            <w:vAlign w:val="bottom"/>
          </w:tcPr>
          <w:p>
            <w:pPr>
              <w:spacing w:after="0"/>
              <w:rPr>
                <w:sz w:val="20"/>
                <w:szCs w:val="20"/>
                <w:color w:val="auto"/>
              </w:rPr>
            </w:pPr>
          </w:p>
        </w:tc>
      </w:tr>
      <w:tr>
        <w:trPr>
          <w:trHeight w:val="270"/>
        </w:trPr>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0" w:type="dxa"/>
            <w:vAlign w:val="bottom"/>
            <w:gridSpan w:val="8"/>
          </w:tcPr>
          <w:p>
            <w:pPr>
              <w:jc w:val="center"/>
              <w:ind w:right="2920"/>
              <w:spacing w:after="0"/>
              <w:rPr>
                <w:sz w:val="20"/>
                <w:szCs w:val="20"/>
                <w:color w:val="auto"/>
              </w:rPr>
            </w:pPr>
            <w:r>
              <w:rPr>
                <w:rFonts w:ascii="Arial" w:cs="Arial" w:eastAsia="Arial" w:hAnsi="Arial"/>
                <w:sz w:val="18"/>
                <w:szCs w:val="18"/>
                <w:b w:val="1"/>
                <w:bCs w:val="1"/>
                <w:color w:val="auto"/>
                <w:w w:val="93"/>
              </w:rPr>
              <w:t>Annual Report on Form 10-K</w:t>
            </w:r>
          </w:p>
        </w:tc>
        <w:tc>
          <w:tcPr>
            <w:tcW w:w="1320" w:type="dxa"/>
            <w:vAlign w:val="bottom"/>
          </w:tcPr>
          <w:p>
            <w:pPr>
              <w:spacing w:after="0"/>
              <w:rPr>
                <w:sz w:val="23"/>
                <w:szCs w:val="23"/>
                <w:color w:val="auto"/>
              </w:rPr>
            </w:pPr>
          </w:p>
        </w:tc>
      </w:tr>
      <w:tr>
        <w:trPr>
          <w:trHeight w:val="270"/>
        </w:trPr>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980" w:type="dxa"/>
            <w:vAlign w:val="bottom"/>
            <w:gridSpan w:val="9"/>
          </w:tcPr>
          <w:p>
            <w:pPr>
              <w:jc w:val="center"/>
              <w:ind w:right="2760"/>
              <w:spacing w:after="0"/>
              <w:rPr>
                <w:sz w:val="20"/>
                <w:szCs w:val="20"/>
                <w:color w:val="auto"/>
              </w:rPr>
            </w:pPr>
            <w:r>
              <w:rPr>
                <w:rFonts w:ascii="Arial" w:cs="Arial" w:eastAsia="Arial" w:hAnsi="Arial"/>
                <w:sz w:val="18"/>
                <w:szCs w:val="18"/>
                <w:b w:val="1"/>
                <w:bCs w:val="1"/>
                <w:color w:val="auto"/>
                <w:w w:val="90"/>
              </w:rPr>
              <w:t>For the Year Ended December 31, 2016</w:t>
            </w:r>
          </w:p>
        </w:tc>
        <w:tc>
          <w:tcPr>
            <w:tcW w:w="1320" w:type="dxa"/>
            <w:vAlign w:val="bottom"/>
          </w:tcPr>
          <w:p>
            <w:pPr>
              <w:spacing w:after="0"/>
              <w:rPr>
                <w:sz w:val="23"/>
                <w:szCs w:val="23"/>
                <w:color w:val="auto"/>
              </w:rPr>
            </w:pPr>
          </w:p>
        </w:tc>
      </w:tr>
      <w:tr>
        <w:trPr>
          <w:trHeight w:val="270"/>
        </w:trPr>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0" w:type="dxa"/>
            <w:vAlign w:val="bottom"/>
            <w:gridSpan w:val="8"/>
          </w:tcPr>
          <w:p>
            <w:pPr>
              <w:jc w:val="center"/>
              <w:ind w:right="2920"/>
              <w:spacing w:after="0"/>
              <w:rPr>
                <w:sz w:val="20"/>
                <w:szCs w:val="20"/>
                <w:color w:val="auto"/>
              </w:rPr>
            </w:pPr>
            <w:r>
              <w:rPr>
                <w:rFonts w:ascii="Arial" w:cs="Arial" w:eastAsia="Arial" w:hAnsi="Arial"/>
                <w:sz w:val="18"/>
                <w:szCs w:val="18"/>
                <w:b w:val="1"/>
                <w:bCs w:val="1"/>
                <w:color w:val="auto"/>
                <w:w w:val="89"/>
              </w:rPr>
              <w:t>Table of Contents</w:t>
            </w:r>
          </w:p>
        </w:tc>
        <w:tc>
          <w:tcPr>
            <w:tcW w:w="1320" w:type="dxa"/>
            <w:vAlign w:val="bottom"/>
          </w:tcPr>
          <w:p>
            <w:pPr>
              <w:spacing w:after="0"/>
              <w:rPr>
                <w:sz w:val="23"/>
                <w:szCs w:val="23"/>
                <w:color w:val="auto"/>
              </w:rPr>
            </w:pPr>
          </w:p>
        </w:tc>
      </w:tr>
      <w:tr>
        <w:trPr>
          <w:trHeight w:val="593"/>
        </w:trPr>
        <w:tc>
          <w:tcPr>
            <w:tcW w:w="540" w:type="dxa"/>
            <w:vAlign w:val="bottom"/>
            <w:tcBorders>
              <w:bottom w:val="single" w:sz="8" w:color="0000EE"/>
            </w:tcBorders>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PART I</w:t>
              </w:r>
            </w:hyperlink>
          </w:p>
        </w:tc>
        <w:tc>
          <w:tcPr>
            <w:tcW w:w="38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480" w:type="dxa"/>
            <w:vAlign w:val="bottom"/>
            <w:gridSpan w:val="18"/>
          </w:tcPr>
          <w:p>
            <w:pPr>
              <w:spacing w:after="0"/>
              <w:rPr>
                <w:sz w:val="21"/>
                <w:szCs w:val="21"/>
                <w:color w:val="auto"/>
              </w:rPr>
            </w:pPr>
          </w:p>
        </w:tc>
        <w:tc>
          <w:tcPr>
            <w:tcW w:w="13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8220" w:type="dxa"/>
            <w:vAlign w:val="bottom"/>
            <w:gridSpan w:val="16"/>
          </w:tcPr>
          <w:p>
            <w:pPr>
              <w:spacing w:after="0"/>
              <w:rPr>
                <w:sz w:val="21"/>
                <w:szCs w:val="21"/>
                <w:color w:val="auto"/>
              </w:rPr>
            </w:pPr>
          </w:p>
        </w:tc>
        <w:tc>
          <w:tcPr>
            <w:tcW w:w="132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Unresolved Staff Comments</w:t>
              </w:r>
            </w:hyperlink>
          </w:p>
        </w:tc>
        <w:tc>
          <w:tcPr>
            <w:tcW w:w="7080" w:type="dxa"/>
            <w:vAlign w:val="bottom"/>
            <w:gridSpan w:val="11"/>
          </w:tcPr>
          <w:p>
            <w:pPr>
              <w:spacing w:after="0"/>
              <w:rPr>
                <w:sz w:val="21"/>
                <w:szCs w:val="21"/>
                <w:color w:val="auto"/>
              </w:rPr>
            </w:pPr>
          </w:p>
        </w:tc>
        <w:tc>
          <w:tcPr>
            <w:tcW w:w="132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17</w:t>
              </w:r>
            </w:hyperlink>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2.</w:t>
            </w:r>
          </w:p>
        </w:tc>
        <w:tc>
          <w:tcPr>
            <w:tcW w:w="9120" w:type="dxa"/>
            <w:vAlign w:val="bottom"/>
            <w:gridSpan w:val="2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Properties</w:t>
              </w:r>
            </w:hyperlink>
          </w:p>
        </w:tc>
        <w:tc>
          <w:tcPr>
            <w:tcW w:w="132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17</w:t>
              </w:r>
            </w:hyperlink>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3.</w:t>
            </w:r>
          </w:p>
        </w:tc>
        <w:tc>
          <w:tcPr>
            <w:tcW w:w="9120" w:type="dxa"/>
            <w:vAlign w:val="bottom"/>
            <w:gridSpan w:val="2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132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17</w:t>
              </w:r>
            </w:hyperlink>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4.</w:t>
            </w:r>
          </w:p>
        </w:tc>
        <w:tc>
          <w:tcPr>
            <w:tcW w:w="9120" w:type="dxa"/>
            <w:vAlign w:val="bottom"/>
            <w:gridSpan w:val="2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Mine Safety Disclosures</w:t>
              </w:r>
            </w:hyperlink>
          </w:p>
        </w:tc>
        <w:tc>
          <w:tcPr>
            <w:tcW w:w="132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17</w:t>
              </w:r>
            </w:hyperlink>
          </w:p>
        </w:tc>
      </w:tr>
      <w:tr>
        <w:trPr>
          <w:trHeight w:val="250"/>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PART II</w:t>
              </w:r>
            </w:hyperlink>
          </w:p>
        </w:tc>
        <w:tc>
          <w:tcPr>
            <w:tcW w:w="320" w:type="dxa"/>
            <w:vAlign w:val="bottom"/>
            <w:gridSpan w:val="2"/>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2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17</w:t>
              </w:r>
            </w:hyperlink>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5.</w:t>
            </w:r>
          </w:p>
        </w:tc>
        <w:tc>
          <w:tcPr>
            <w:tcW w:w="806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Market for Registrant’s Common Equity, Related Stockholder Matters and Issuer Purchases of Equity Securities</w:t>
              </w:r>
            </w:hyperlink>
          </w:p>
        </w:tc>
        <w:tc>
          <w:tcPr>
            <w:tcW w:w="1060" w:type="dxa"/>
            <w:vAlign w:val="bottom"/>
          </w:tcPr>
          <w:p>
            <w:pPr>
              <w:spacing w:after="0"/>
              <w:rPr>
                <w:sz w:val="21"/>
                <w:szCs w:val="21"/>
                <w:color w:val="auto"/>
              </w:rPr>
            </w:pPr>
          </w:p>
        </w:tc>
        <w:tc>
          <w:tcPr>
            <w:tcW w:w="132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17</w:t>
              </w:r>
            </w:hyperlink>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6.</w:t>
            </w:r>
          </w:p>
        </w:tc>
        <w:tc>
          <w:tcPr>
            <w:tcW w:w="17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Selected Financial Data</w:t>
              </w:r>
            </w:hyperlink>
          </w:p>
        </w:tc>
        <w:tc>
          <w:tcPr>
            <w:tcW w:w="7420" w:type="dxa"/>
            <w:vAlign w:val="bottom"/>
            <w:gridSpan w:val="14"/>
          </w:tcPr>
          <w:p>
            <w:pPr>
              <w:spacing w:after="0"/>
              <w:rPr>
                <w:sz w:val="21"/>
                <w:szCs w:val="21"/>
                <w:color w:val="auto"/>
              </w:rPr>
            </w:pPr>
          </w:p>
        </w:tc>
        <w:tc>
          <w:tcPr>
            <w:tcW w:w="132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18</w:t>
              </w:r>
            </w:hyperlink>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7.</w:t>
            </w:r>
          </w:p>
        </w:tc>
        <w:tc>
          <w:tcPr>
            <w:tcW w:w="9120" w:type="dxa"/>
            <w:vAlign w:val="bottom"/>
            <w:gridSpan w:val="2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132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20</w:t>
              </w:r>
            </w:hyperlink>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7A.</w:t>
            </w:r>
          </w:p>
        </w:tc>
        <w:tc>
          <w:tcPr>
            <w:tcW w:w="6440" w:type="dxa"/>
            <w:vAlign w:val="bottom"/>
            <w:tcBorders>
              <w:top w:val="single" w:sz="8" w:color="0000EE"/>
            </w:tcBorders>
            <w:gridSpan w:val="16"/>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Quantitative and Qualitative Disclosures About Market Risk</w:t>
              </w:r>
            </w:hyperlink>
          </w:p>
        </w:tc>
        <w:tc>
          <w:tcPr>
            <w:tcW w:w="2680" w:type="dxa"/>
            <w:vAlign w:val="bottom"/>
            <w:gridSpan w:val="4"/>
          </w:tcPr>
          <w:p>
            <w:pPr>
              <w:spacing w:after="0"/>
              <w:rPr>
                <w:sz w:val="21"/>
                <w:szCs w:val="21"/>
                <w:color w:val="auto"/>
              </w:rPr>
            </w:pPr>
          </w:p>
        </w:tc>
        <w:tc>
          <w:tcPr>
            <w:tcW w:w="132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39</w:t>
              </w:r>
            </w:hyperlink>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8.</w:t>
            </w:r>
          </w:p>
        </w:tc>
        <w:tc>
          <w:tcPr>
            <w:tcW w:w="3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Financial Statements and Supplementary Data</w:t>
              </w:r>
            </w:hyperlink>
          </w:p>
        </w:tc>
        <w:tc>
          <w:tcPr>
            <w:tcW w:w="1020" w:type="dxa"/>
            <w:vAlign w:val="bottom"/>
            <w:tcBorders>
              <w:top w:val="single" w:sz="8" w:color="0000EE"/>
            </w:tcBorders>
            <w:gridSpan w:val="2"/>
          </w:tcPr>
          <w:p>
            <w:pPr>
              <w:spacing w:after="0"/>
              <w:rPr>
                <w:sz w:val="21"/>
                <w:szCs w:val="21"/>
                <w:color w:val="auto"/>
              </w:rPr>
            </w:pPr>
          </w:p>
        </w:tc>
        <w:tc>
          <w:tcPr>
            <w:tcW w:w="4780" w:type="dxa"/>
            <w:vAlign w:val="bottom"/>
            <w:gridSpan w:val="6"/>
          </w:tcPr>
          <w:p>
            <w:pPr>
              <w:spacing w:after="0"/>
              <w:rPr>
                <w:sz w:val="21"/>
                <w:szCs w:val="21"/>
                <w:color w:val="auto"/>
              </w:rPr>
            </w:pPr>
          </w:p>
        </w:tc>
        <w:tc>
          <w:tcPr>
            <w:tcW w:w="132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40</w:t>
              </w:r>
            </w:hyperlink>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9.</w:t>
            </w:r>
          </w:p>
        </w:tc>
        <w:tc>
          <w:tcPr>
            <w:tcW w:w="9120" w:type="dxa"/>
            <w:vAlign w:val="bottom"/>
            <w:gridSpan w:val="20"/>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Changes in and Disagreements with Accountants on Accounting and Financial Disclosure</w:t>
              </w:r>
            </w:hyperlink>
          </w:p>
        </w:tc>
        <w:tc>
          <w:tcPr>
            <w:tcW w:w="132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95</w:t>
              </w:r>
            </w:hyperlink>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9A.</w:t>
            </w:r>
          </w:p>
        </w:tc>
        <w:tc>
          <w:tcPr>
            <w:tcW w:w="17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117">
              <w:r>
                <w:rPr>
                  <w:rFonts w:ascii="Arial" w:cs="Arial" w:eastAsia="Arial" w:hAnsi="Arial"/>
                  <w:sz w:val="18"/>
                  <w:szCs w:val="18"/>
                  <w:color w:val="0000EE"/>
                  <w:w w:val="87"/>
                </w:rPr>
                <w:t>Controls and Procedures</w:t>
              </w:r>
            </w:hyperlink>
          </w:p>
        </w:tc>
        <w:tc>
          <w:tcPr>
            <w:tcW w:w="4700" w:type="dxa"/>
            <w:vAlign w:val="bottom"/>
            <w:tcBorders>
              <w:top w:val="single" w:sz="8" w:color="0000EE"/>
            </w:tcBorders>
            <w:gridSpan w:val="10"/>
          </w:tcPr>
          <w:p>
            <w:pPr>
              <w:spacing w:after="0"/>
              <w:rPr>
                <w:sz w:val="21"/>
                <w:szCs w:val="21"/>
                <w:color w:val="auto"/>
              </w:rPr>
            </w:pPr>
          </w:p>
        </w:tc>
        <w:tc>
          <w:tcPr>
            <w:tcW w:w="2660" w:type="dxa"/>
            <w:vAlign w:val="bottom"/>
            <w:gridSpan w:val="3"/>
          </w:tcPr>
          <w:p>
            <w:pPr>
              <w:spacing w:after="0"/>
              <w:rPr>
                <w:sz w:val="21"/>
                <w:szCs w:val="21"/>
                <w:color w:val="auto"/>
              </w:rPr>
            </w:pPr>
          </w:p>
        </w:tc>
        <w:tc>
          <w:tcPr>
            <w:tcW w:w="132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95</w:t>
              </w:r>
            </w:hyperlink>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9B.</w:t>
            </w:r>
          </w:p>
        </w:tc>
        <w:tc>
          <w:tcPr>
            <w:tcW w:w="9120" w:type="dxa"/>
            <w:vAlign w:val="bottom"/>
            <w:gridSpan w:val="20"/>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Other Information</w:t>
              </w:r>
            </w:hyperlink>
          </w:p>
        </w:tc>
        <w:tc>
          <w:tcPr>
            <w:tcW w:w="1320" w:type="dxa"/>
            <w:vAlign w:val="bottom"/>
          </w:tcPr>
          <w:p>
            <w:pPr>
              <w:jc w:val="right"/>
              <w:spacing w:after="0"/>
              <w:rPr>
                <w:rFonts w:ascii="Arial" w:cs="Arial" w:eastAsia="Arial" w:hAnsi="Arial"/>
                <w:sz w:val="18"/>
                <w:szCs w:val="18"/>
                <w:color w:val="auto"/>
              </w:rPr>
            </w:pPr>
            <w:hyperlink w:anchor="page118">
              <w:r>
                <w:rPr>
                  <w:rFonts w:ascii="Arial" w:cs="Arial" w:eastAsia="Arial" w:hAnsi="Arial"/>
                  <w:sz w:val="18"/>
                  <w:szCs w:val="18"/>
                  <w:color w:val="auto"/>
                </w:rPr>
                <w:t>96</w:t>
              </w:r>
            </w:hyperlink>
          </w:p>
        </w:tc>
      </w:tr>
      <w:tr>
        <w:trPr>
          <w:trHeight w:val="250"/>
        </w:trPr>
        <w:tc>
          <w:tcPr>
            <w:tcW w:w="66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119">
              <w:r>
                <w:rPr>
                  <w:rFonts w:ascii="Arial" w:cs="Arial" w:eastAsia="Arial" w:hAnsi="Arial"/>
                  <w:sz w:val="18"/>
                  <w:szCs w:val="18"/>
                  <w:color w:val="0000EE"/>
                  <w:w w:val="94"/>
                </w:rPr>
                <w:t>PART III</w:t>
              </w:r>
            </w:hyperlink>
          </w:p>
        </w:tc>
        <w:tc>
          <w:tcPr>
            <w:tcW w:w="26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20" w:type="dxa"/>
            <w:vAlign w:val="bottom"/>
          </w:tcPr>
          <w:p>
            <w:pPr>
              <w:jc w:val="right"/>
              <w:spacing w:after="0"/>
              <w:rPr>
                <w:rFonts w:ascii="Arial" w:cs="Arial" w:eastAsia="Arial" w:hAnsi="Arial"/>
                <w:sz w:val="18"/>
                <w:szCs w:val="18"/>
                <w:color w:val="auto"/>
              </w:rPr>
            </w:pPr>
            <w:hyperlink w:anchor="page119">
              <w:r>
                <w:rPr>
                  <w:rFonts w:ascii="Arial" w:cs="Arial" w:eastAsia="Arial" w:hAnsi="Arial"/>
                  <w:sz w:val="18"/>
                  <w:szCs w:val="18"/>
                  <w:color w:val="auto"/>
                </w:rPr>
                <w:t>97</w:t>
              </w:r>
            </w:hyperlink>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10.</w:t>
            </w:r>
          </w:p>
        </w:tc>
        <w:tc>
          <w:tcPr>
            <w:tcW w:w="9120" w:type="dxa"/>
            <w:vAlign w:val="bottom"/>
            <w:gridSpan w:val="20"/>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Directors, Executive Officers and Corporate Governance</w:t>
              </w:r>
            </w:hyperlink>
          </w:p>
        </w:tc>
        <w:tc>
          <w:tcPr>
            <w:tcW w:w="1320" w:type="dxa"/>
            <w:vAlign w:val="bottom"/>
          </w:tcPr>
          <w:p>
            <w:pPr>
              <w:jc w:val="right"/>
              <w:spacing w:after="0"/>
              <w:rPr>
                <w:rFonts w:ascii="Arial" w:cs="Arial" w:eastAsia="Arial" w:hAnsi="Arial"/>
                <w:sz w:val="18"/>
                <w:szCs w:val="18"/>
                <w:color w:val="auto"/>
              </w:rPr>
            </w:pPr>
            <w:hyperlink w:anchor="page119">
              <w:r>
                <w:rPr>
                  <w:rFonts w:ascii="Arial" w:cs="Arial" w:eastAsia="Arial" w:hAnsi="Arial"/>
                  <w:sz w:val="18"/>
                  <w:szCs w:val="18"/>
                  <w:color w:val="auto"/>
                </w:rPr>
                <w:t>97</w:t>
              </w:r>
            </w:hyperlink>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119">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21"/>
                <w:szCs w:val="21"/>
                <w:color w:val="auto"/>
              </w:rPr>
            </w:pPr>
          </w:p>
        </w:tc>
        <w:tc>
          <w:tcPr>
            <w:tcW w:w="5040" w:type="dxa"/>
            <w:vAlign w:val="bottom"/>
            <w:gridSpan w:val="7"/>
          </w:tcPr>
          <w:p>
            <w:pPr>
              <w:spacing w:after="0"/>
              <w:rPr>
                <w:sz w:val="21"/>
                <w:szCs w:val="21"/>
                <w:color w:val="auto"/>
              </w:rPr>
            </w:pPr>
          </w:p>
        </w:tc>
        <w:tc>
          <w:tcPr>
            <w:tcW w:w="1320" w:type="dxa"/>
            <w:vAlign w:val="bottom"/>
          </w:tcPr>
          <w:p>
            <w:pPr>
              <w:jc w:val="right"/>
              <w:spacing w:after="0"/>
              <w:rPr>
                <w:rFonts w:ascii="Arial" w:cs="Arial" w:eastAsia="Arial" w:hAnsi="Arial"/>
                <w:sz w:val="18"/>
                <w:szCs w:val="18"/>
                <w:color w:val="auto"/>
              </w:rPr>
            </w:pPr>
            <w:hyperlink w:anchor="page119">
              <w:r>
                <w:rPr>
                  <w:rFonts w:ascii="Arial" w:cs="Arial" w:eastAsia="Arial" w:hAnsi="Arial"/>
                  <w:sz w:val="18"/>
                  <w:szCs w:val="18"/>
                  <w:color w:val="auto"/>
                </w:rPr>
                <w:t>97</w:t>
              </w:r>
            </w:hyperlink>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12.</w:t>
            </w:r>
          </w:p>
        </w:tc>
        <w:tc>
          <w:tcPr>
            <w:tcW w:w="728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19">
              <w:r>
                <w:rPr>
                  <w:rFonts w:ascii="Arial" w:cs="Arial" w:eastAsia="Arial" w:hAnsi="Arial"/>
                  <w:sz w:val="18"/>
                  <w:szCs w:val="18"/>
                  <w:color w:val="0000EE"/>
                  <w:w w:val="90"/>
                </w:rPr>
                <w:t>Security Ownership of Certain Beneficial Owners and Management and Related Stockholder Matters</w:t>
              </w:r>
            </w:hyperlink>
          </w:p>
        </w:tc>
        <w:tc>
          <w:tcPr>
            <w:tcW w:w="1840" w:type="dxa"/>
            <w:vAlign w:val="bottom"/>
            <w:gridSpan w:val="2"/>
          </w:tcPr>
          <w:p>
            <w:pPr>
              <w:spacing w:after="0"/>
              <w:rPr>
                <w:sz w:val="21"/>
                <w:szCs w:val="21"/>
                <w:color w:val="auto"/>
              </w:rPr>
            </w:pPr>
          </w:p>
        </w:tc>
        <w:tc>
          <w:tcPr>
            <w:tcW w:w="1320" w:type="dxa"/>
            <w:vAlign w:val="bottom"/>
          </w:tcPr>
          <w:p>
            <w:pPr>
              <w:jc w:val="right"/>
              <w:spacing w:after="0"/>
              <w:rPr>
                <w:rFonts w:ascii="Arial" w:cs="Arial" w:eastAsia="Arial" w:hAnsi="Arial"/>
                <w:sz w:val="18"/>
                <w:szCs w:val="18"/>
                <w:color w:val="auto"/>
              </w:rPr>
            </w:pPr>
            <w:hyperlink w:anchor="page119">
              <w:r>
                <w:rPr>
                  <w:rFonts w:ascii="Arial" w:cs="Arial" w:eastAsia="Arial" w:hAnsi="Arial"/>
                  <w:sz w:val="18"/>
                  <w:szCs w:val="18"/>
                  <w:color w:val="auto"/>
                </w:rPr>
                <w:t>97</w:t>
              </w:r>
            </w:hyperlink>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13.</w:t>
            </w:r>
          </w:p>
        </w:tc>
        <w:tc>
          <w:tcPr>
            <w:tcW w:w="54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19">
              <w:r>
                <w:rPr>
                  <w:rFonts w:ascii="Arial" w:cs="Arial" w:eastAsia="Arial" w:hAnsi="Arial"/>
                  <w:sz w:val="18"/>
                  <w:szCs w:val="18"/>
                  <w:color w:val="0000EE"/>
                  <w:w w:val="89"/>
                </w:rPr>
                <w:t>Certain Relationships and Related Transactions, and Director Independence</w:t>
              </w:r>
            </w:hyperlink>
          </w:p>
        </w:tc>
        <w:tc>
          <w:tcPr>
            <w:tcW w:w="3680" w:type="dxa"/>
            <w:vAlign w:val="bottom"/>
            <w:gridSpan w:val="5"/>
          </w:tcPr>
          <w:p>
            <w:pPr>
              <w:spacing w:after="0"/>
              <w:rPr>
                <w:sz w:val="21"/>
                <w:szCs w:val="21"/>
                <w:color w:val="auto"/>
              </w:rPr>
            </w:pPr>
          </w:p>
        </w:tc>
        <w:tc>
          <w:tcPr>
            <w:tcW w:w="1320" w:type="dxa"/>
            <w:vAlign w:val="bottom"/>
          </w:tcPr>
          <w:p>
            <w:pPr>
              <w:jc w:val="right"/>
              <w:spacing w:after="0"/>
              <w:rPr>
                <w:rFonts w:ascii="Arial" w:cs="Arial" w:eastAsia="Arial" w:hAnsi="Arial"/>
                <w:sz w:val="18"/>
                <w:szCs w:val="18"/>
                <w:color w:val="auto"/>
              </w:rPr>
            </w:pPr>
            <w:hyperlink w:anchor="page119">
              <w:r>
                <w:rPr>
                  <w:rFonts w:ascii="Arial" w:cs="Arial" w:eastAsia="Arial" w:hAnsi="Arial"/>
                  <w:sz w:val="18"/>
                  <w:szCs w:val="18"/>
                  <w:color w:val="auto"/>
                </w:rPr>
                <w:t>97</w:t>
              </w:r>
            </w:hyperlink>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14.</w:t>
            </w:r>
          </w:p>
        </w:tc>
        <w:tc>
          <w:tcPr>
            <w:tcW w:w="9120" w:type="dxa"/>
            <w:vAlign w:val="bottom"/>
            <w:gridSpan w:val="20"/>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Principal Accounting Fees and Services</w:t>
              </w:r>
            </w:hyperlink>
          </w:p>
        </w:tc>
        <w:tc>
          <w:tcPr>
            <w:tcW w:w="1320" w:type="dxa"/>
            <w:vAlign w:val="bottom"/>
          </w:tcPr>
          <w:p>
            <w:pPr>
              <w:jc w:val="right"/>
              <w:spacing w:after="0"/>
              <w:rPr>
                <w:rFonts w:ascii="Arial" w:cs="Arial" w:eastAsia="Arial" w:hAnsi="Arial"/>
                <w:sz w:val="18"/>
                <w:szCs w:val="18"/>
                <w:color w:val="auto"/>
              </w:rPr>
            </w:pPr>
            <w:hyperlink w:anchor="page119">
              <w:r>
                <w:rPr>
                  <w:rFonts w:ascii="Arial" w:cs="Arial" w:eastAsia="Arial" w:hAnsi="Arial"/>
                  <w:sz w:val="18"/>
                  <w:szCs w:val="18"/>
                  <w:color w:val="auto"/>
                </w:rPr>
                <w:t>97</w:t>
              </w:r>
            </w:hyperlink>
          </w:p>
        </w:tc>
      </w:tr>
      <w:tr>
        <w:trPr>
          <w:trHeight w:val="250"/>
        </w:trPr>
        <w:tc>
          <w:tcPr>
            <w:tcW w:w="920" w:type="dxa"/>
            <w:vAlign w:val="bottom"/>
            <w:gridSpan w:val="4"/>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PART IV</w:t>
              </w:r>
            </w:hyperlink>
          </w:p>
        </w:tc>
        <w:tc>
          <w:tcPr>
            <w:tcW w:w="18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20" w:type="dxa"/>
            <w:vAlign w:val="bottom"/>
          </w:tcPr>
          <w:p>
            <w:pPr>
              <w:jc w:val="right"/>
              <w:spacing w:after="0"/>
              <w:rPr>
                <w:rFonts w:ascii="Arial" w:cs="Arial" w:eastAsia="Arial" w:hAnsi="Arial"/>
                <w:sz w:val="18"/>
                <w:szCs w:val="18"/>
                <w:color w:val="auto"/>
              </w:rPr>
            </w:pPr>
            <w:hyperlink w:anchor="page120">
              <w:r>
                <w:rPr>
                  <w:rFonts w:ascii="Arial" w:cs="Arial" w:eastAsia="Arial" w:hAnsi="Arial"/>
                  <w:sz w:val="18"/>
                  <w:szCs w:val="18"/>
                  <w:color w:val="auto"/>
                </w:rPr>
                <w:t>98</w:t>
              </w:r>
            </w:hyperlink>
          </w:p>
        </w:tc>
      </w:tr>
      <w:tr>
        <w:trPr>
          <w:trHeight w:val="250"/>
        </w:trPr>
        <w:tc>
          <w:tcPr>
            <w:tcW w:w="6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w w:val="98"/>
              </w:rPr>
              <w:t>Item 15.</w:t>
            </w:r>
          </w:p>
        </w:tc>
        <w:tc>
          <w:tcPr>
            <w:tcW w:w="260" w:type="dxa"/>
            <w:vAlign w:val="bottom"/>
          </w:tcPr>
          <w:p>
            <w:pPr>
              <w:spacing w:after="0"/>
              <w:rPr>
                <w:sz w:val="21"/>
                <w:szCs w:val="21"/>
                <w:color w:val="auto"/>
              </w:rPr>
            </w:pPr>
          </w:p>
        </w:tc>
        <w:tc>
          <w:tcPr>
            <w:tcW w:w="9120" w:type="dxa"/>
            <w:vAlign w:val="bottom"/>
            <w:gridSpan w:val="20"/>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Exhibits and Financial Statement Schedules</w:t>
              </w:r>
            </w:hyperlink>
          </w:p>
        </w:tc>
        <w:tc>
          <w:tcPr>
            <w:tcW w:w="1320" w:type="dxa"/>
            <w:vAlign w:val="bottom"/>
          </w:tcPr>
          <w:p>
            <w:pPr>
              <w:jc w:val="right"/>
              <w:spacing w:after="0"/>
              <w:rPr>
                <w:rFonts w:ascii="Arial" w:cs="Arial" w:eastAsia="Arial" w:hAnsi="Arial"/>
                <w:sz w:val="18"/>
                <w:szCs w:val="18"/>
                <w:color w:val="auto"/>
              </w:rPr>
            </w:pPr>
            <w:hyperlink w:anchor="page120">
              <w:r>
                <w:rPr>
                  <w:rFonts w:ascii="Arial" w:cs="Arial" w:eastAsia="Arial" w:hAnsi="Arial"/>
                  <w:sz w:val="18"/>
                  <w:szCs w:val="18"/>
                  <w:color w:val="auto"/>
                </w:rPr>
                <w:t>98</w:t>
              </w:r>
            </w:hyperlink>
          </w:p>
        </w:tc>
      </w:tr>
      <w:tr>
        <w:trPr>
          <w:trHeight w:val="20"/>
        </w:trPr>
        <w:tc>
          <w:tcPr>
            <w:tcW w:w="920" w:type="dxa"/>
            <w:vAlign w:val="bottom"/>
            <w:gridSpan w:val="4"/>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960" w:type="dxa"/>
            <w:vAlign w:val="bottom"/>
            <w:gridSpan w:val="10"/>
            <w:shd w:val="clear" w:color="auto" w:fill="0000EE"/>
          </w:tcPr>
          <w:p>
            <w:pPr>
              <w:spacing w:after="0" w:line="20" w:lineRule="exact"/>
              <w:rPr>
                <w:sz w:val="1"/>
                <w:szCs w:val="1"/>
                <w:color w:val="auto"/>
              </w:rPr>
            </w:pPr>
          </w:p>
        </w:tc>
        <w:tc>
          <w:tcPr>
            <w:tcW w:w="5980" w:type="dxa"/>
            <w:vAlign w:val="bottom"/>
            <w:gridSpan w:val="9"/>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110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23">
              <w:r>
                <w:rPr>
                  <w:rFonts w:ascii="Arial" w:cs="Arial" w:eastAsia="Arial" w:hAnsi="Arial"/>
                  <w:sz w:val="18"/>
                  <w:szCs w:val="18"/>
                  <w:color w:val="0000EE"/>
                  <w:w w:val="92"/>
                </w:rPr>
                <w:t>SIGNATURES</w:t>
              </w:r>
            </w:hyperlink>
          </w:p>
        </w:tc>
        <w:tc>
          <w:tcPr>
            <w:tcW w:w="8940" w:type="dxa"/>
            <w:vAlign w:val="bottom"/>
            <w:gridSpan w:val="19"/>
          </w:tcPr>
          <w:p>
            <w:pPr>
              <w:spacing w:after="0"/>
              <w:rPr>
                <w:sz w:val="21"/>
                <w:szCs w:val="21"/>
                <w:color w:val="auto"/>
              </w:rPr>
            </w:pPr>
          </w:p>
        </w:tc>
        <w:tc>
          <w:tcPr>
            <w:tcW w:w="1320" w:type="dxa"/>
            <w:vAlign w:val="bottom"/>
          </w:tcPr>
          <w:p>
            <w:pPr>
              <w:jc w:val="right"/>
              <w:spacing w:after="0"/>
              <w:rPr>
                <w:rFonts w:ascii="Arial" w:cs="Arial" w:eastAsia="Arial" w:hAnsi="Arial"/>
                <w:sz w:val="18"/>
                <w:szCs w:val="18"/>
                <w:color w:val="auto"/>
              </w:rPr>
            </w:pPr>
            <w:hyperlink w:anchor="page123">
              <w:r>
                <w:rPr>
                  <w:rFonts w:ascii="Arial" w:cs="Arial" w:eastAsia="Arial" w:hAnsi="Arial"/>
                  <w:sz w:val="18"/>
                  <w:szCs w:val="18"/>
                  <w:color w:val="auto"/>
                </w:rPr>
                <w:t>101</w:t>
              </w:r>
            </w:hyperlink>
          </w:p>
        </w:tc>
      </w:tr>
      <w:tr>
        <w:trPr>
          <w:trHeight w:val="506"/>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40" w:type="dxa"/>
            <w:vAlign w:val="bottom"/>
            <w:gridSpan w:val="15"/>
          </w:tcPr>
          <w:p>
            <w:pPr>
              <w:jc w:val="center"/>
              <w:ind w:left="3970"/>
              <w:spacing w:after="0"/>
              <w:rPr>
                <w:sz w:val="20"/>
                <w:szCs w:val="20"/>
                <w:color w:val="auto"/>
              </w:rPr>
            </w:pPr>
            <w:r>
              <w:rPr>
                <w:rFonts w:ascii="Arial" w:cs="Arial" w:eastAsia="Arial" w:hAnsi="Arial"/>
                <w:sz w:val="18"/>
                <w:szCs w:val="18"/>
                <w:color w:val="auto"/>
                <w:w w:val="99"/>
              </w:rPr>
              <w:t>2</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360"/>
          </w:cols>
          <w:pgMar w:left="280" w:top="85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Statements Regarding Forward-Looking Information</w:t>
      </w:r>
    </w:p>
    <w:p>
      <w:pPr>
        <w:spacing w:after="0" w:line="121"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i w:val="1"/>
          <w:iCs w:val="1"/>
          <w:color w:val="auto"/>
        </w:rPr>
        <w:t>Certain information set forth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spacing w:after="0" w:line="193"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i w:val="1"/>
          <w:iCs w:val="1"/>
          <w:color w:val="auto"/>
        </w:rPr>
        <w:t>All forward-looking statements, including without limitation, management’s examination of historical operating trends and estimates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spacing w:after="0" w:line="175"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i w:val="1"/>
          <w:iCs w:val="1"/>
          <w:color w:val="auto"/>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 Item 1A. Risk Factors” below. Such factors include, but are not limited to:</w:t>
      </w:r>
    </w:p>
    <w:p>
      <w:pPr>
        <w:spacing w:after="0" w:line="88" w:lineRule="exact"/>
        <w:rPr>
          <w:sz w:val="20"/>
          <w:szCs w:val="20"/>
          <w:color w:val="auto"/>
        </w:rPr>
      </w:pPr>
    </w:p>
    <w:p>
      <w:pPr>
        <w:ind w:left="540" w:hanging="316"/>
        <w:spacing w:after="0"/>
        <w:tabs>
          <w:tab w:leader="none" w:pos="5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adverse changes in general economic conditions, the real estate industry and in the markets in which we operate;</w:t>
      </w:r>
    </w:p>
    <w:p>
      <w:pPr>
        <w:spacing w:after="0" w:line="62" w:lineRule="exact"/>
        <w:rPr>
          <w:rFonts w:ascii="Arial" w:cs="Arial" w:eastAsia="Arial" w:hAnsi="Arial"/>
          <w:sz w:val="18"/>
          <w:szCs w:val="18"/>
          <w:i w:val="1"/>
          <w:iCs w:val="1"/>
          <w:color w:val="auto"/>
        </w:rPr>
      </w:pPr>
    </w:p>
    <w:p>
      <w:pPr>
        <w:ind w:left="540" w:hanging="316"/>
        <w:spacing w:after="0"/>
        <w:tabs>
          <w:tab w:leader="none" w:pos="5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failure to close pending acquisitions on expected terms, or at all;</w:t>
      </w:r>
    </w:p>
    <w:p>
      <w:pPr>
        <w:spacing w:after="0" w:line="62" w:lineRule="exact"/>
        <w:rPr>
          <w:rFonts w:ascii="Arial" w:cs="Arial" w:eastAsia="Arial" w:hAnsi="Arial"/>
          <w:sz w:val="18"/>
          <w:szCs w:val="18"/>
          <w:i w:val="1"/>
          <w:iCs w:val="1"/>
          <w:color w:val="auto"/>
        </w:rPr>
      </w:pPr>
    </w:p>
    <w:p>
      <w:pPr>
        <w:ind w:left="540" w:hanging="316"/>
        <w:spacing w:after="0"/>
        <w:tabs>
          <w:tab w:leader="none" w:pos="54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the effect of competition from new and existing stores or other storage alternatives, which could cause rents and occupancy rates to decline;</w:t>
      </w:r>
    </w:p>
    <w:p>
      <w:pPr>
        <w:spacing w:after="0" w:line="74" w:lineRule="exact"/>
        <w:rPr>
          <w:rFonts w:ascii="Arial" w:cs="Arial" w:eastAsia="Arial" w:hAnsi="Arial"/>
          <w:sz w:val="17"/>
          <w:szCs w:val="17"/>
          <w:i w:val="1"/>
          <w:iCs w:val="1"/>
          <w:color w:val="auto"/>
        </w:rPr>
      </w:pPr>
    </w:p>
    <w:p>
      <w:pPr>
        <w:ind w:left="540" w:right="160" w:hanging="316"/>
        <w:spacing w:after="0" w:line="277" w:lineRule="auto"/>
        <w:tabs>
          <w:tab w:leader="none" w:pos="5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difficulties in our ability to evaluate, finance, complete and integrate acquisitions and developments successfully and to lease up those stores, which could adversely affect our profitability;</w:t>
      </w:r>
    </w:p>
    <w:p>
      <w:pPr>
        <w:spacing w:after="0" w:line="7" w:lineRule="exact"/>
        <w:rPr>
          <w:rFonts w:ascii="Arial" w:cs="Arial" w:eastAsia="Arial" w:hAnsi="Arial"/>
          <w:sz w:val="18"/>
          <w:szCs w:val="18"/>
          <w:i w:val="1"/>
          <w:iCs w:val="1"/>
          <w:color w:val="auto"/>
        </w:rPr>
      </w:pPr>
    </w:p>
    <w:p>
      <w:pPr>
        <w:ind w:left="540" w:hanging="316"/>
        <w:spacing w:after="0"/>
        <w:tabs>
          <w:tab w:leader="none" w:pos="5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potential liability for uninsured losses and environmental contamination;</w:t>
      </w:r>
    </w:p>
    <w:p>
      <w:pPr>
        <w:spacing w:after="0" w:line="62" w:lineRule="exact"/>
        <w:rPr>
          <w:rFonts w:ascii="Arial" w:cs="Arial" w:eastAsia="Arial" w:hAnsi="Arial"/>
          <w:sz w:val="18"/>
          <w:szCs w:val="18"/>
          <w:i w:val="1"/>
          <w:iCs w:val="1"/>
          <w:color w:val="auto"/>
        </w:rPr>
      </w:pPr>
    </w:p>
    <w:p>
      <w:pPr>
        <w:ind w:left="540" w:right="60" w:hanging="316"/>
        <w:spacing w:after="0" w:line="298" w:lineRule="auto"/>
        <w:tabs>
          <w:tab w:leader="none" w:pos="54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the impact of the regulatory environment as well as national, state, and local laws and regulations including, without limitation, those governing real estate investment trusts (“REITs”), tenant reinsurance and other aspects of our business, which could adversely affect our results;</w:t>
      </w:r>
    </w:p>
    <w:p>
      <w:pPr>
        <w:ind w:left="540" w:right="260" w:hanging="316"/>
        <w:spacing w:after="0" w:line="277" w:lineRule="auto"/>
        <w:tabs>
          <w:tab w:leader="none" w:pos="5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disruptions in credit and financial markets and resulting difficulties in raising capital or obtaining credit at reasonable rates or at all, which could impede our ability to grow;</w:t>
      </w:r>
    </w:p>
    <w:p>
      <w:pPr>
        <w:spacing w:after="0" w:line="7" w:lineRule="exact"/>
        <w:rPr>
          <w:rFonts w:ascii="Arial" w:cs="Arial" w:eastAsia="Arial" w:hAnsi="Arial"/>
          <w:sz w:val="18"/>
          <w:szCs w:val="18"/>
          <w:i w:val="1"/>
          <w:iCs w:val="1"/>
          <w:color w:val="auto"/>
        </w:rPr>
      </w:pPr>
    </w:p>
    <w:p>
      <w:pPr>
        <w:ind w:left="540" w:hanging="316"/>
        <w:spacing w:after="0"/>
        <w:tabs>
          <w:tab w:leader="none" w:pos="5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interest rates and operating costs;</w:t>
      </w:r>
    </w:p>
    <w:p>
      <w:pPr>
        <w:spacing w:after="0" w:line="62" w:lineRule="exact"/>
        <w:rPr>
          <w:rFonts w:ascii="Arial" w:cs="Arial" w:eastAsia="Arial" w:hAnsi="Arial"/>
          <w:sz w:val="18"/>
          <w:szCs w:val="18"/>
          <w:i w:val="1"/>
          <w:iCs w:val="1"/>
          <w:color w:val="auto"/>
        </w:rPr>
      </w:pPr>
    </w:p>
    <w:p>
      <w:pPr>
        <w:ind w:left="540" w:hanging="316"/>
        <w:spacing w:after="0"/>
        <w:tabs>
          <w:tab w:leader="none" w:pos="54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the failure to effectively manage our growth and expansion into new markets or to successfully operate acquired properties and operations;</w:t>
      </w:r>
    </w:p>
    <w:p>
      <w:pPr>
        <w:spacing w:after="0" w:line="74" w:lineRule="exact"/>
        <w:rPr>
          <w:rFonts w:ascii="Arial" w:cs="Arial" w:eastAsia="Arial" w:hAnsi="Arial"/>
          <w:sz w:val="17"/>
          <w:szCs w:val="17"/>
          <w:i w:val="1"/>
          <w:iCs w:val="1"/>
          <w:color w:val="auto"/>
        </w:rPr>
      </w:pPr>
    </w:p>
    <w:p>
      <w:pPr>
        <w:ind w:left="540" w:hanging="316"/>
        <w:spacing w:after="0"/>
        <w:tabs>
          <w:tab w:leader="none" w:pos="5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reductions in asset valuations and related impairment charges;</w:t>
      </w:r>
    </w:p>
    <w:p>
      <w:pPr>
        <w:spacing w:after="0" w:line="62" w:lineRule="exact"/>
        <w:rPr>
          <w:rFonts w:ascii="Arial" w:cs="Arial" w:eastAsia="Arial" w:hAnsi="Arial"/>
          <w:sz w:val="18"/>
          <w:szCs w:val="18"/>
          <w:i w:val="1"/>
          <w:iCs w:val="1"/>
          <w:color w:val="auto"/>
        </w:rPr>
      </w:pPr>
    </w:p>
    <w:p>
      <w:pPr>
        <w:ind w:left="540" w:hanging="316"/>
        <w:spacing w:after="0"/>
        <w:tabs>
          <w:tab w:leader="none" w:pos="5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failure of our joint venture partners to fulfill their obligations to us or their pursuit of actions that are inconsistent with our objectives;</w:t>
      </w:r>
    </w:p>
    <w:p>
      <w:pPr>
        <w:spacing w:after="0" w:line="62" w:lineRule="exact"/>
        <w:rPr>
          <w:rFonts w:ascii="Arial" w:cs="Arial" w:eastAsia="Arial" w:hAnsi="Arial"/>
          <w:sz w:val="18"/>
          <w:szCs w:val="18"/>
          <w:i w:val="1"/>
          <w:iCs w:val="1"/>
          <w:color w:val="auto"/>
        </w:rPr>
      </w:pPr>
    </w:p>
    <w:p>
      <w:pPr>
        <w:ind w:left="540" w:hanging="316"/>
        <w:spacing w:after="0"/>
        <w:tabs>
          <w:tab w:leader="none" w:pos="5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failure to maintain our REIT status for U.S. federal income tax purposes;</w:t>
      </w:r>
    </w:p>
    <w:p>
      <w:pPr>
        <w:spacing w:after="0" w:line="62" w:lineRule="exact"/>
        <w:rPr>
          <w:rFonts w:ascii="Arial" w:cs="Arial" w:eastAsia="Arial" w:hAnsi="Arial"/>
          <w:sz w:val="18"/>
          <w:szCs w:val="18"/>
          <w:i w:val="1"/>
          <w:iCs w:val="1"/>
          <w:color w:val="auto"/>
        </w:rPr>
      </w:pPr>
    </w:p>
    <w:p>
      <w:pPr>
        <w:ind w:left="540" w:hanging="316"/>
        <w:spacing w:after="0"/>
        <w:tabs>
          <w:tab w:leader="none" w:pos="5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economic uncertainty due to the impact of war or terrorism, which could adversely affect our business plan; and</w:t>
      </w:r>
    </w:p>
    <w:p>
      <w:pPr>
        <w:spacing w:after="0" w:line="62" w:lineRule="exact"/>
        <w:rPr>
          <w:rFonts w:ascii="Arial" w:cs="Arial" w:eastAsia="Arial" w:hAnsi="Arial"/>
          <w:sz w:val="18"/>
          <w:szCs w:val="18"/>
          <w:i w:val="1"/>
          <w:iCs w:val="1"/>
          <w:color w:val="auto"/>
        </w:rPr>
      </w:pPr>
    </w:p>
    <w:p>
      <w:pPr>
        <w:ind w:left="540" w:hanging="316"/>
        <w:spacing w:after="0"/>
        <w:tabs>
          <w:tab w:leader="none" w:pos="5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difficulties in our ability to attract and retain qualified personnel and management members.</w:t>
      </w:r>
    </w:p>
    <w:p>
      <w:pPr>
        <w:spacing w:after="0" w:line="279" w:lineRule="exact"/>
        <w:rPr>
          <w:sz w:val="20"/>
          <w:szCs w:val="20"/>
          <w:color w:val="auto"/>
        </w:rPr>
      </w:pPr>
    </w:p>
    <w:p>
      <w:pPr>
        <w:ind w:right="100" w:firstLine="432"/>
        <w:spacing w:after="0" w:line="256" w:lineRule="auto"/>
        <w:rPr>
          <w:sz w:val="20"/>
          <w:szCs w:val="20"/>
          <w:color w:val="auto"/>
        </w:rPr>
      </w:pPr>
      <w:r>
        <w:rPr>
          <w:rFonts w:ascii="Arial" w:cs="Arial" w:eastAsia="Arial" w:hAnsi="Arial"/>
          <w:sz w:val="18"/>
          <w:szCs w:val="18"/>
          <w:i w:val="1"/>
          <w:iCs w:val="1"/>
          <w:color w:val="auto"/>
        </w:rPr>
        <w:t>The forward-looking statements are based on our beliefs, assumptions and expectations of our future performance, taking into account all information currently available to us. These beliefs, assumptions and expectations are subject to risks and uncertainties and can change as a result of many possible events or factors, not all of which are known to us. If a change occurs, our business, financial condition, liquidity and results of operations may vary materially from those expressed in our forward-looking statements. You should carefully consider these risks before you make an investment decision with respect to our securities.</w:t>
      </w:r>
    </w:p>
    <w:p>
      <w:pPr>
        <w:spacing w:after="0" w:line="191"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i w:val="1"/>
          <w:iCs w:val="1"/>
          <w:color w:val="auto"/>
        </w:rPr>
        <w:t>We disclaim any duty or obligation to update or revise any forward-looking statements set forth in this Annual Report on Form 10-K to reflect new information, future events or otherwise.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796" w:right="29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Extra Space Storage Inc. (“we,” “our,” “us” or the “Company”) is a fully integrated, self-administered and self-managed real estate investment trust (“REIT”) formed as a Maryland corporation on April 30, 2004, to own, operate, manage, acquire, develop and redevelop professionally managed self-storage properties (“stores”). We closed our initial public offering (“IPO”) on August 17, 2004. Our common stock is traded on the New York Stock Exchange under the symbol “EXR.”</w:t>
      </w:r>
    </w:p>
    <w:p>
      <w:pPr>
        <w:spacing w:after="0" w:line="186"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were formed to continue the business of Extra Space Storage LLC and its subsidiaries, which had engaged in the self-storage business since 1977. These companies were reorganized after the consummation of our IPO and various formation transactions. As of December 31, 2016, we held ownership interests in 1,016 operating stores. Of these operating stores, 836 are wholly-owned and 180 are owned in joint venture partnerships. An additional 411 operating stores are owned by third parties and operated by us in exchange for a management fee, bringing the total number of operating stores which we own and/or manage to 1,427. These operating stores are located in 38 states, Washington, D.C. and Puerto Rico and contain approximately 107 million square feet of net rentable space in approximately 960,000 units and currently serve a customer base of approximately 850,000 tenants.</w:t>
      </w:r>
    </w:p>
    <w:p>
      <w:pPr>
        <w:spacing w:after="0" w:line="16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operate in three distinct segments: (1) rental operations; (2) tenant reinsurance; and (3) property management, acquisition and development. Our rental operations activities include rental operations of stores in which we have an ownership interest. Tenant reinsurance activities include the reinsurance of risks relating to the loss of goods stored by tenants in our stores. Our property management, acquisition and development activities include managing, acquiring, developing and selling stores.</w:t>
      </w:r>
    </w:p>
    <w:p>
      <w:pPr>
        <w:spacing w:after="0" w:line="186"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Substantially all of our business is conducted through Extra Space Storage LP (the “Operating Partnership”). Our primary assets are general partner and limited partner interests in the Operating Partnership. This structure is commonly referred to as an umbrella partnership REIT, or UPREIT. We have elected to be taxed as a REIT under the Internal Revenue Code of 1986, as amended (the “Internal Revenue Code”). To the extent we continue to qualify as a REIT we will not be subject to tax, with certain exceptions, on our net taxable income that is distributed to our stockholders.</w:t>
      </w:r>
    </w:p>
    <w:p>
      <w:pPr>
        <w:spacing w:after="0" w:line="17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We file our annual report on Form 10-K, quarterly reports on Form 10-Q, current reports on Form 8-K, and all amendments to those reports with the Securities and Exchange Commission (the “SEC”). You may obtain copies of these documents by visiting the SEC’s Public Reference Room at 100 F Street, N.E., Washington, D.C. 20549, by calling the SEC at 1-800-SEC-0330 or by accessing the SEC’s website at www.sec.gov. In addition, as soon as reasonably practicable after such materials are furnished to the SEC, we make copies of these documents available to the public free of charge through our website at www.extraspace.com, or by contacting our Secretary at our principal offices, which are located at 2795 East Cottonwood Parkway, Suite 300, Salt Lake City, Utah 84121, telephone number (801) 365-4600.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121"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Members of our executive management team have significant experience in all aspects of the self-storage industry, having acquired and/or developed a significant number of stores since before our IPO. Our executive management team and their years of industry experience are as follows: Joseph D. Margolis, Chief Executive Officer, 12 years; Scott Stubbs, Executive Vice President and Chief Financial Officer, 16 years; Samrat Sondhi, Executive Vice President and Chief Operating Officer, 13 years; Gwyn McNeal, Executive Vice President and Chief Legal Officer, 11 years; James Overturf, Executive Vice President and Chief Marketing Officer, 18 years; and Kenneth M. Woolley, Executive Chairman, 36 years. Spencer F. Kirk served as our Chief Executive Officer through December 31, 2016 and continues to serve on the Company's board of directors. Joseph D. Margolis succeeded Mr. Kirk as the Company's Chief Executive Officer effective January 1, 2017.</w:t>
      </w:r>
    </w:p>
    <w:p>
      <w:pPr>
        <w:spacing w:after="0" w:line="193"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Our executive management team and board of directors have a significant ownership position in the Company with executive officers and directors owning approximately 4,665,566 shares or 3.7% of our outstanding common stock as of February 21, 2017.</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796"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Industry &amp; Competition</w:t>
      </w:r>
    </w:p>
    <w:p>
      <w:pPr>
        <w:spacing w:after="0" w:line="121" w:lineRule="exact"/>
        <w:rPr>
          <w:sz w:val="20"/>
          <w:szCs w:val="20"/>
          <w:color w:val="auto"/>
        </w:rPr>
      </w:pPr>
    </w:p>
    <w:p>
      <w:pPr>
        <w:ind w:right="20" w:firstLine="432"/>
        <w:spacing w:after="0" w:line="301" w:lineRule="auto"/>
        <w:rPr>
          <w:sz w:val="20"/>
          <w:szCs w:val="20"/>
          <w:color w:val="auto"/>
        </w:rPr>
      </w:pPr>
      <w:r>
        <w:rPr>
          <w:rFonts w:ascii="Arial" w:cs="Arial" w:eastAsia="Arial" w:hAnsi="Arial"/>
          <w:sz w:val="16"/>
          <w:szCs w:val="16"/>
          <w:color w:val="auto"/>
        </w:rPr>
        <w:t>Stores offer month-to-month storage space rental for personal or business use and are a cost-effective and flexible storage alternative. Tenants rent fully enclosed spaces that can vary in size according to their specific needs and to which they have unlimited, exclusive access. Tenants have responsibility for moving their items into and out of their units. Self-storage unit sizes typically range from 5 feet by 5 feet to 20 feet by 20 feet, with an interior height of 8 feet to 12 feet. Stores generally have on-site managers who supervise and run the day-to-day operations, providing tenants with assistance as needed.</w:t>
      </w:r>
    </w:p>
    <w:p>
      <w:pPr>
        <w:spacing w:after="0" w:line="156" w:lineRule="exact"/>
        <w:rPr>
          <w:sz w:val="20"/>
          <w:szCs w:val="20"/>
          <w:color w:val="auto"/>
        </w:rPr>
      </w:pPr>
    </w:p>
    <w:p>
      <w:pPr>
        <w:ind w:right="20" w:firstLine="432"/>
        <w:spacing w:after="0" w:line="275" w:lineRule="auto"/>
        <w:rPr>
          <w:sz w:val="20"/>
          <w:szCs w:val="20"/>
          <w:color w:val="auto"/>
        </w:rPr>
      </w:pPr>
      <w:r>
        <w:rPr>
          <w:rFonts w:ascii="Arial" w:cs="Arial" w:eastAsia="Arial" w:hAnsi="Arial"/>
          <w:sz w:val="17"/>
          <w:szCs w:val="17"/>
          <w:color w:val="auto"/>
        </w:rPr>
        <w:t>Self-storage provides a convenient way for individuals and businesses to store their possessions due to life changes, or simply because of a need for storage space. The mix of residential tenants using a store is determined by a store’s local demographics and often includes people who are looking to downsize their living space or others who are not yet settled into a permanent residence. Items that residential tenants place in self-storage range from cars, boats and recreational vehicles, to furniture, household items and appliances. Commercial tenants tend to include small business owners who require easy and frequent access to their goods, records, inventory or storage for seasonal goods.</w:t>
      </w:r>
    </w:p>
    <w:p>
      <w:pPr>
        <w:spacing w:after="0" w:line="17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research has shown that tenants choose a store based primarily on the convenience of the site to their home or business, making high-density, high-traffic population centers ideal locations for stores. A store’s perceived security and the general professionalism of the site managers and staff are also contributing factors to a site’s ability to successfully secure rentals. Although most stores are leased to tenants on a month-to-month basis, tenants tend to continue their leases for extended periods of time.</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self-storage business is subject to seasonal fluctuations. A greater portion of revenues and profits are realized from May through September.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Historically, our highest level of occupancy has been at the end of July, while our lowest level of occupancy has been in late February and early March.</w:t>
      </w:r>
    </w:p>
    <w:p>
      <w:pPr>
        <w:spacing w:after="0" w:line="222" w:lineRule="exact"/>
        <w:rPr>
          <w:sz w:val="20"/>
          <w:szCs w:val="20"/>
          <w:color w:val="auto"/>
        </w:rPr>
      </w:pPr>
    </w:p>
    <w:p>
      <w:pPr>
        <w:jc w:val="both"/>
        <w:ind w:right="240" w:firstLine="432"/>
        <w:spacing w:after="0" w:line="286" w:lineRule="auto"/>
        <w:rPr>
          <w:sz w:val="20"/>
          <w:szCs w:val="20"/>
          <w:color w:val="auto"/>
        </w:rPr>
      </w:pPr>
      <w:r>
        <w:rPr>
          <w:rFonts w:ascii="Arial" w:cs="Arial" w:eastAsia="Arial" w:hAnsi="Arial"/>
          <w:sz w:val="17"/>
          <w:szCs w:val="17"/>
          <w:color w:val="auto"/>
        </w:rPr>
        <w:t>Since inception in the early 1970’s, the self-storage industry has experienced significant growth. The self-storage industry has also seen increases in occupancy over the past several years. According to the Self-Storage Almanac (the “Almanac”), in 2008, the national average physical occupancy rate was 80.3% of net rentable square feet, compared to an average physical occupancy rate of 91.2% in 2016.</w:t>
      </w:r>
    </w:p>
    <w:p>
      <w:pPr>
        <w:spacing w:after="0" w:line="165"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Recently we have encountered competition when we have sought to acquire stores, especially for brokered portfolios. Competitive bidding practices have been commonplace between both public and private entities, and this will likely continue.</w:t>
      </w:r>
    </w:p>
    <w:p>
      <w:pPr>
        <w:spacing w:after="0" w:line="17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industry is also characterized by fragmented ownership. According to the Almanac, the top ten self-storage companies in the United States operated approximately 19.4% of the total U.S. stores, and the top 50 self-storage companies operated approximately 28.6% of the total U.S. stores as of December 31, 2016. We believe this fragmentation will contribute to continued consolidation at some level in the future. We also believe that we are well positioned to compete for acquisitions.</w:t>
      </w:r>
    </w:p>
    <w:p>
      <w:pPr>
        <w:spacing w:after="0" w:line="186"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We are the second largest self-storage operator in the United States. We are one of five public self-storage REITs along with CubeSmart, National Storage Affiliates, Life Storage and Public Storage.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Growth and Investment Strategies</w:t>
      </w:r>
    </w:p>
    <w:p>
      <w:pPr>
        <w:spacing w:after="0" w:line="121"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color w:val="auto"/>
        </w:rPr>
        <w:t>Our primary business objectives are to maximize cash flow available for distribution to our stockholders and to achieve sustainable long-term growth in cash flow per share in order to maximize long-term stockholder value. We continue to evaluate a range of growth initiatives and opportunities, including the following:</w:t>
      </w:r>
    </w:p>
    <w:p>
      <w:pPr>
        <w:spacing w:after="0" w:line="88" w:lineRule="exact"/>
        <w:rPr>
          <w:sz w:val="20"/>
          <w:szCs w:val="20"/>
          <w:color w:val="auto"/>
        </w:rPr>
      </w:pPr>
    </w:p>
    <w:p>
      <w:pPr>
        <w:ind w:left="540" w:right="140" w:hanging="316"/>
        <w:spacing w:after="0" w:line="256"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Maximize the performance of our stores through strategic, efficient and proactive management. </w:t>
      </w:r>
      <w:r>
        <w:rPr>
          <w:rFonts w:ascii="Arial" w:cs="Arial" w:eastAsia="Arial" w:hAnsi="Arial"/>
          <w:sz w:val="18"/>
          <w:szCs w:val="18"/>
          <w:color w:val="auto"/>
        </w:rPr>
        <w:t>We pursue revenue-generating and expense-minimizing opportunities in our operations. Our revenue management team seeks to maximize revenue by responding to changing market conditions through our advanced technology system’s ability to provide real-time, interactive rental rate and discount management. Our size allows us greater ability than the majority of our competitors to implement more effective online marketing programs, which we believe will attract more customers to our stores at a lower net cost.</w:t>
      </w:r>
    </w:p>
    <w:p>
      <w:pPr>
        <w:spacing w:after="0" w:line="29" w:lineRule="exact"/>
        <w:rPr>
          <w:rFonts w:ascii="Arial" w:cs="Arial" w:eastAsia="Arial" w:hAnsi="Arial"/>
          <w:sz w:val="18"/>
          <w:szCs w:val="18"/>
          <w:color w:val="auto"/>
        </w:rPr>
      </w:pPr>
    </w:p>
    <w:p>
      <w:pPr>
        <w:ind w:left="540" w:right="80" w:hanging="316"/>
        <w:spacing w:after="0" w:line="301"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Acquire self storage stores. </w:t>
      </w:r>
      <w:r>
        <w:rPr>
          <w:rFonts w:ascii="Arial" w:cs="Arial" w:eastAsia="Arial" w:hAnsi="Arial"/>
          <w:sz w:val="16"/>
          <w:szCs w:val="16"/>
          <w:color w:val="auto"/>
        </w:rPr>
        <w:t>Our acquisitions team continues to pursue the acquisition of multi-store portfolios and single stores that we believe can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stockholder value. We have established a reputation as a reliable, ethical buyer, which we believe enhances our ability to negotiate and close acquisitions. In addition, we believe our status as an UPREIT enables flexibility when structuring deals. We continue to review available acquisitions. As interest rates increase, our expectation is that capitalization rates will also increase and that prices will begin to decrease. We remain</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119" w:right="259" w:bottom="1440" w:gutter="0" w:footer="0" w:header="0"/>
        </w:sectPr>
      </w:pPr>
    </w:p>
    <w:bookmarkStart w:id="5" w:name="page6"/>
    <w:bookmarkEnd w:id="5"/>
    <w:p>
      <w:pPr>
        <w:ind w:left="540"/>
        <w:spacing w:after="0"/>
        <w:rPr>
          <w:sz w:val="20"/>
          <w:szCs w:val="20"/>
          <w:color w:val="auto"/>
        </w:rPr>
      </w:pPr>
      <w:r>
        <w:rPr>
          <w:rFonts w:ascii="Arial" w:cs="Arial" w:eastAsia="Arial" w:hAnsi="Arial"/>
          <w:sz w:val="18"/>
          <w:szCs w:val="18"/>
          <w:color w:val="auto"/>
        </w:rPr>
        <w:t>a disciplined buyer and only execute acquisitions that we believe will strengthen our portfolio and increase stockholder value.</w:t>
      </w:r>
    </w:p>
    <w:p>
      <w:pPr>
        <w:spacing w:after="0" w:line="76" w:lineRule="exact"/>
        <w:rPr>
          <w:sz w:val="20"/>
          <w:szCs w:val="20"/>
          <w:color w:val="auto"/>
        </w:rPr>
      </w:pPr>
    </w:p>
    <w:p>
      <w:pPr>
        <w:ind w:left="540" w:right="140" w:hanging="316"/>
        <w:spacing w:after="0" w:line="259"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management business. </w:t>
      </w:r>
      <w:r>
        <w:rPr>
          <w:rFonts w:ascii="Arial" w:cs="Arial" w:eastAsia="Arial" w:hAnsi="Arial"/>
          <w:sz w:val="18"/>
          <w:szCs w:val="18"/>
          <w:color w:val="auto"/>
        </w:rPr>
        <w:t>Our management business enables us to generate increased revenues through management fees and expand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geographic footprint. We believe this expanded footprint enables us to reduce our operating costs through economies of scale. In addition, we see our management business as a future acquisition pipeline. We pursue strategic relationships with owners whose stores would enhance our portfolio in the event an opportunity arises to acquire such stores.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of Our Long-Term Growth Strategies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Development Financing</w:t>
      </w:r>
    </w:p>
    <w:p>
      <w:pPr>
        <w:spacing w:after="0" w:line="117"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following table presents information on our revolving lines of credit (the “Credit Lines”) for the periods indicated. All of our Credit Lines are guaranteed by us (amounts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6"/>
              </w:rPr>
              <w:t>As of December 31, 2016</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263"/>
        </w:trPr>
        <w:tc>
          <w:tcPr>
            <w:tcW w:w="24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Revolving Lines of Credit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Amount Drawn</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Capacity</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4"/>
              </w:rPr>
              <w:t>Interest Rate</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Origination Date</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Maturity</w:t>
            </w:r>
          </w:p>
        </w:tc>
        <w:tc>
          <w:tcPr>
            <w:tcW w:w="120" w:type="dxa"/>
            <w:vAlign w:val="bottom"/>
            <w:tcBorders>
              <w:bottom w:val="single" w:sz="8" w:color="CCEEFF"/>
            </w:tcBorders>
          </w:tcPr>
          <w:p>
            <w:pPr>
              <w:spacing w:after="0"/>
              <w:rPr>
                <w:sz w:val="22"/>
                <w:szCs w:val="22"/>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xml:space="preserve">Basis Rate </w:t>
            </w:r>
            <w:r>
              <w:rPr>
                <w:rFonts w:ascii="Arial" w:cs="Arial" w:eastAsia="Arial" w:hAnsi="Arial"/>
                <w:sz w:val="8"/>
                <w:szCs w:val="8"/>
                <w:b w:val="1"/>
                <w:bCs w:val="1"/>
                <w:color w:val="auto"/>
                <w:w w:val="91"/>
              </w:rPr>
              <w:t>(1)</w:t>
            </w:r>
          </w:p>
        </w:tc>
      </w:tr>
      <w:tr>
        <w:trPr>
          <w:trHeight w:val="249"/>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Credit Line 1</w:t>
            </w:r>
          </w:p>
        </w:tc>
        <w:tc>
          <w:tcPr>
            <w:tcW w:w="1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3,000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right="96"/>
              <w:spacing w:after="0"/>
              <w:rPr>
                <w:sz w:val="20"/>
                <w:szCs w:val="20"/>
                <w:color w:val="auto"/>
              </w:rPr>
            </w:pPr>
            <w:r>
              <w:rPr>
                <w:rFonts w:ascii="Arial" w:cs="Arial" w:eastAsia="Arial" w:hAnsi="Arial"/>
                <w:sz w:val="18"/>
                <w:szCs w:val="18"/>
                <w:color w:val="auto"/>
                <w:w w:val="90"/>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6/4/2010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6/30/2018</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LIBOR plus 1.7%</w:t>
            </w: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w w:val="94"/>
              </w:rPr>
              <w:t>Credit Line 2</w:t>
            </w:r>
          </w:p>
        </w:tc>
        <w:tc>
          <w:tcPr>
            <w:tcW w:w="1380" w:type="dxa"/>
            <w:vAlign w:val="bottom"/>
          </w:tcPr>
          <w:p>
            <w:pPr>
              <w:ind w:left="20"/>
              <w:spacing w:after="0"/>
              <w:rPr>
                <w:sz w:val="20"/>
                <w:szCs w:val="20"/>
                <w:color w:val="auto"/>
              </w:rPr>
            </w:pPr>
            <w:r>
              <w:rPr>
                <w:rFonts w:ascii="Arial" w:cs="Arial" w:eastAsia="Arial" w:hAnsi="Arial"/>
                <w:sz w:val="13"/>
                <w:szCs w:val="13"/>
                <w:color w:val="auto"/>
              </w:rPr>
              <w:t>(3)(4)</w:t>
            </w:r>
          </w:p>
        </w:tc>
        <w:tc>
          <w:tcPr>
            <w:tcW w:w="1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362,000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center"/>
              <w:ind w:right="96"/>
              <w:spacing w:after="0"/>
              <w:rPr>
                <w:sz w:val="20"/>
                <w:szCs w:val="20"/>
                <w:color w:val="auto"/>
              </w:rPr>
            </w:pPr>
            <w:r>
              <w:rPr>
                <w:rFonts w:ascii="Arial" w:cs="Arial" w:eastAsia="Arial" w:hAnsi="Arial"/>
                <w:sz w:val="18"/>
                <w:szCs w:val="18"/>
                <w:color w:val="auto"/>
                <w:w w:val="90"/>
              </w:rPr>
              <w:t>2.20%</w:t>
            </w:r>
          </w:p>
        </w:tc>
        <w:tc>
          <w:tcPr>
            <w:tcW w:w="100" w:type="dxa"/>
            <w:vAlign w:val="bottom"/>
          </w:tcPr>
          <w:p>
            <w:pPr>
              <w:spacing w:after="0"/>
              <w:rPr>
                <w:sz w:val="21"/>
                <w:szCs w:val="21"/>
                <w:color w:val="auto"/>
              </w:rPr>
            </w:pPr>
          </w:p>
        </w:tc>
        <w:tc>
          <w:tcPr>
            <w:tcW w:w="1360" w:type="dxa"/>
            <w:vAlign w:val="bottom"/>
          </w:tcPr>
          <w:p>
            <w:pPr>
              <w:jc w:val="right"/>
              <w:ind w:right="196"/>
              <w:spacing w:after="0"/>
              <w:rPr>
                <w:sz w:val="20"/>
                <w:szCs w:val="20"/>
                <w:color w:val="auto"/>
              </w:rPr>
            </w:pPr>
            <w:r>
              <w:rPr>
                <w:rFonts w:ascii="Arial" w:cs="Arial" w:eastAsia="Arial" w:hAnsi="Arial"/>
                <w:sz w:val="18"/>
                <w:szCs w:val="18"/>
                <w:color w:val="auto"/>
              </w:rPr>
              <w:t>10/14/2016</w:t>
            </w:r>
          </w:p>
        </w:tc>
        <w:tc>
          <w:tcPr>
            <w:tcW w:w="100" w:type="dxa"/>
            <w:vAlign w:val="bottom"/>
          </w:tcPr>
          <w:p>
            <w:pPr>
              <w:spacing w:after="0"/>
              <w:rPr>
                <w:sz w:val="21"/>
                <w:szCs w:val="21"/>
                <w:color w:val="auto"/>
              </w:rPr>
            </w:pPr>
          </w:p>
        </w:tc>
        <w:tc>
          <w:tcPr>
            <w:tcW w:w="1260" w:type="dxa"/>
            <w:vAlign w:val="bottom"/>
          </w:tcPr>
          <w:p>
            <w:pPr>
              <w:jc w:val="right"/>
              <w:ind w:right="136"/>
              <w:spacing w:after="0"/>
              <w:rPr>
                <w:sz w:val="20"/>
                <w:szCs w:val="20"/>
                <w:color w:val="auto"/>
              </w:rPr>
            </w:pPr>
            <w:r>
              <w:rPr>
                <w:rFonts w:ascii="Arial" w:cs="Arial" w:eastAsia="Arial" w:hAnsi="Arial"/>
                <w:sz w:val="18"/>
                <w:szCs w:val="18"/>
                <w:color w:val="auto"/>
              </w:rPr>
              <w:t>10/14/2020</w:t>
            </w:r>
          </w:p>
        </w:tc>
        <w:tc>
          <w:tcPr>
            <w:tcW w:w="12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4"/>
              </w:rPr>
              <w:t>LIBOR plus 1.4%</w:t>
            </w:r>
          </w:p>
        </w:tc>
      </w:tr>
      <w:tr>
        <w:trPr>
          <w:trHeight w:val="27"/>
        </w:trPr>
        <w:tc>
          <w:tcPr>
            <w:tcW w:w="10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r>
      <w:tr>
        <w:trPr>
          <w:trHeight w:val="268"/>
        </w:trPr>
        <w:tc>
          <w:tcPr>
            <w:tcW w:w="10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365,000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r>
    </w:tbl>
    <w:p>
      <w:pPr>
        <w:ind w:left="280" w:hanging="245"/>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30-day USD LIBOR</w:t>
      </w:r>
    </w:p>
    <w:p>
      <w:pPr>
        <w:spacing w:after="0" w:line="48" w:lineRule="exact"/>
        <w:rPr>
          <w:rFonts w:ascii="Arial" w:cs="Arial" w:eastAsia="Arial" w:hAnsi="Arial"/>
          <w:sz w:val="18"/>
          <w:szCs w:val="18"/>
          <w:color w:val="auto"/>
        </w:rPr>
      </w:pPr>
    </w:p>
    <w:p>
      <w:pPr>
        <w:ind w:left="280" w:hanging="245"/>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Secured by mortgages on certain real estate assets. One two-year extension available.</w:t>
      </w:r>
    </w:p>
    <w:p>
      <w:pPr>
        <w:spacing w:after="0" w:line="62" w:lineRule="exact"/>
        <w:rPr>
          <w:rFonts w:ascii="Arial" w:cs="Arial" w:eastAsia="Arial" w:hAnsi="Arial"/>
          <w:sz w:val="18"/>
          <w:szCs w:val="18"/>
          <w:color w:val="auto"/>
        </w:rPr>
      </w:pPr>
    </w:p>
    <w:p>
      <w:pPr>
        <w:ind w:left="280" w:hanging="245"/>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Unsecured. Two six-month extensions available.</w:t>
      </w:r>
    </w:p>
    <w:p>
      <w:pPr>
        <w:spacing w:after="0" w:line="62" w:lineRule="exact"/>
        <w:rPr>
          <w:rFonts w:ascii="Arial" w:cs="Arial" w:eastAsia="Arial" w:hAnsi="Arial"/>
          <w:sz w:val="18"/>
          <w:szCs w:val="18"/>
          <w:color w:val="auto"/>
        </w:rPr>
      </w:pPr>
    </w:p>
    <w:p>
      <w:pPr>
        <w:ind w:left="280" w:hanging="245"/>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Basis Rate as of December 31, 2016. Rate is subject to change based on our consolidated leverage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-481330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2" w:lineRule="exact"/>
        <w:rPr>
          <w:sz w:val="20"/>
          <w:szCs w:val="20"/>
          <w:color w:val="auto"/>
        </w:rPr>
      </w:pPr>
    </w:p>
    <w:p>
      <w:pPr>
        <w:ind w:right="740"/>
        <w:spacing w:after="0" w:line="341" w:lineRule="auto"/>
        <w:rPr>
          <w:sz w:val="20"/>
          <w:szCs w:val="20"/>
          <w:color w:val="auto"/>
        </w:rPr>
      </w:pPr>
      <w:r>
        <w:rPr>
          <w:rFonts w:ascii="Arial" w:cs="Arial" w:eastAsia="Arial" w:hAnsi="Arial"/>
          <w:sz w:val="16"/>
          <w:szCs w:val="16"/>
          <w:color w:val="auto"/>
        </w:rPr>
        <w:t>We expect to maintain a flexible approach in financing new store acquisitions. We plan to finance future acquisitions through a combination of cash, borrowings under the Credit Lines, traditional secured and unsecured mortgage financing, joint ventures and additional debt or equity offerings.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 Financing</w:t>
      </w:r>
    </w:p>
    <w:p>
      <w:pPr>
        <w:spacing w:after="0" w:line="117"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As of December 31, 2016, we own 180 of our stores through joint ventures with third parties. We generally manage the day-to-day operations of the underlying stores owned in these joint ventures and have the right to participate in major decisions relating to sales of stores or financings by the applicable joint venture. Our joint venture partners typically provide most of the equity capital required for the operation of the respective business. Under the operating agreements for the joint ventures, we maintain the right to receive between 4.0% and 80.0% of the available cash flow from operations after our joint venture partners and the Company have received a predetermined return, and between 4.0% and 75.0% of the available cash flow from capital transactions after our joint venture partners and the Company have received a return of their capital plus such predetermined return. Most joint venture agreements include buy-sell rights, as well as rights of first offer in connection with the sale of stores by the joint venture.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Stores</w:t>
      </w:r>
    </w:p>
    <w:p>
      <w:pPr>
        <w:spacing w:after="0" w:line="117" w:lineRule="exact"/>
        <w:rPr>
          <w:sz w:val="20"/>
          <w:szCs w:val="20"/>
          <w:color w:val="auto"/>
        </w:rPr>
      </w:pPr>
    </w:p>
    <w:p>
      <w:pPr>
        <w:ind w:right="180" w:firstLine="432"/>
        <w:spacing w:after="0" w:line="307" w:lineRule="auto"/>
        <w:rPr>
          <w:sz w:val="20"/>
          <w:szCs w:val="20"/>
          <w:color w:val="auto"/>
        </w:rPr>
      </w:pPr>
      <w:r>
        <w:rPr>
          <w:rFonts w:ascii="Arial" w:cs="Arial" w:eastAsia="Arial" w:hAnsi="Arial"/>
          <w:sz w:val="17"/>
          <w:szCs w:val="17"/>
          <w:color w:val="auto"/>
        </w:rPr>
        <w:t>We will continue to review our portfolio for stores or groups of stores that are underperforming or are not strategically located, and determine whether to dispose of these stores to fund other growth. As of December 31, 2016, we had two parcels of land that were categorized as held for sale.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60" w:firstLine="432"/>
        <w:spacing w:after="0" w:line="275" w:lineRule="auto"/>
        <w:rPr>
          <w:sz w:val="20"/>
          <w:szCs w:val="20"/>
          <w:color w:val="auto"/>
        </w:rPr>
      </w:pPr>
      <w:r>
        <w:rPr>
          <w:rFonts w:ascii="Arial" w:cs="Arial" w:eastAsia="Arial" w:hAnsi="Arial"/>
          <w:sz w:val="17"/>
          <w:szCs w:val="17"/>
          <w:color w:val="auto"/>
        </w:rPr>
        <w:t>Generally, stores are subject to various laws, ordinances and regulations, including regulations relating to lien sale rights and procedures. Changes in any of these laws or regulations, as well as changes in laws, such as the Comprehensive Environmental Response and Compensation Liability Act, which increase the potential liability for environmental conditions or circumstances existing or created by tenants or others on stores, or laws affecting development, construction, operation, upkeep, safety and taxation may result in significant unanticipated expenditures, loss of stores or other impairments to operations, which would adversely affect our financial position, results of operations or cash flows.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27" w:right="239" w:bottom="1440" w:gutter="0" w:footer="0" w:header="0"/>
        </w:sectPr>
      </w:pPr>
    </w:p>
    <w:bookmarkStart w:id="6" w:name="page7"/>
    <w:bookmarkEnd w:id="6"/>
    <w:p>
      <w:pPr>
        <w:ind w:firstLine="432"/>
        <w:spacing w:after="0" w:line="255" w:lineRule="auto"/>
        <w:rPr>
          <w:sz w:val="20"/>
          <w:szCs w:val="20"/>
          <w:color w:val="auto"/>
        </w:rPr>
      </w:pPr>
      <w:r>
        <w:rPr>
          <w:rFonts w:ascii="Arial" w:cs="Arial" w:eastAsia="Arial" w:hAnsi="Arial"/>
          <w:sz w:val="18"/>
          <w:szCs w:val="18"/>
          <w:color w:val="auto"/>
        </w:rPr>
        <w:t>Under the Americans with Disabilities Act of 1990 (the “ADA”), places of public accommodation are required to meet certain federal requirements related to access and use by disabled persons. These requirements became effective in 1992. A number of additional U.S. federal, state and local laws also exist that may require modifications to the stores, or restrict further renovations thereof, with respect to access thereto by disabled persons. Noncompliance with the ADA could result in the imposition of fines or an award of damages to private litigants and also could result in an order to correct any non-complying feature, thereby requiring substantial capital expenditures. To the extent our stores are not in compliance, we are likely to incur additional costs to comply with the ADA.</w:t>
      </w:r>
    </w:p>
    <w:p>
      <w:pPr>
        <w:spacing w:after="0" w:line="191" w:lineRule="exact"/>
        <w:rPr>
          <w:sz w:val="20"/>
          <w:szCs w:val="20"/>
          <w:color w:val="auto"/>
        </w:rPr>
      </w:pPr>
    </w:p>
    <w:p>
      <w:pPr>
        <w:ind w:right="180" w:firstLine="432"/>
        <w:spacing w:after="0" w:line="263" w:lineRule="auto"/>
        <w:rPr>
          <w:sz w:val="20"/>
          <w:szCs w:val="20"/>
          <w:color w:val="auto"/>
        </w:rPr>
      </w:pPr>
      <w:r>
        <w:rPr>
          <w:rFonts w:ascii="Arial" w:cs="Arial" w:eastAsia="Arial" w:hAnsi="Arial"/>
          <w:sz w:val="18"/>
          <w:szCs w:val="18"/>
          <w:color w:val="auto"/>
        </w:rPr>
        <w:t>Insurance activities are subject to state insurance laws and regulations as determined by the particular insurance commissioner for each state in accordance with the McCarran-Ferguson Act, and are subject to the Gramm-Leach-Bliley Act and the privacy regulations promulgated by the Federal Trade Commission pursuant thereto.</w:t>
      </w:r>
    </w:p>
    <w:p>
      <w:pPr>
        <w:spacing w:after="0" w:line="183"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Store management activities are often subject to state real estate brokerage laws and regulations as determined by the particular real estate commission for each state.</w:t>
      </w:r>
    </w:p>
    <w:p>
      <w:pPr>
        <w:spacing w:after="0" w:line="170"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Changes in any of the laws governing our conduct could have an adverse impact on our ability to conduct our business or could materially affect our financial position, results of operations or cash flows.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As of February 21, 2017, we had 3,287 employees and believe our relationship with our employees is good. Our employees are not represented by a collective bargaining agreement.</w:t>
      </w:r>
    </w:p>
    <w:p>
      <w:pPr>
        <w:spacing w:after="0" w:line="27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jc w:val="both"/>
        <w:ind w:right="200" w:firstLine="432"/>
        <w:spacing w:after="0" w:line="263" w:lineRule="auto"/>
        <w:rPr>
          <w:sz w:val="20"/>
          <w:szCs w:val="20"/>
          <w:color w:val="auto"/>
        </w:rPr>
      </w:pPr>
      <w:r>
        <w:rPr>
          <w:rFonts w:ascii="Arial" w:cs="Arial" w:eastAsia="Arial" w:hAnsi="Arial"/>
          <w:sz w:val="18"/>
          <w:szCs w:val="18"/>
          <w:color w:val="auto"/>
        </w:rPr>
        <w:t>An investment in our securities involves various risks. All investors should carefully consider the following risk factors in conjunction with the other information contained in this Annual Report before trading in our securities. If any of the events set forth in the following risks actually occur, our business, operating results, prospects and financial condition could be harmed.</w:t>
      </w:r>
    </w:p>
    <w:p>
      <w:pPr>
        <w:spacing w:after="0" w:line="183"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Our performance is subject to risks associated with real estate investments. We are a real estate company that derives our income from operation of our stores. There are a number of factors that may adversely affect the income that our stores generate, including the following: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Stores and Operations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Adverse economic or other conditions in the markets in which we do business could negatively affect our occupancy levels and rental rates and therefore our operating results.</w:t>
      </w:r>
    </w:p>
    <w:p>
      <w:pPr>
        <w:spacing w:after="0" w:line="62" w:lineRule="exact"/>
        <w:rPr>
          <w:sz w:val="20"/>
          <w:szCs w:val="20"/>
          <w:color w:val="auto"/>
        </w:rPr>
      </w:pPr>
    </w:p>
    <w:p>
      <w:pPr>
        <w:ind w:right="100" w:firstLine="432"/>
        <w:spacing w:after="0" w:line="296" w:lineRule="auto"/>
        <w:rPr>
          <w:sz w:val="20"/>
          <w:szCs w:val="20"/>
          <w:color w:val="auto"/>
        </w:rPr>
      </w:pPr>
      <w:r>
        <w:rPr>
          <w:rFonts w:ascii="Arial" w:cs="Arial" w:eastAsia="Arial" w:hAnsi="Arial"/>
          <w:sz w:val="16"/>
          <w:szCs w:val="16"/>
          <w:color w:val="auto"/>
        </w:rPr>
        <w:t>Our operating results are dependent upon our ability to maximize occupancy levels and rental rates in our stores. Adverse economic or other conditions in the markets in which we operate may lower our occupancy levels and limit our ability to increase rents or require us to offer rental discounts. If our stores fail to generate revenues sufficient to meet our cash requirements, including operating and other expenses, debt service and capital expenditures, our net income, funds from operations (“FFO”), cash flow, financial condition, ability to make cash distributions to stockholders and the trading price of our securities could be adversely affected. The following factors, among others, may adversely affect the operating performance of our stores:</w:t>
      </w:r>
    </w:p>
    <w:p>
      <w:pPr>
        <w:spacing w:after="0" w:line="66" w:lineRule="exact"/>
        <w:rPr>
          <w:sz w:val="20"/>
          <w:szCs w:val="20"/>
          <w:color w:val="auto"/>
        </w:rPr>
      </w:pPr>
    </w:p>
    <w:p>
      <w:pPr>
        <w:ind w:left="540" w:right="240" w:hanging="316"/>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national economic climate and the local or regional economic climate in the markets in which we operate, which may be adversely impacted by, among other factors, industry slowdowns, relocation of businesses and changing demographics;</w:t>
      </w:r>
    </w:p>
    <w:p>
      <w:pPr>
        <w:spacing w:after="0" w:line="7" w:lineRule="exact"/>
        <w:rPr>
          <w:rFonts w:ascii="Arial" w:cs="Arial" w:eastAsia="Arial" w:hAnsi="Arial"/>
          <w:sz w:val="18"/>
          <w:szCs w:val="18"/>
          <w:color w:val="auto"/>
        </w:rPr>
      </w:pPr>
    </w:p>
    <w:p>
      <w:pPr>
        <w:ind w:left="540" w:right="60" w:hanging="316"/>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periods of economic slowdown or recession, rising interest rates, or declining demand for self-storage or the public perception that any of these events may occur could result in a general decline in rental rates or an increase in tenant defaults;</w:t>
      </w:r>
    </w:p>
    <w:p>
      <w:pPr>
        <w:spacing w:after="0" w:line="7"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decline of the current economic environment;</w:t>
      </w:r>
    </w:p>
    <w:p>
      <w:pPr>
        <w:spacing w:after="0" w:line="62" w:lineRule="exact"/>
        <w:rPr>
          <w:rFonts w:ascii="Arial" w:cs="Arial" w:eastAsia="Arial" w:hAnsi="Arial"/>
          <w:sz w:val="18"/>
          <w:szCs w:val="18"/>
          <w:color w:val="auto"/>
        </w:rPr>
      </w:pPr>
    </w:p>
    <w:p>
      <w:pPr>
        <w:ind w:left="540" w:right="180" w:hanging="316"/>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local or regional real estate market conditions, such as competing stores, the oversupply of self-storage or a reduction in demand for self-storage in a particular area;</w:t>
      </w:r>
    </w:p>
    <w:p>
      <w:pPr>
        <w:spacing w:after="0" w:line="7" w:lineRule="exact"/>
        <w:rPr>
          <w:rFonts w:ascii="Arial" w:cs="Arial" w:eastAsia="Arial" w:hAnsi="Arial"/>
          <w:sz w:val="18"/>
          <w:szCs w:val="18"/>
          <w:color w:val="auto"/>
        </w:rPr>
      </w:pPr>
    </w:p>
    <w:p>
      <w:pPr>
        <w:ind w:left="540" w:right="440" w:hanging="316"/>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perceptions by prospective users of our stores of the safety, convenience and attractiveness of our stores and the neighborhoods in which they are located;</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015" w:right="239" w:bottom="1440" w:gutter="0" w:footer="0" w:header="0"/>
        </w:sectPr>
      </w:pPr>
    </w:p>
    <w:bookmarkStart w:id="7" w:name="page8"/>
    <w:bookmarkEnd w:id="7"/>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operating costs, including the need for capital improvements, insurance premiums, real estate taxes and utilities;</w:t>
      </w:r>
    </w:p>
    <w:p>
      <w:pPr>
        <w:spacing w:after="0" w:line="62"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environmental protection laws;</w:t>
      </w:r>
    </w:p>
    <w:p>
      <w:pPr>
        <w:spacing w:after="0" w:line="62"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 real estate and zoning laws; and</w:t>
      </w:r>
    </w:p>
    <w:p>
      <w:pPr>
        <w:spacing w:after="0" w:line="62" w:lineRule="exact"/>
        <w:rPr>
          <w:rFonts w:ascii="Arial" w:cs="Arial" w:eastAsia="Arial" w:hAnsi="Arial"/>
          <w:sz w:val="18"/>
          <w:szCs w:val="18"/>
          <w:color w:val="auto"/>
        </w:rPr>
      </w:pPr>
    </w:p>
    <w:p>
      <w:pPr>
        <w:ind w:left="540" w:right="460" w:hanging="316"/>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earthquakes, hurricanes and other natural disasters, terrorist acts, civil disturbances or acts of war which may result in uninsured or underinsured losses.</w:t>
      </w:r>
    </w:p>
    <w:p>
      <w:pPr>
        <w:spacing w:after="0" w:line="33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we are unable to promptly re-let our units or if the rates upon such re-letting are significantly lower than expected, our business and results of operations would be adversely affected.</w:t>
      </w:r>
    </w:p>
    <w:p>
      <w:pPr>
        <w:spacing w:after="0" w:line="62" w:lineRule="exact"/>
        <w:rPr>
          <w:sz w:val="20"/>
          <w:szCs w:val="20"/>
          <w:color w:val="auto"/>
        </w:rPr>
      </w:pPr>
    </w:p>
    <w:p>
      <w:pPr>
        <w:ind w:right="480" w:firstLine="432"/>
        <w:spacing w:after="0" w:line="341" w:lineRule="auto"/>
        <w:rPr>
          <w:sz w:val="20"/>
          <w:szCs w:val="20"/>
          <w:color w:val="auto"/>
        </w:rPr>
      </w:pPr>
      <w:r>
        <w:rPr>
          <w:rFonts w:ascii="Arial" w:cs="Arial" w:eastAsia="Arial" w:hAnsi="Arial"/>
          <w:sz w:val="16"/>
          <w:szCs w:val="16"/>
          <w:color w:val="auto"/>
        </w:rPr>
        <w:t>Virtually all of our leases are on a month-to-month basis. Any delay in re-letting units as vacancies arise would reduce our revenues and harm our operating results. In addition, lower than expected rental rates upon re-letting could adversely affect our revenues and impede our growth.</w:t>
      </w:r>
    </w:p>
    <w:p>
      <w:pPr>
        <w:spacing w:after="0" w:line="23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depend upon our on-site personnel to maximize tenant satisfaction at each of our stores, and any difficulties we encounter in hiring, training and maintaining skilled field personnel may harm our operating performance.</w:t>
      </w:r>
    </w:p>
    <w:p>
      <w:pPr>
        <w:spacing w:after="0" w:line="62"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We had 2,723 field personnel as of February 21, 2017 in the management and operation of our stores. The general professionalism of our store managers and staff are contributing factors to a store’s ability to successfully secure rentals and retain tenants. We also rely upon our field personnel to maintain clean and secure stores. If we are unable to successfully recruit, train and retain qualified field personnel, the quality of service we strive to provide at our stores could be adversely affected which could lead to decreased occupancy levels and reduced operating performance.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Uninsured losses or losses in excess of our insurance coverage could adversely affect our financial condition and our cash flow.</w:t>
      </w:r>
    </w:p>
    <w:p>
      <w:pPr>
        <w:spacing w:after="0" w:line="11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maintain comprehensive liability, fire, flood, earthquake, wind (as deemed necessary or as required by our lenders), extended coverage and rental loss insurance with respect to our stores. Certain types of losses, however, may be either uninsurable or not economically insurable, such as losses due to earthquakes, hurricanes, tornadoes, riots, acts of war or terrorism. Should an uninsured loss occur, we could lose both our investment in and anticipated profits and cash flow from a store. In addition, if any such loss is insured, we may be required to pay significant amounts on any claim for recovery of such a loss prior to our insurer being obligated to reimburse us for the loss, or the amount of the loss may exceed our coverage for the loss. As a result, our operating results may be adversely affected.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taxes and regulatory compliance costs may reduce our income.</w:t>
      </w:r>
    </w:p>
    <w:p>
      <w:pPr>
        <w:spacing w:after="0" w:line="117" w:lineRule="exact"/>
        <w:rPr>
          <w:sz w:val="20"/>
          <w:szCs w:val="20"/>
          <w:color w:val="auto"/>
        </w:rPr>
      </w:pPr>
    </w:p>
    <w:p>
      <w:pPr>
        <w:ind w:right="60" w:firstLine="432"/>
        <w:spacing w:after="0" w:line="275" w:lineRule="auto"/>
        <w:rPr>
          <w:sz w:val="20"/>
          <w:szCs w:val="20"/>
          <w:color w:val="auto"/>
        </w:rPr>
      </w:pPr>
      <w:r>
        <w:rPr>
          <w:rFonts w:ascii="Arial" w:cs="Arial" w:eastAsia="Arial" w:hAnsi="Arial"/>
          <w:sz w:val="17"/>
          <w:szCs w:val="17"/>
          <w:color w:val="auto"/>
        </w:rPr>
        <w:t>Costs resulting from changes in real estate tax laws generally are not passed through to tenants directly and will affect us. Increases in income, property or other taxes generally are not passed through to tenants under leases and may reduce our net income, FFO, cash flow, financial condition, ability to pay or refinance our debt obligations, ability to make cash distributions to stockholders, and the trading price of our securities. Similarly, changes in laws increasing the potential liability for environmental conditions existing on stores or increasing the restrictions on discharges or other conditions may result in significant unanticipated expenditures, which could similarly adversely affect our business and 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compliance costs and liabilities associated with operating our stores may affect our results of operations.</w:t>
      </w:r>
    </w:p>
    <w:p>
      <w:pPr>
        <w:spacing w:after="0" w:line="117"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Under various U.S. federal, state and local laws, ordinances and regulations, owners and operators of real estate may be liable for the costs of investigating and remediating certain hazardous substances or other regulated materials on or in such property. Such laws often impose such liability without regard to whether the owner or operator knew of, or was responsible for, the presence of such substances or materials. The presence of such substances or materials, or the failure to properly remediate such substances, may adversely affect the owner’s or operator’s ability to lease, sell or rent such property or to borrow using such property as collateral. Persons who arrange for the disposal or treatment of hazardous substances or other regulated materials may be liable for the costs of removal or remediation of such substances at a disposal or treatment facility, whether or not such facility is owned or operated by such person. Certain environmental laws impose liability for release of asbestos-containing materials into the air and third parties may seek recovery from owners or operators of real stores for personal injury associated with asbestos-containing materials.</w:t>
      </w:r>
    </w:p>
    <w:p>
      <w:pPr>
        <w:spacing w:after="0" w:line="177"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Certain environmental laws also impose liability, without regard to knowledge or fault, for removal or remediation of hazardous substances or other regulated materials upon owners and operators of contaminated property even after they no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800" w:right="259" w:bottom="1440" w:gutter="0" w:footer="0" w:header="0"/>
        </w:sectPr>
      </w:pPr>
    </w:p>
    <w:bookmarkStart w:id="8" w:name="page9"/>
    <w:bookmarkEnd w:id="8"/>
    <w:p>
      <w:pPr>
        <w:ind w:right="40"/>
        <w:spacing w:after="0" w:line="307" w:lineRule="auto"/>
        <w:rPr>
          <w:sz w:val="20"/>
          <w:szCs w:val="20"/>
          <w:color w:val="auto"/>
        </w:rPr>
      </w:pPr>
      <w:r>
        <w:rPr>
          <w:rFonts w:ascii="Arial" w:cs="Arial" w:eastAsia="Arial" w:hAnsi="Arial"/>
          <w:sz w:val="17"/>
          <w:szCs w:val="17"/>
          <w:color w:val="auto"/>
        </w:rPr>
        <w:t>longer own or operate the property. Moreover, the past or present owner or operator from which a release emanates could be liable for any personal injuries or property damages that may result from such releases, as well as any damages to natural resources that may arise from such releases.</w:t>
      </w:r>
    </w:p>
    <w:p>
      <w:pPr>
        <w:spacing w:after="0" w:line="147" w:lineRule="exact"/>
        <w:rPr>
          <w:sz w:val="20"/>
          <w:szCs w:val="20"/>
          <w:color w:val="auto"/>
        </w:rPr>
      </w:pPr>
    </w:p>
    <w:p>
      <w:pPr>
        <w:ind w:right="300" w:firstLine="432"/>
        <w:spacing w:after="0" w:line="263" w:lineRule="auto"/>
        <w:rPr>
          <w:sz w:val="20"/>
          <w:szCs w:val="20"/>
          <w:color w:val="auto"/>
        </w:rPr>
      </w:pPr>
      <w:r>
        <w:rPr>
          <w:rFonts w:ascii="Arial" w:cs="Arial" w:eastAsia="Arial" w:hAnsi="Arial"/>
          <w:sz w:val="18"/>
          <w:szCs w:val="18"/>
          <w:color w:val="auto"/>
        </w:rPr>
        <w:t>Certain environmental laws impose compliance obligations on owners and operators of real property with respect to the management of hazardous materials and other regulated substances. For example, environmental laws govern the management of asbestos-containing materials and lead-based paint. Failure to comply with these laws can result in penalties or other sanctions.</w:t>
      </w:r>
    </w:p>
    <w:p>
      <w:pPr>
        <w:spacing w:after="0" w:line="183" w:lineRule="exact"/>
        <w:rPr>
          <w:sz w:val="20"/>
          <w:szCs w:val="20"/>
          <w:color w:val="auto"/>
        </w:rPr>
      </w:pPr>
    </w:p>
    <w:p>
      <w:pPr>
        <w:ind w:firstLine="432"/>
        <w:spacing w:after="0" w:line="256" w:lineRule="auto"/>
        <w:rPr>
          <w:sz w:val="20"/>
          <w:szCs w:val="20"/>
          <w:color w:val="auto"/>
        </w:rPr>
      </w:pPr>
      <w:r>
        <w:rPr>
          <w:rFonts w:ascii="Arial" w:cs="Arial" w:eastAsia="Arial" w:hAnsi="Arial"/>
          <w:sz w:val="18"/>
          <w:szCs w:val="18"/>
          <w:color w:val="auto"/>
        </w:rPr>
        <w:t>No assurances can be given that existing environmental studies with respect to any of our stores reveal all environmental liabilities, that any prior owner or operator of our stores did not create any material environmental condition not known to us, or that a material environmental condition does not otherwise exist as to any one or more of our stores. There also exists the risk that material environmental conditions, liabilities or compliance concerns may have arisen after the review was completed or may arise in the future. Finally, future laws, ordinances or regulations and future interpretations of existing laws, ordinances or regulations may impose additional material environmental liability.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associated with complying with the Americans with Disabilities Act of 1990 may result in unanticipated expenses.</w:t>
      </w:r>
    </w:p>
    <w:p>
      <w:pPr>
        <w:spacing w:after="0" w:line="117"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Under the ADA, places of public accommodation are required to meet certain federal requirements related to access and use by disabled persons. These requirements became effective in 1992. A number of additional U.S. federal, state and local laws may also require modifications to our stores, or restrict certain further renovations of the stores, with respect to access thereto by disabled persons. Noncompliance with the ADA could result in the imposition of fines or an award of damages to private litigants and also could result in an order to correct any non-complying feature, which could result in substantial capital expenditures. We have not conducted an audit or investigation of all of our stores to determine our compliance and we cannot predict the ultimate cost of compliance with the ADA or other legislation. If one or more of our stores is not in compliance with the ADA or other legislation, then we would be required to incur additional costs to bring the facility into compliance. If we incur substantial costs to comply with the ADA or other legislation, our financial condition, results of operations, cash flow, per share trading price of our securities and our ability to satisfy our debt service obligations and to make cash distributions to our stockholders could be adversely affected.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tenant reinsurance business is subject to significant governmental regulation, which may adversely affect our results.</w:t>
      </w:r>
    </w:p>
    <w:p>
      <w:pPr>
        <w:spacing w:after="0" w:line="117" w:lineRule="exact"/>
        <w:rPr>
          <w:sz w:val="20"/>
          <w:szCs w:val="20"/>
          <w:color w:val="auto"/>
        </w:rPr>
      </w:pPr>
    </w:p>
    <w:p>
      <w:pPr>
        <w:ind w:right="220" w:firstLine="432"/>
        <w:spacing w:after="0" w:line="275" w:lineRule="auto"/>
        <w:rPr>
          <w:sz w:val="20"/>
          <w:szCs w:val="20"/>
          <w:color w:val="auto"/>
        </w:rPr>
      </w:pPr>
      <w:r>
        <w:rPr>
          <w:rFonts w:ascii="Arial" w:cs="Arial" w:eastAsia="Arial" w:hAnsi="Arial"/>
          <w:sz w:val="17"/>
          <w:szCs w:val="17"/>
          <w:color w:val="auto"/>
        </w:rPr>
        <w:t>Our tenant reinsurance business is subject to significant governmental regulation. The regulatory authorities generally have broad discretion to grant, renew and revoke licenses and approvals, to promulgate, interpret and implement regulations, and to evaluate compliance with regulations through periodic examinations, audits and investigations of the affairs of insurance providers. As a result of regulatory or private action in any jurisdiction, we may be temporarily or permanently suspended from continuing some or all of our reinsurance activities, or otherwise fined or penalized or suffer an adverse judgment, which could adversely affect our business and results of operations.</w:t>
      </w:r>
    </w:p>
    <w:p>
      <w:pPr>
        <w:spacing w:after="0" w:line="28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face competition for the acquisition of stores and other assets, which may impede our ability to make future acquisitions or may increase the cost of these acquisitions.</w:t>
      </w:r>
    </w:p>
    <w:p>
      <w:pPr>
        <w:spacing w:after="0" w:line="62"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We compete with many other entities engaged in real estate investment activities for acquisitions of stores and other assets, including national, regional and local operators and developers of stores. These competitors may drive up the price we pay for stores or other assets we seek to acquire or may succeed in acquiring those stores or assets themselves. In addition, our potential acquisition targets may find our competitors to be more attractive suitors because they may have greater resources, may be willing to pay more or may have a more compatible operating philosophy. In addition, the number of entities and the amount of funds competing for suitable investment in stores may increase. This competition would result in increased demand for these assets and therefore increased prices paid for them. Because of an increased interest in single-store acquisitions among tax-motivated individual purchasers, we may pay higher prices if we purchase single stores in comparison with portfolio acquisitions. If we pay higher prices for stores or other assets, our profitability will be reduced.</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identifying and consummating suitable acquisitions that meet our criteria, which may impede our growth.</w:t>
      </w:r>
    </w:p>
    <w:p>
      <w:pPr>
        <w:spacing w:after="0" w:line="128" w:lineRule="exact"/>
        <w:rPr>
          <w:sz w:val="20"/>
          <w:szCs w:val="20"/>
          <w:color w:val="auto"/>
        </w:rPr>
      </w:pPr>
    </w:p>
    <w:p>
      <w:pPr>
        <w:jc w:val="both"/>
        <w:ind w:right="240" w:firstLine="432"/>
        <w:spacing w:after="0" w:line="263" w:lineRule="auto"/>
        <w:rPr>
          <w:sz w:val="20"/>
          <w:szCs w:val="20"/>
          <w:color w:val="auto"/>
        </w:rPr>
      </w:pPr>
      <w:r>
        <w:rPr>
          <w:rFonts w:ascii="Arial" w:cs="Arial" w:eastAsia="Arial" w:hAnsi="Arial"/>
          <w:sz w:val="18"/>
          <w:szCs w:val="18"/>
          <w:color w:val="auto"/>
        </w:rPr>
        <w:t>Our ability to expand through acquisitions is integral to our business strategy and requires us to identify suitable acquisition candidates or investment opportunities that meet our criteria and are compatible with our growth strategy. We may not be successful in identifying suitable stores or other assets that meet our acquisition criteria or in consummating acquisitions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015" w:right="239" w:bottom="1440" w:gutter="0" w:footer="0" w:header="0"/>
        </w:sectPr>
      </w:pPr>
    </w:p>
    <w:bookmarkStart w:id="9" w:name="page10"/>
    <w:bookmarkEnd w:id="9"/>
    <w:p>
      <w:pPr>
        <w:ind w:right="260"/>
        <w:spacing w:after="0" w:line="277" w:lineRule="auto"/>
        <w:rPr>
          <w:sz w:val="20"/>
          <w:szCs w:val="20"/>
          <w:color w:val="auto"/>
        </w:rPr>
      </w:pPr>
      <w:r>
        <w:rPr>
          <w:rFonts w:ascii="Arial" w:cs="Arial" w:eastAsia="Arial" w:hAnsi="Arial"/>
          <w:sz w:val="18"/>
          <w:szCs w:val="18"/>
          <w:color w:val="auto"/>
        </w:rPr>
        <w:t>or investments on satisfactory terms or at all. Failure to identify or consummate acquisitions will slow our growth, which could in turn adversely affect our stock price.</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Our ability to acquire stores on favorable terms and successfully integrate and operate them may be constrained by the following significant risks:</w:t>
      </w:r>
    </w:p>
    <w:p>
      <w:pPr>
        <w:spacing w:after="0" w:line="142" w:lineRule="exact"/>
        <w:rPr>
          <w:sz w:val="20"/>
          <w:szCs w:val="20"/>
          <w:color w:val="auto"/>
        </w:rPr>
      </w:pPr>
    </w:p>
    <w:p>
      <w:pPr>
        <w:ind w:left="540" w:right="600" w:hanging="316"/>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from local investors and other real estate investors with significant capital, including other publicly-traded REITs and institutional investment funds;</w:t>
      </w:r>
    </w:p>
    <w:p>
      <w:pPr>
        <w:spacing w:after="0" w:line="7"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from other potential acquirers may significantly increase the purchase price which could reduce our profitability;</w:t>
      </w:r>
    </w:p>
    <w:p>
      <w:pPr>
        <w:spacing w:after="0" w:line="62"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inability to achieve satisfactory completion of due diligence investigations and other customary closing conditions;</w:t>
      </w:r>
    </w:p>
    <w:p>
      <w:pPr>
        <w:spacing w:after="0" w:line="62"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finance an acquisition on favorable terms or at all;</w:t>
      </w:r>
    </w:p>
    <w:p>
      <w:pPr>
        <w:spacing w:after="0" w:line="62"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spend more than the time and amounts budgeted to make necessary improvements or renovations to acquired stores; and</w:t>
      </w:r>
    </w:p>
    <w:p>
      <w:pPr>
        <w:spacing w:after="0" w:line="62" w:lineRule="exact"/>
        <w:rPr>
          <w:rFonts w:ascii="Arial" w:cs="Arial" w:eastAsia="Arial" w:hAnsi="Arial"/>
          <w:sz w:val="18"/>
          <w:szCs w:val="18"/>
          <w:color w:val="auto"/>
        </w:rPr>
      </w:pPr>
    </w:p>
    <w:p>
      <w:pPr>
        <w:ind w:left="540" w:right="200" w:hanging="316"/>
        <w:spacing w:after="0" w:line="263"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acquire stores subject to liabilities without any recourse, or with only limited recourse, with respect to unknown liabilities such as liabilities for clean-up of undisclosed environmental contamination, claims by persons dealing with the former owners of the stores and claims for indemnification by general partners, directors, officers and others indemnified by the former owners of the stores.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strategic decisions by us, such as acquisitions, may adversely affect the price of our securities.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integrating and operating acquired stores.</w:t>
      </w:r>
    </w:p>
    <w:p>
      <w:pPr>
        <w:spacing w:after="0" w:line="117"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We have acquired many stores in the past, and we expect to continue acquiring stores in the future. If we acquire any stores, we will be required to integrate them into our existing portfolio. The acquired stores may turn out to be less compatible with our growth strategy than originally anticipated, may cause disruptions in our operations or may divert management’s attention away from day-to-day operations, which could impair our operating results as a whole.</w:t>
      </w:r>
    </w:p>
    <w:p>
      <w:pPr>
        <w:spacing w:after="0" w:line="2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investments in development and redevelopment projects may not yield anticipated returns, which would harm our operating results and reduce the amount of funds available for distributions.</w:t>
      </w:r>
    </w:p>
    <w:p>
      <w:pPr>
        <w:spacing w:after="0" w:line="62"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To the extent that we engage in development and redevelopment activities, we will be subject to the following risks normally associated with these projects:</w:t>
      </w:r>
    </w:p>
    <w:p>
      <w:pPr>
        <w:spacing w:after="0" w:line="75" w:lineRule="exact"/>
        <w:rPr>
          <w:sz w:val="20"/>
          <w:szCs w:val="20"/>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unable to obtain financing for these projects on favorable terms or at all;</w:t>
      </w:r>
    </w:p>
    <w:p>
      <w:pPr>
        <w:spacing w:after="0" w:line="62"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complete development or redevelopment projects on schedule or within budgeted amounts;</w:t>
      </w:r>
    </w:p>
    <w:p>
      <w:pPr>
        <w:spacing w:after="0" w:line="62" w:lineRule="exact"/>
        <w:rPr>
          <w:rFonts w:ascii="Arial" w:cs="Arial" w:eastAsia="Arial" w:hAnsi="Arial"/>
          <w:sz w:val="18"/>
          <w:szCs w:val="18"/>
          <w:color w:val="auto"/>
        </w:rPr>
      </w:pPr>
    </w:p>
    <w:p>
      <w:pPr>
        <w:ind w:left="540" w:right="300" w:hanging="316"/>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encounter delays or refusals in obtaining all necessary zoning, land use, building, occupancy and other required governmental permits and authorizations; and</w:t>
      </w:r>
    </w:p>
    <w:p>
      <w:pPr>
        <w:spacing w:after="0" w:line="7" w:lineRule="exact"/>
        <w:rPr>
          <w:rFonts w:ascii="Arial" w:cs="Arial" w:eastAsia="Arial" w:hAnsi="Arial"/>
          <w:sz w:val="18"/>
          <w:szCs w:val="18"/>
          <w:color w:val="auto"/>
        </w:rPr>
      </w:pPr>
    </w:p>
    <w:p>
      <w:pPr>
        <w:ind w:left="540" w:right="120" w:hanging="316"/>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occupancy rates and rents at newly developed or redeveloped stores may fluctuate depending on a number of factors, including market and economic conditions, and may result in our investment not being profitable.</w:t>
      </w:r>
    </w:p>
    <w:p>
      <w:pPr>
        <w:spacing w:after="0" w:line="224" w:lineRule="exact"/>
        <w:rPr>
          <w:sz w:val="20"/>
          <w:szCs w:val="20"/>
          <w:color w:val="auto"/>
        </w:rPr>
      </w:pPr>
    </w:p>
    <w:p>
      <w:pPr>
        <w:ind w:right="60" w:firstLine="432"/>
        <w:spacing w:after="0" w:line="256" w:lineRule="auto"/>
        <w:rPr>
          <w:sz w:val="20"/>
          <w:szCs w:val="20"/>
          <w:color w:val="auto"/>
        </w:rPr>
      </w:pPr>
      <w:r>
        <w:rPr>
          <w:rFonts w:ascii="Arial" w:cs="Arial" w:eastAsia="Arial" w:hAnsi="Arial"/>
          <w:sz w:val="18"/>
          <w:szCs w:val="18"/>
          <w:color w:val="auto"/>
        </w:rPr>
        <w:t>In deciding whether to develop or redevelop a particular property, we make certain assumptions regarding the expected future performance of the store. We may underestimate the costs necessary to bring the property up to the standards established for its intended market position or may be unable to increase occupancy at a newly developed store as quickly as expected or at all. Any substantial unanticipated delays or expenses could adversely affect the investment returns from these development or redevelopment projects and harm our operating results, liquidity and financial condition, which could result in a decline in the value of our securities.</w:t>
      </w:r>
    </w:p>
    <w:p>
      <w:pPr>
        <w:spacing w:after="0" w:line="19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We may rely on the investments of our joint venture partners for funding certain of our development and redevelopment projects. If our reputation in the self-storage industry changes or the number of investors considering us an attractive strategic partner is otherwise reduced, our ability to develop or redevelop stores could be affected, which would limit our growth.</w:t>
      </w:r>
    </w:p>
    <w:p>
      <w:pPr>
        <w:spacing w:after="0" w:line="29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b w:val="1"/>
          <w:bCs w:val="1"/>
          <w:i w:val="1"/>
          <w:iCs w:val="1"/>
          <w:color w:val="auto"/>
        </w:rPr>
        <w:t>We rely on information technology in our operations, and any material failure, inadequacy, interruption or security failure of that technology could harm our business.</w:t>
      </w:r>
    </w:p>
    <w:p>
      <w:pPr>
        <w:spacing w:after="0" w:line="6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rely on information technology networks and systems, including the Internet, to process, transmit and store electronic information, and to manage or support a variety of business processes, including financial transactions and records, personally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908" w:right="259" w:bottom="1440" w:gutter="0" w:footer="0" w:header="0"/>
        </w:sectPr>
      </w:pPr>
    </w:p>
    <w:bookmarkStart w:id="10" w:name="page11"/>
    <w:bookmarkEnd w:id="10"/>
    <w:p>
      <w:pPr>
        <w:ind w:right="20"/>
        <w:spacing w:after="0" w:line="288" w:lineRule="auto"/>
        <w:rPr>
          <w:sz w:val="20"/>
          <w:szCs w:val="20"/>
          <w:color w:val="auto"/>
        </w:rPr>
      </w:pPr>
      <w:r>
        <w:rPr>
          <w:rFonts w:ascii="Arial" w:cs="Arial" w:eastAsia="Arial" w:hAnsi="Arial"/>
          <w:sz w:val="16"/>
          <w:szCs w:val="16"/>
          <w:color w:val="auto"/>
        </w:rPr>
        <w:t>identifiable information, and tenant and lease data. We purchase some of our information technology from vendors, on whom our systems depend. We rely on commercially available systems, software, tools and monitoring to provide security for processing, transmission and storage of confidential tenant and other sensitive information. Although we have taken steps to protect the security of our information systems and the data maintained in those systems, it is possible that our safety and security measures will not be able to prevent the systems’ improper functioning or damage, or the improper access or disclosure of personally identifiable information such as in the event of cyber-attacks. Security breaches, including physical or electronic break-ins, computer viruses, attacks by hackers and similar breaches, can create system disruptions, shutdowns or unauthorized disclosure of confidential information. While, to date, we have not experienced a security breach, this risk has generally increased as the number, intensity and sophistication of such breaches and attempted breaches from around the world have increased. Any failure to maintain proper function, security and availability of our information systems could interrupt our operations, damage our reputation, divert significant management attention and resources to remedy any damages that result, subject us to liability claims or regulatory penalties and have a material adverse effect on our business and 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 and Structure</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could be harmed if key personnel with long-standing business relationships in the self-storage industry terminate their employment with us.</w:t>
      </w:r>
    </w:p>
    <w:p>
      <w:pPr>
        <w:spacing w:after="0" w:line="151" w:lineRule="exact"/>
        <w:rPr>
          <w:sz w:val="20"/>
          <w:szCs w:val="20"/>
          <w:color w:val="auto"/>
        </w:rPr>
      </w:pPr>
    </w:p>
    <w:p>
      <w:pPr>
        <w:ind w:right="360" w:firstLine="432"/>
        <w:spacing w:after="0" w:line="256" w:lineRule="auto"/>
        <w:rPr>
          <w:sz w:val="20"/>
          <w:szCs w:val="20"/>
          <w:color w:val="auto"/>
        </w:rPr>
      </w:pPr>
      <w:r>
        <w:rPr>
          <w:rFonts w:ascii="Arial" w:cs="Arial" w:eastAsia="Arial" w:hAnsi="Arial"/>
          <w:sz w:val="18"/>
          <w:szCs w:val="18"/>
          <w:color w:val="auto"/>
        </w:rPr>
        <w:t>Our success depends on the continued services of members of our executive management team, who have substantial experience in the self-storage industry. In addition, our ability to acquire or develop stores in the future depends on the significant relationships our executive management team has developed with our institutional joint venture partners, such as affiliates of Prudential Financial, Inc. There is no guarantee that any of them will remain employed by us. We do not maintain key person life insurance on any of our officers. The loss of services of one or more members of our executive management team could harm our business and our prospects.</w:t>
      </w:r>
    </w:p>
    <w:p>
      <w:pPr>
        <w:spacing w:after="0" w:line="29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may change our investment and financing strategies and enter into new lines of business without stockholder consent, which may subject us to different risks.</w:t>
      </w:r>
    </w:p>
    <w:p>
      <w:pPr>
        <w:spacing w:after="0" w:line="6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may change our investment and financing strategies and enter into new lines of business at any time without the consent of our stockholders, which could result in our making investments and engaging in business activities that are different from, and possibly riskier than, the investments and businesses described in this document. A change in our investment strategy or our entry into new lines of business may increase our exposure to other risks or real estate market fluctuations.</w:t>
      </w:r>
    </w:p>
    <w:p>
      <w:pPr>
        <w:spacing w:after="0" w:line="2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other self-storage companies convert to an UPREIT structure or if tax laws change, we may no longer have an advantage in competing for potential acquisitions.</w:t>
      </w:r>
    </w:p>
    <w:p>
      <w:pPr>
        <w:spacing w:after="0" w:line="62" w:lineRule="exact"/>
        <w:rPr>
          <w:sz w:val="20"/>
          <w:szCs w:val="20"/>
          <w:color w:val="auto"/>
        </w:rPr>
      </w:pPr>
    </w:p>
    <w:p>
      <w:pPr>
        <w:ind w:firstLine="432"/>
        <w:spacing w:after="0" w:line="301" w:lineRule="auto"/>
        <w:rPr>
          <w:sz w:val="20"/>
          <w:szCs w:val="20"/>
          <w:color w:val="auto"/>
        </w:rPr>
      </w:pPr>
      <w:r>
        <w:rPr>
          <w:rFonts w:ascii="Arial" w:cs="Arial" w:eastAsia="Arial" w:hAnsi="Arial"/>
          <w:sz w:val="16"/>
          <w:szCs w:val="16"/>
          <w:color w:val="auto"/>
        </w:rPr>
        <w:t>Because we are structured as an UPREIT, we are a more attractive acquirer of stores to tax-motivated sellers than our competitors that are not structured as UPREITs. However, if other self-storage companies restructure their holdings to become UPREITs, this competitive advantage will disappear. In addition, new legislation may be enacted or new interpretations of existing legislation may be issued by the Internal Revenue Service (“IRS”), or the U.S. Treasury Department that could affect the attractiveness of our UPREIT structure so that it may no longer assist us in competing for acquisitions.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indemnification obligations may require the Operating Partnership to maintain certain debt levels.</w:t>
      </w:r>
    </w:p>
    <w:p>
      <w:pPr>
        <w:spacing w:after="0" w:line="117"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We have provided certain tax protections to various third parties in connection with their property contributions to the Operating Partnership upon acquisition by the Company, including making available the opportunity to (1) guarantee debt or (2) enter into a special loss allocation and deficit restoration obligation. We have agreed to these provisions in order to assist these contributors in preserving their tax position after their contributions. These obligations may require us to maintain certain indebtedness levels that we would not otherwise require for our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joint venture investments could be adversely affected by our lack of sole decision-making authority.</w:t>
      </w:r>
    </w:p>
    <w:p>
      <w:pPr>
        <w:spacing w:after="0" w:line="11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As of December 31, 2016, we held interests in 180 operating stores through joint ventures. Some of these arrangements could be adversely affected by our lack of sole decision-making authority, our reliance on co-venturers financial conditions and disputes between us and our co-venturers. We expect to continue our joint venture strategy by entering into more joint ventures for the purpose of developing new stores and acquiring existing stores. In such event, we would not be in a position to exercise sole decision-making authority regarding the property, partnership, joint venture or other entity. The decision-making authority regarding the stores we currently hold through joint ventures is either vested exclusively with our joint venture partners, is subject to a majority vote of the joint venture partners or equally shared by us and the joint venture partners. In addition,</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908" w:right="279" w:bottom="1440" w:gutter="0" w:footer="0" w:header="0"/>
        </w:sectPr>
      </w:pPr>
    </w:p>
    <w:bookmarkStart w:id="11" w:name="page12"/>
    <w:bookmarkEnd w:id="11"/>
    <w:p>
      <w:pPr>
        <w:ind w:right="140"/>
        <w:spacing w:after="0" w:line="253" w:lineRule="auto"/>
        <w:rPr>
          <w:sz w:val="20"/>
          <w:szCs w:val="20"/>
          <w:color w:val="auto"/>
        </w:rPr>
      </w:pPr>
      <w:r>
        <w:rPr>
          <w:rFonts w:ascii="Arial" w:cs="Arial" w:eastAsia="Arial" w:hAnsi="Arial"/>
          <w:sz w:val="18"/>
          <w:szCs w:val="18"/>
          <w:color w:val="auto"/>
        </w:rPr>
        <w:t>investments in partnerships, joint ventures or other entities may, under certain circumstances, involve risks not present were a third party not involved, including the possibility that partners or co-venturers might become bankrupt or fail to fund their share of required capital contributions. Partners or co-venturers may have economic or other business interests or goals which are inconsistent with our business interests or goals, and may be in a position to take actions contrary to our policies or objectives. Such investments may also have the potential risk of impasses on decisions, such as a sale, because neither we nor the partner or co-venturer would have full control over the partnership or joint venture. Disputes between us and partners or co-venturers may result in litigation or arbitration that would increase our expenses and prevent our officers and/or directors from focusing their time and efforts on our business. Consequently, actions by or disputes with partners or co-venturers might result in subjecting stores owned by the partnership or joint venture to additional risk. In addition, we may in certain circumstances be liable for the actions of our third-party partners or co-venturers, which could harm our financial condition.</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of interest could arise as a result of our relationship with our Operating Partnership.</w:t>
      </w:r>
    </w:p>
    <w:p>
      <w:pPr>
        <w:spacing w:after="0" w:line="117"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Conflicts of interest could arise in the future as a result of the relationships between us and our affiliates, and our Operating Partnership or any partner thereof. Our directors and officers have duties to our Company under applicable Maryland law in connection with their management of our Company. At the same time, we, through our wholly-owned subsidiary, have fiduciary duties, as a general partner, to our Operating Partnership and to the limited partners under Delaware law in connection with the management of our Operating Partnership. Our duties, through our wholly-owned subsidiary, as a general partner to our Operating Partnership and its partners may come into conflict with the duties of our directors and officers to our Company. The partnership agreement of our Operating Partnership does not require us to resolve such conflicts in favor of either our Company or the limited partners in our Operating Partnership. Unless otherwise provided for in the relevant partnership agreement, Delaware law generally requires a general partner of a Delaware limited partnership to adhere to fiduciary duty standards under which it owes its limited partners the highest duties of good faith, fairness, and loyalty and which generally prohibit such general partner from taking any action or engaging in any transaction as to which it has a conflict of interest.</w:t>
      </w:r>
    </w:p>
    <w:p>
      <w:pPr>
        <w:spacing w:after="0" w:line="164"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Additionally, the partnership agreement expressly limits our liability by providing that neither we, our direct wholly-owned Massachusetts business trust subsidiary, as the general partner of the Operating Partnership, nor any of our or their trustees, directors or officers, will be liable or accountable in damages to our Operating Partnership, the limited partners or assignees for errors in judgment, mistakes of fact or law or for any act or omission if we, or such trustee, director or officer, acted in good faith. In addition, our Operating Partnership is required to indemnify us, our affiliates and each of our respective trustees, officers, directors, employees and agents to the fullest extent permitted by applicable law against any and all losses, claims, damages, liabilities (whether joint or several), expenses (including, without limitation, attorneys’ fees and other legal fees and expenses), judgments, fines, settlements and other amounts arising from any and all claims, demands, actions, suits or proceedings, civil, criminal, administrative or investigative, that relate to the operations of the Operating Partnership, provided that our Operating Partnership will not indemnify for (1) willful misconduct or a knowing violation of the law, (2) any transaction for which such person received an improper personal benefit in violation or breach of any provision of the partnership agreement, or (3) in the case of a criminal proceeding, the person had reasonable cause to believe the act or omission was unlawful.</w:t>
      </w:r>
    </w:p>
    <w:p>
      <w:pPr>
        <w:spacing w:after="0" w:line="166"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The provisions of Delaware law that allow the common law fiduciary duties of a general partner to be modified by a partnership agreement have not been resolved in a court of law, and we have not obtained an opinion of counsel covering the provisions set forth in the partnership agreement that purport to waive or restrict our fiduciary duties that would be in effect under common law were it not for the partnership agreement.</w:t>
      </w:r>
    </w:p>
    <w:p>
      <w:pPr>
        <w:spacing w:after="0" w:line="27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Certain provisions of Maryland law and our organizational documents, including the stock ownership limit imposed by our charter, may inhibit market activity in our stock and could prevent or delay a change in control transaction.</w:t>
      </w:r>
    </w:p>
    <w:p>
      <w:pPr>
        <w:spacing w:after="0" w:line="62"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Our charter, subject to certain exceptions, authorizes our directors to take such actions as are necessary and desirable to preserve our qualification as a REIT and to limit any person to actual or constructive ownership of no more than 7.0% (by value or by number of shares, whichever is more restrictive) of our outstanding common stock or 7.0% (by value or by number of shares, whichever is more restrictive) of our outstanding capital stock. Our board of directors, in its sole discretion, may exempt a proposed transferee from the ownership limit. However, our board of directors may not grant an exemption from the ownership limit to any proposed transferee whose ownership could jeopardize our qualification as a REIT. These restrictions on ownership will not apply if our board of directors determines that it is no longer in our best interests to attempt to qualify, or to continue to qualify, as a REIT. The ownership limit may delay or impede a transaction or a change of control that might involve a premium price for our securities or otherwise be in the best interests of our stockholders. Different ownership limits apply to the family of Kenneth M. Woolley, certain of his affiliates, family members and estates and trusts formed for the benefit of the foregoing; to Spencer F. Kirk, certain of his affiliates, family members and estates and trusts formed for the benefit of the foregoing; and to certain designated investment entities as defined in our charter.</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i w:val="1"/>
          <w:iCs w:val="1"/>
          <w:color w:val="auto"/>
        </w:rPr>
        <w:t>Our board of directors has the power to issue additional shares of our stock in a manner that may not be in the best interest of our stockholders.</w:t>
      </w:r>
    </w:p>
    <w:p>
      <w:pPr>
        <w:spacing w:after="0" w:line="14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charter authorizes our board of directors to issue additional authorized but unissued shares of common stock or preferred stock and to increase the aggregate number of authorized shares or the number of shares of any class or series without stockholder approval. In addition, our board of directors may classify or reclassify any unissued shares of common stock or preferred stock and set the preferences, rights and other terms of the classified or reclassified shares. Our board of directors could issue additional shares of our common stock or establish a series of preferred stock that could have the effect of delaying, deferring or preventing a change in control or other transaction that might involve a premium price for our securities or otherwise not be in the best interests of our stockholders.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rights and the rights of our stockholders to take action against our directors and officers are limited.</w:t>
      </w:r>
    </w:p>
    <w:p>
      <w:pPr>
        <w:spacing w:after="0" w:line="117"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Maryland law provides that a director or officer has no liability in that capacity if he or she performs his or her duties in good faith, in a manner he or she reasonably believes to be in our best interests and with the care that an ordinarily prudent person in a like position would use under similar circumstances. In addition, our charter eliminates our directors’ and officers’ liability to us and our stockholders for money damages except for liability resulting from actual receipt of an improper benefit in money, property or services or active and deliberate dishonesty established by a final judgment and which is material to the cause of action. Our bylaws require us to indemnify our directors and officers for liability resulting from actions taken by them in those capacities to the maximum extent permitted by Maryland law. As a result, we and our stockholders may have more limited rights against our directors and officers than might otherwise exist under common law. In addition, we may be obligated to fund the defense costs incurred by our directors and officers.</w:t>
      </w:r>
    </w:p>
    <w:p>
      <w:pPr>
        <w:spacing w:after="0" w:line="2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To the extent our distributions represent a return of capital for U.S. federal income tax purposes, our stockholders could recognize an increased capital gain upon a subsequent sale of common stock.</w:t>
      </w:r>
    </w:p>
    <w:p>
      <w:pPr>
        <w:spacing w:after="0" w:line="62"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Distributions in excess of our current and accumulated earnings and profits and not treated by us as a dividend will not be taxable to a U.S. stockholder under current U.S. federal income tax law to the extent those distributions do not exceed the stockholder’s adjusted tax basis in his, her, or its common stock, but instead will constitute a return of capital and will reduce such adjusted basis. If distributions result in a reduction of a stockholder’s adjusted basis in such holder’s common stock, subsequent sales of such holder’s common stock will result in recognition of an increased capital gain or decreased capital loss due to the reduction in such adjusted basis.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Real Estate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primary business involves the ownership and operation of self-storage stores.</w:t>
      </w:r>
    </w:p>
    <w:p>
      <w:pPr>
        <w:spacing w:after="0" w:line="117" w:lineRule="exact"/>
        <w:rPr>
          <w:sz w:val="20"/>
          <w:szCs w:val="20"/>
          <w:color w:val="auto"/>
        </w:rPr>
      </w:pPr>
    </w:p>
    <w:p>
      <w:pPr>
        <w:ind w:right="100" w:firstLine="432"/>
        <w:spacing w:after="0" w:line="256" w:lineRule="auto"/>
        <w:rPr>
          <w:sz w:val="20"/>
          <w:szCs w:val="20"/>
          <w:color w:val="auto"/>
        </w:rPr>
      </w:pPr>
      <w:r>
        <w:rPr>
          <w:rFonts w:ascii="Arial" w:cs="Arial" w:eastAsia="Arial" w:hAnsi="Arial"/>
          <w:sz w:val="18"/>
          <w:szCs w:val="18"/>
          <w:color w:val="auto"/>
        </w:rPr>
        <w:t>Our current strategy is to own, operate, manage, acquire, develop and redevelop only self-storage stores. Consequently, we are subject to risks inherent in investments in a single industry. Because investments in real estate are inherently illiquid, this strategy makes it difficult for us to diversify our investment portfolio and to limit our risk when economic conditions change. Decreases in market rents, negative tax, real estate and zoning law changes and changes in environmental protection laws may also increase our costs, lower the value of our investments and decrease our income, which would adversely affect our business, financial condition and operating results.</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Illiquidity of real estate investments could significantly impede our ability to respond to adverse changes in the performance of our stores.</w:t>
      </w:r>
    </w:p>
    <w:p>
      <w:pPr>
        <w:spacing w:after="0" w:line="128" w:lineRule="exact"/>
        <w:rPr>
          <w:sz w:val="20"/>
          <w:szCs w:val="20"/>
          <w:color w:val="auto"/>
        </w:rPr>
      </w:pPr>
    </w:p>
    <w:p>
      <w:pPr>
        <w:ind w:right="60" w:firstLine="432"/>
        <w:spacing w:after="0" w:line="275" w:lineRule="auto"/>
        <w:rPr>
          <w:sz w:val="20"/>
          <w:szCs w:val="20"/>
          <w:color w:val="auto"/>
        </w:rPr>
      </w:pPr>
      <w:r>
        <w:rPr>
          <w:rFonts w:ascii="Arial" w:cs="Arial" w:eastAsia="Arial" w:hAnsi="Arial"/>
          <w:sz w:val="17"/>
          <w:szCs w:val="17"/>
          <w:color w:val="auto"/>
        </w:rPr>
        <w:t>Because real estate investments are relatively illiquid, our ability to promptly sell one or more stores in our portfolio in response to changing economic, financial and investment conditions is limited. The real estate market is affected by many factors, such as general economic conditions, availability of financing, interest rates and other factors, including supply and demand, that are beyond our control. We cannot predict whether we will be able to sell any store for the price or on the terms set by us or whether any price or other terms offered by a prospective purchaser would be acceptable to us. We also cannot predict the length of time needed to find a willing purchaser and to close the sale of a store.</w:t>
      </w:r>
    </w:p>
    <w:p>
      <w:pPr>
        <w:spacing w:after="0" w:line="175" w:lineRule="exact"/>
        <w:rPr>
          <w:sz w:val="20"/>
          <w:szCs w:val="20"/>
          <w:color w:val="auto"/>
        </w:rPr>
      </w:pPr>
    </w:p>
    <w:p>
      <w:pPr>
        <w:jc w:val="both"/>
        <w:ind w:right="240" w:firstLine="432"/>
        <w:spacing w:after="0" w:line="279" w:lineRule="auto"/>
        <w:rPr>
          <w:sz w:val="20"/>
          <w:szCs w:val="20"/>
          <w:color w:val="auto"/>
        </w:rPr>
      </w:pPr>
      <w:r>
        <w:rPr>
          <w:rFonts w:ascii="Arial" w:cs="Arial" w:eastAsia="Arial" w:hAnsi="Arial"/>
          <w:sz w:val="17"/>
          <w:szCs w:val="17"/>
          <w:color w:val="auto"/>
        </w:rPr>
        <w:t>We may be required to expend funds to correct defects or to make improvements before a store can be sold. We cannot assure you that we will have funds available to correct those defects or to make those improvements. In acquiring a store, we may agree to transfer restrictions that materially restrict us from selling that store for a period of time or impose other restrictions, such as a limitation on the amount of debt that can be placed or repaid on that store. These transfer restrictions would impede our ability to sell a store even if we deem it necessary or appropriate.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123" w:right="259" w:bottom="1440" w:gutter="0" w:footer="0" w:header="0"/>
        </w:sectPr>
      </w:pPr>
    </w:p>
    <w:bookmarkStart w:id="13" w:name="page14"/>
    <w:bookmarkEnd w:id="13"/>
    <w:p>
      <w:pPr>
        <w:ind w:right="60"/>
        <w:spacing w:after="0" w:line="277" w:lineRule="auto"/>
        <w:rPr>
          <w:sz w:val="20"/>
          <w:szCs w:val="20"/>
          <w:color w:val="auto"/>
        </w:rPr>
      </w:pPr>
      <w:r>
        <w:rPr>
          <w:rFonts w:ascii="Arial" w:cs="Arial" w:eastAsia="Arial" w:hAnsi="Arial"/>
          <w:sz w:val="18"/>
          <w:szCs w:val="18"/>
          <w:b w:val="1"/>
          <w:bCs w:val="1"/>
          <w:i w:val="1"/>
          <w:iCs w:val="1"/>
          <w:color w:val="auto"/>
        </w:rPr>
        <w:t>Any investments in unimproved real property may take significantly longer to yield income-producing returns, if at all, and may result in additional costs to us to comply with re-zoning restrictions or environmental regulations.</w:t>
      </w:r>
    </w:p>
    <w:p>
      <w:pPr>
        <w:spacing w:after="0" w:line="62"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We have invested in the past, and may invest in the future, in unimproved real property. Unimproved properties generally take longer to yield income-producing returns based on the typical time required for development. Any development of unimproved property may also expose us to the risks and uncertainties associated with re-zoning the land for a higher use or development and environmental concerns of governmental entities and/or community groups. Any unsuccessful investments or delays in realizing an income-producing return or increased costs to develop unimproved real estate could restrict our ability to earn our targeted rate of return on an investment or adversely affect our ability to pay operating expenses which would harm our financial condition and operating results.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negative perceptions of the self-storage industry generally may result in a decline in our stock price.</w:t>
      </w:r>
    </w:p>
    <w:p>
      <w:pPr>
        <w:spacing w:after="0" w:line="117"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To the extent that the investing public has a negative perception of the self-storage industry, the value of our securities may be negatively impacted, which could result in our securities trading below the inherent value of our assets.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Debt Financings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Disruptions in the financial markets could affect our ability to obtain debt financing on reasonable terms and have other adverse effects on us.</w:t>
      </w:r>
    </w:p>
    <w:p>
      <w:pPr>
        <w:spacing w:after="0" w:line="140" w:lineRule="exact"/>
        <w:rPr>
          <w:sz w:val="20"/>
          <w:szCs w:val="20"/>
          <w:color w:val="auto"/>
        </w:rPr>
      </w:pPr>
    </w:p>
    <w:p>
      <w:pPr>
        <w:ind w:firstLine="432"/>
        <w:spacing w:after="0" w:line="275" w:lineRule="auto"/>
        <w:rPr>
          <w:sz w:val="20"/>
          <w:szCs w:val="20"/>
          <w:color w:val="auto"/>
        </w:rPr>
      </w:pPr>
      <w:r>
        <w:rPr>
          <w:rFonts w:ascii="Arial" w:cs="Arial" w:eastAsia="Arial" w:hAnsi="Arial"/>
          <w:sz w:val="17"/>
          <w:szCs w:val="17"/>
          <w:color w:val="auto"/>
        </w:rPr>
        <w:t>Uncertainty in the credit markets may negatively impact our ability to access additional debt financing or to refinance existing debt maturities on favorable terms (or at all), which may negatively affect our ability to make acquisitions and fund development projects. A downturn in the credit markets may cause us to seek alternative sources of potentially less attractive financing, and may require us to adjust our business plan accordingly. In addition, these factors may make it more difficult for us to sell stores or may adversely affect the price we receive for stores that we do sell, as prospective buyers may experience increased costs of debt financing or difficulties in obtaining debt financing.</w:t>
      </w:r>
    </w:p>
    <w:p>
      <w:pPr>
        <w:spacing w:after="0" w:line="283" w:lineRule="exact"/>
        <w:rPr>
          <w:sz w:val="20"/>
          <w:szCs w:val="20"/>
          <w:color w:val="auto"/>
        </w:rPr>
      </w:pPr>
    </w:p>
    <w:p>
      <w:pPr>
        <w:ind w:right="140"/>
        <w:spacing w:after="0" w:line="341" w:lineRule="auto"/>
        <w:rPr>
          <w:sz w:val="20"/>
          <w:szCs w:val="20"/>
          <w:color w:val="auto"/>
        </w:rPr>
      </w:pPr>
      <w:r>
        <w:rPr>
          <w:rFonts w:ascii="Arial" w:cs="Arial" w:eastAsia="Arial" w:hAnsi="Arial"/>
          <w:sz w:val="16"/>
          <w:szCs w:val="16"/>
          <w:b w:val="1"/>
          <w:bCs w:val="1"/>
          <w:i w:val="1"/>
          <w:iCs w:val="1"/>
          <w:color w:val="auto"/>
        </w:rPr>
        <w:t>Required payments of principal and interest on borrowings may leave us with insufficient cash to operate our stores or to pay the distributions currently contemplated or necessary to maintain our qualification as a REIT and may expose us to the risk of default under our debt obligations.</w:t>
      </w:r>
    </w:p>
    <w:p>
      <w:pPr>
        <w:spacing w:after="0" w:line="17" w:lineRule="exact"/>
        <w:rPr>
          <w:sz w:val="20"/>
          <w:szCs w:val="20"/>
          <w:color w:val="auto"/>
        </w:rPr>
      </w:pPr>
    </w:p>
    <w:p>
      <w:pPr>
        <w:ind w:right="60" w:firstLine="432"/>
        <w:spacing w:after="0" w:line="256" w:lineRule="auto"/>
        <w:rPr>
          <w:sz w:val="20"/>
          <w:szCs w:val="20"/>
          <w:color w:val="auto"/>
        </w:rPr>
      </w:pPr>
      <w:r>
        <w:rPr>
          <w:rFonts w:ascii="Arial" w:cs="Arial" w:eastAsia="Arial" w:hAnsi="Arial"/>
          <w:sz w:val="18"/>
          <w:szCs w:val="18"/>
          <w:color w:val="auto"/>
        </w:rPr>
        <w:t>As of December 31, 2016, we had approximately $4.4 billion of outstanding indebtedness. We may incur additional debt in connection with future acquisitions and development. We may borrow under our Credit Lines or borrow new funds to finance these future stores. Additionally, we do not anticipate that our internally generated cash flow will be adequate to repay our existing indebtedness upon maturity and, therefore, we expect to repay our indebtedness through refinancings and equity and/or debt offerings. Further, we may need to borrow funds in order to make cash distributions to maintain our qualification as a REIT or to make our expected distributions.</w:t>
      </w:r>
    </w:p>
    <w:p>
      <w:pPr>
        <w:spacing w:after="0" w:line="191"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If we are required to utilize our Credit Lines for purposes other than acquisition activity, this will reduce the amount available for acquisitions and could slow our growth. Therefore, our level of debt and the limitations imposed on us by our debt agreements could have significant adverse consequences, including the following:</w:t>
      </w:r>
    </w:p>
    <w:p>
      <w:pPr>
        <w:spacing w:after="0" w:line="88" w:lineRule="exact"/>
        <w:rPr>
          <w:sz w:val="20"/>
          <w:szCs w:val="20"/>
          <w:color w:val="auto"/>
        </w:rPr>
      </w:pPr>
    </w:p>
    <w:p>
      <w:pPr>
        <w:ind w:left="540" w:hanging="316"/>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cash flow may be insufficient to meet our required principal and interest payments;</w:t>
      </w:r>
    </w:p>
    <w:p>
      <w:pPr>
        <w:spacing w:after="0" w:line="62" w:lineRule="exact"/>
        <w:rPr>
          <w:rFonts w:ascii="Arial" w:cs="Arial" w:eastAsia="Arial" w:hAnsi="Arial"/>
          <w:sz w:val="18"/>
          <w:szCs w:val="18"/>
          <w:color w:val="auto"/>
        </w:rPr>
      </w:pPr>
    </w:p>
    <w:p>
      <w:pPr>
        <w:ind w:left="540" w:right="340" w:hanging="316"/>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borrow additional funds as needed or on favorable terms, including to make acquisitions or to continue to make distributions required to maintain our qualification as a REIT;</w:t>
      </w:r>
    </w:p>
    <w:p>
      <w:pPr>
        <w:spacing w:after="0" w:line="7" w:lineRule="exact"/>
        <w:rPr>
          <w:rFonts w:ascii="Arial" w:cs="Arial" w:eastAsia="Arial" w:hAnsi="Arial"/>
          <w:sz w:val="18"/>
          <w:szCs w:val="18"/>
          <w:color w:val="auto"/>
        </w:rPr>
      </w:pPr>
    </w:p>
    <w:p>
      <w:pPr>
        <w:ind w:left="540" w:hanging="316"/>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may be unable to refinance our indebtedness at maturity or the refinancing terms may be less favorable than the terms of our original indebtedness;</w:t>
      </w:r>
    </w:p>
    <w:p>
      <w:pPr>
        <w:spacing w:after="0" w:line="85" w:lineRule="exact"/>
        <w:rPr>
          <w:rFonts w:ascii="Arial" w:cs="Arial" w:eastAsia="Arial" w:hAnsi="Arial"/>
          <w:sz w:val="16"/>
          <w:szCs w:val="16"/>
          <w:color w:val="auto"/>
        </w:rPr>
      </w:pPr>
    </w:p>
    <w:p>
      <w:pPr>
        <w:ind w:left="540" w:hanging="316"/>
        <w:spacing w:after="0"/>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because a portion of our debt bears interest at variable rates, an increase in interest rates could materially increase our interest expense;</w:t>
      </w:r>
    </w:p>
    <w:p>
      <w:pPr>
        <w:spacing w:after="0" w:line="74" w:lineRule="exact"/>
        <w:rPr>
          <w:rFonts w:ascii="Arial" w:cs="Arial" w:eastAsia="Arial" w:hAnsi="Arial"/>
          <w:sz w:val="17"/>
          <w:szCs w:val="17"/>
          <w:color w:val="auto"/>
        </w:rPr>
      </w:pPr>
    </w:p>
    <w:p>
      <w:pPr>
        <w:ind w:left="540" w:hanging="316"/>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forced to dispose of one or more of our stores, possibly on disadvantageous terms;</w:t>
      </w:r>
    </w:p>
    <w:p>
      <w:pPr>
        <w:spacing w:after="0" w:line="62" w:lineRule="exact"/>
        <w:rPr>
          <w:rFonts w:ascii="Arial" w:cs="Arial" w:eastAsia="Arial" w:hAnsi="Arial"/>
          <w:sz w:val="18"/>
          <w:szCs w:val="18"/>
          <w:color w:val="auto"/>
        </w:rPr>
      </w:pPr>
    </w:p>
    <w:p>
      <w:pPr>
        <w:ind w:left="540" w:hanging="316"/>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after debt service, the amount available for cash distributions to our stockholders is reduced;</w:t>
      </w:r>
    </w:p>
    <w:p>
      <w:pPr>
        <w:spacing w:after="0" w:line="62" w:lineRule="exact"/>
        <w:rPr>
          <w:rFonts w:ascii="Arial" w:cs="Arial" w:eastAsia="Arial" w:hAnsi="Arial"/>
          <w:sz w:val="18"/>
          <w:szCs w:val="18"/>
          <w:color w:val="auto"/>
        </w:rPr>
      </w:pPr>
    </w:p>
    <w:p>
      <w:pPr>
        <w:ind w:left="540" w:hanging="316"/>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debt level could place us at a competitive disadvantage compared to our competitors with less debt;</w:t>
      </w:r>
    </w:p>
    <w:p>
      <w:pPr>
        <w:spacing w:after="0" w:line="62" w:lineRule="exact"/>
        <w:rPr>
          <w:rFonts w:ascii="Arial" w:cs="Arial" w:eastAsia="Arial" w:hAnsi="Arial"/>
          <w:sz w:val="18"/>
          <w:szCs w:val="18"/>
          <w:color w:val="auto"/>
        </w:rPr>
      </w:pPr>
    </w:p>
    <w:p>
      <w:pPr>
        <w:ind w:left="540" w:right="180" w:hanging="316"/>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experience increased vulnerability to economic and industry downturns, reducing our ability to respond to changing business and economic conditions;</w:t>
      </w:r>
    </w:p>
    <w:p>
      <w:pPr>
        <w:spacing w:after="0" w:line="7"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default on our obligations and the lenders or mortgagees may foreclose on our stores that secure their loans and receive an assignment of rents and leases;</w:t>
      </w:r>
    </w:p>
    <w:p>
      <w:pPr>
        <w:spacing w:after="0" w:line="7" w:lineRule="exact"/>
        <w:rPr>
          <w:rFonts w:ascii="Arial" w:cs="Arial" w:eastAsia="Arial" w:hAnsi="Arial"/>
          <w:sz w:val="18"/>
          <w:szCs w:val="18"/>
          <w:color w:val="auto"/>
        </w:rPr>
      </w:pPr>
    </w:p>
    <w:p>
      <w:pPr>
        <w:ind w:left="540" w:hanging="316"/>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default on our obligations and the lenders or mortgages may enforce our guarantees;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123" w:right="279" w:bottom="1440" w:gutter="0" w:footer="0" w:header="0"/>
        </w:sectPr>
      </w:pPr>
    </w:p>
    <w:bookmarkStart w:id="14" w:name="page15"/>
    <w:bookmarkEnd w:id="14"/>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violate restrictive covenants in our loan documents, which would entitle the lenders to accelerate our debt obligations; and</w:t>
      </w:r>
    </w:p>
    <w:p>
      <w:pPr>
        <w:spacing w:after="0" w:line="62" w:lineRule="exact"/>
        <w:rPr>
          <w:rFonts w:ascii="Arial" w:cs="Arial" w:eastAsia="Arial" w:hAnsi="Arial"/>
          <w:sz w:val="18"/>
          <w:szCs w:val="18"/>
          <w:color w:val="auto"/>
        </w:rPr>
      </w:pPr>
    </w:p>
    <w:p>
      <w:pPr>
        <w:ind w:left="540" w:right="80" w:hanging="316"/>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default under any one of our mortgage loans with cross-default or cross-collateralization provisions could result in a default on other indebtedness or result in the foreclosures of other stores.</w:t>
      </w:r>
    </w:p>
    <w:p>
      <w:pPr>
        <w:spacing w:after="0" w:line="2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Increases in interest rates may increase our interest expense and adversely affect our cash flow and our ability to service our indebtedness and make cash distributions to our stockholders.</w:t>
      </w:r>
    </w:p>
    <w:p>
      <w:pPr>
        <w:spacing w:after="0" w:line="62" w:lineRule="exact"/>
        <w:rPr>
          <w:sz w:val="20"/>
          <w:szCs w:val="20"/>
          <w:color w:val="auto"/>
        </w:rPr>
      </w:pPr>
    </w:p>
    <w:p>
      <w:pPr>
        <w:ind w:right="20" w:firstLine="432"/>
        <w:spacing w:after="0" w:line="256" w:lineRule="auto"/>
        <w:rPr>
          <w:sz w:val="20"/>
          <w:szCs w:val="20"/>
          <w:color w:val="auto"/>
        </w:rPr>
      </w:pPr>
      <w:r>
        <w:rPr>
          <w:rFonts w:ascii="Arial" w:cs="Arial" w:eastAsia="Arial" w:hAnsi="Arial"/>
          <w:sz w:val="18"/>
          <w:szCs w:val="18"/>
          <w:color w:val="auto"/>
        </w:rPr>
        <w:t>As of December 31, 2016, we had approximately $4.4 billion of debt outstanding, of which approximately $1.3 billion, or 30.0% was subject to variable interest rates (excluding debt with interest rate swaps). This variable rate debt had a weighted average interest rate of approximately 2.3% per annum. Increases in interest rates on this variable rate debt would increase our interest expense, which could harm our cash flow and our ability to pay cash distributions. For example, if market rates of interest on this variable rate debt increased by 100 basis points, the increase in interest expense would decrease future earnings and cash flows by approximately $13.1 million annually.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hedge effectively against interest rate changes may adversely affect our results of operations.</w:t>
      </w:r>
    </w:p>
    <w:p>
      <w:pPr>
        <w:spacing w:after="0" w:line="117"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In certain cases we may seek to manage our exposure to interest rate volatility by using interest rate hedging arrangements. Hedging involves risks, such as the risk that the counterparty may fail to honor its obligations under an arrangement. Failure to hedge effectively against interest rate changes may adversely affect our financial condition, results of operations and ability to make cash distributions to our stockholders.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Qualification and Operation as a REIT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 maintain our qualification as a REIT, we may be forced to borrow funds on a short-term basis during unfavorable market conditions.</w:t>
      </w:r>
    </w:p>
    <w:p>
      <w:pPr>
        <w:spacing w:after="0" w:line="128"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To qualify as a REIT, we generally must distribute to our stockholders at least 90% of our net taxable income each year, excluding net capital gains, and we are subject to regular corporate income taxes to the extent that we distribute less than 100% of our net taxable income each year. In addition, we are subject to a 4% nondeductible excise tax on the amount, if any, by which distributions made by us in any calendar year are less than the sum of 85% of our ordinary income, 95% of our capital gain net income and 100% of our undistributed income from prior years. While historically we have satisfied these distribution requirements by making cash distributions to our stockholders, a REIT is permitted to satisfy these requirements by making distributions of cash or other property, including, in limited circumstances, its own stock. Assuming we continue to satisfy these distributions requirements with cash, we may need to borrow funds on a short-term basis, or possibly long-term, to meet the REIT distribution requirements even if the then prevailing market conditions are not favorable for these borrowings. These borrowing needs could result from a difference in timing between the actual receipt of cash and inclusion of income for U.S. federal income tax purposes, or the effect of non-deductible capital expenditures, the creation of reserves or required debt amortization payments.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 by REITs generally do not qualify for reduced tax rates.</w:t>
      </w:r>
    </w:p>
    <w:p>
      <w:pPr>
        <w:spacing w:after="0" w:line="11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maximum U.S. federal income tax rate for dividends paid by domestic corporations to individual U.S. stockholders is 20%. Dividends paid by REITs, however, are generally not eligible for the reduced rates. The more favorable rates applicable to regular corporate dividends could cause stockholders who are individuals to perceive investments in REITs to be relatively less attractive than investments in the stocks of non-REIT corporations that pay dividends, which could adversely affect the value of the stock of REITs, including our securities.</w:t>
      </w:r>
    </w:p>
    <w:p>
      <w:pPr>
        <w:spacing w:after="0" w:line="186"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In addition, the relative attractiveness of real estate in general may be adversely affected by the favorable tax treatment given to corporate dividends, which could negatively affect the value of our stores.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Possible legislative or other actions affecting REITs could adversely affect our stockholders.</w:t>
      </w:r>
    </w:p>
    <w:p>
      <w:pPr>
        <w:spacing w:after="0" w:line="117"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The rules dealing with U.S. federal income taxation are constantly under review by persons involved in the legislative process and by the IRS and the U.S. Treasury Department. Changes to tax laws (which changes may have retroactive application) could adversely affect our stockholders. It cannot be predicted whether, when, in what forms, or with what effective dates, the tax laws applicable to us or our stockholders will be changed.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00"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i w:val="1"/>
          <w:iCs w:val="1"/>
          <w:color w:val="auto"/>
        </w:rPr>
        <w:t>The power of our board of directors to revoke our REIT election without stockholder approval may cause adverse consequences to our stockholders.</w:t>
      </w:r>
    </w:p>
    <w:p>
      <w:pPr>
        <w:spacing w:after="0" w:line="14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Our charter provides that our board of directors may revoke or otherwise terminate our REIT election, without the approval of our stockholders, if it determines that it is no longer in our best interest to continue to qualify as a REIT. If we cease to qualify as a REIT, we would become subject to U.S. federal income tax on our taxable income and would no longer be required to distribute most of our net taxable income to our stockholders, which may have adverse consequences on the total return to our stockholders.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qualify as a REIT would have significant adverse consequences to us and the value of our stock.</w:t>
      </w:r>
    </w:p>
    <w:p>
      <w:pPr>
        <w:spacing w:after="0" w:line="117" w:lineRule="exact"/>
        <w:rPr>
          <w:sz w:val="20"/>
          <w:szCs w:val="20"/>
          <w:color w:val="auto"/>
        </w:rPr>
      </w:pPr>
    </w:p>
    <w:p>
      <w:pPr>
        <w:jc w:val="both"/>
        <w:ind w:right="40" w:firstLine="432"/>
        <w:spacing w:after="0" w:line="263" w:lineRule="auto"/>
        <w:rPr>
          <w:sz w:val="20"/>
          <w:szCs w:val="20"/>
          <w:color w:val="auto"/>
        </w:rPr>
      </w:pPr>
      <w:r>
        <w:rPr>
          <w:rFonts w:ascii="Arial" w:cs="Arial" w:eastAsia="Arial" w:hAnsi="Arial"/>
          <w:sz w:val="18"/>
          <w:szCs w:val="18"/>
          <w:color w:val="auto"/>
        </w:rPr>
        <w:t>We believe we operate in a manner that allows us to qualify as a REIT for U.S. federal income tax purposes under the Internal Revenue Code. If we fail to qualify as a REIT or lose our qualification as a REIT at any time, we will face serious tax consequences that would substantially reduce the funds available for distribution for each of the years involved because:</w:t>
      </w:r>
    </w:p>
    <w:p>
      <w:pPr>
        <w:spacing w:after="0" w:line="88" w:lineRule="exact"/>
        <w:rPr>
          <w:sz w:val="20"/>
          <w:szCs w:val="20"/>
          <w:color w:val="auto"/>
        </w:rPr>
      </w:pPr>
    </w:p>
    <w:p>
      <w:pPr>
        <w:ind w:left="540" w:right="180" w:hanging="316"/>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would not be allowed a deduction for distributions to stockholders in computing our taxable income and would be subject to U.S. federal income tax at regular corporate rates;</w:t>
      </w:r>
    </w:p>
    <w:p>
      <w:pPr>
        <w:spacing w:after="0" w:line="7" w:lineRule="exact"/>
        <w:rPr>
          <w:rFonts w:ascii="Arial" w:cs="Arial" w:eastAsia="Arial" w:hAnsi="Arial"/>
          <w:sz w:val="18"/>
          <w:szCs w:val="18"/>
          <w:color w:val="auto"/>
        </w:rPr>
      </w:pPr>
    </w:p>
    <w:p>
      <w:pPr>
        <w:ind w:left="540" w:hanging="316"/>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also could be subject to the U.S. federal alternative minimum tax and possibly increased state and local taxes; and</w:t>
      </w:r>
    </w:p>
    <w:p>
      <w:pPr>
        <w:spacing w:after="0" w:line="62" w:lineRule="exact"/>
        <w:rPr>
          <w:rFonts w:ascii="Arial" w:cs="Arial" w:eastAsia="Arial" w:hAnsi="Arial"/>
          <w:sz w:val="18"/>
          <w:szCs w:val="18"/>
          <w:color w:val="auto"/>
        </w:rPr>
      </w:pPr>
    </w:p>
    <w:p>
      <w:pPr>
        <w:ind w:left="540" w:right="180" w:hanging="316"/>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unless we are entitled to relief under applicable statutory provisions, we could not elect to be taxed as a REIT for four taxable years following a year during which we were disqualified.</w:t>
      </w:r>
    </w:p>
    <w:p>
      <w:pPr>
        <w:spacing w:after="0" w:line="224"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In addition, if we fail to qualify as a REIT, we will not be required to make distributions to stockholders, and all distributions to stockholders will be subject to tax as regular corporate dividends to the extent of our current and accumulated earnings and profits. This means that our U.S. individual stockholders would be taxed on our dividends at capital gains rates, and our U.S. corporate stockholders would be entitled to the dividends received deduction with respect to such dividends, subject, in each case, to applicable limitations under the Internal Revenue Code. If we fail to qualify as a REIT for federal income tax purposes and are able to avail ourselves of one or more of the relief provisions under the Internal Revenue Code in order to maintain our REIT status, we may nevertheless be required to pay penalty taxes of $50,000 or more for each such failure. As a result of all these factors, our failure to qualify as a REIT also could impair our ability to expand our business and raise capital, and could adversely affect the value of our securities.</w:t>
      </w:r>
    </w:p>
    <w:p>
      <w:pPr>
        <w:spacing w:after="0" w:line="165"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Qualification as a REIT involves the application of highly technical and complex Internal Revenue Code provisions for which there are only limited judicial and administrative interpretations. The complexity of these provisions and of the applicable Treasury regulations that have been promulgated under the Internal Revenue Code is greater in the case of a REIT that, like us, holds its assets through a partnership. The determination of various factual matters and circumstances not entirely within our control may affect our ability to qualify as a REIT. In order to qualify as a REIT, we must satisfy a number of requirements, including requirements regarding the composition of our assets, the sources of our gross income and the owners of our stock. Our ability to satisfy the asset tests depends upon our analysis of the fair market value of our assets, some of which are not susceptible to precise determination, and for which we will not obtain independent appraisals. Also, we must make distributions to stockholders aggregating annually at least 90% of our net taxable income, excluding capital gains, and we will be subject to income tax at regular corporate rates to the extent we distribute less than 100% of our net taxable income including capital gains. In addition, legislation, new regulations, administrative interpretations or court decisions may adversely affect our investors, our ability to qualify as a REIT for U.S. federal income tax purposes or the desirability of an investment in a REIT relative to other investments. Although we believe that we have been organized and have operated in a manner that is intended to allow us to qualify for taxation as a REIT, we can give no assurance that we have qualified or will continue to qualify as a REIT for tax purposes. We have not requested and do not plan to request a ruling from the Internal Revenue Service regarding our qualification as a REIT.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pay some taxes.</w:t>
      </w:r>
    </w:p>
    <w:p>
      <w:pPr>
        <w:spacing w:after="0" w:line="117"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Even though we qualify as a REIT for U.S. federal income tax purposes, we will be required to pay some U.S. federal, state and local taxes on our income and property. Extra Space Management, Inc. manages stores for our joint ventures and stores owned by third parties. We, jointly with Extra Space Management, Inc., elected to treat Extra Space Management, Inc. as a taxable REIT subsidiary (“TRS”) of our Company for U.S. federal income tax purposes. A taxable REIT subsidiary is a fully taxable corporation, and may be limited in its ability to deduct interest payments made to us. ESM Reinsurance Limited, a wholly-owned subsidiary of Extra Space Management, Inc., generates income from insurance premiums that are subject to federal income tax and state insurance premiums tax. In addition, we will be subject to a 100% penalty tax on certain amounts if the economic arrangements among our tenants, our taxable REIT subsidiary and us are not comparable to similar arrangements among unrelated parties or if we receive payments for inventory or property held for sale to customers in the</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123" w:right="259" w:bottom="1440" w:gutter="0" w:footer="0" w:header="0"/>
        </w:sectPr>
      </w:pPr>
    </w:p>
    <w:bookmarkStart w:id="16" w:name="page17"/>
    <w:bookmarkEnd w:id="16"/>
    <w:p>
      <w:pPr>
        <w:spacing w:after="0" w:line="5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ordinary course of business. Also, if we sell property as a dealer (i.e., to customers in the ordinary course of our trade or business), we will be subject to a 100% penalty tax on any gain arising from such sales. While we do not intend to sell stores as a dealer, the IRS could take a contrary position. To the extent that we are, or our taxable REIT subsidiary is, required to pay U.S. federal, state or local taxes, we will have less cash available for distribution to stockholders.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cause us to forgo otherwise attractive opportunities.</w:t>
      </w:r>
    </w:p>
    <w:p>
      <w:pPr>
        <w:spacing w:after="0" w:line="117"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To qualify as a REIT for U.S. federal income tax purposes, we must continually satisfy tests concerning, among other things, the sources of our income, the nature and diversification of our assets, the amounts we distribute to our stockholders and the ownership of our stock. In order to meet these tests, we may be required to forgo attractive business or investment opportunities. Thus, compliance with the REIT requirements may adversely affect our ability to operate solely to maximize profits.</w:t>
      </w:r>
    </w:p>
    <w:p>
      <w:pPr>
        <w:spacing w:after="0" w:line="39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121"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As of December 31, 2016, we owned or had ownership interests in 1,016 operating stores. Of these stores, 836 are wholly-owned and 180 are held in joint ventures. In addition, we managed an additional 411 stores for third parties bringing the total number of stores which we own and/or manage to 1,427. These stores are located in 38 states, Washington, D.C. and Puerto Rico. We receive a management fee generally equal to approximately 6.0% of cash collected from total revenues to manage the joint venture and third party sites. As of December 31, 2016, we owned and/or managed approximately 107 million square feet of rentable space configured in approximately 960,000 separate storage units. Approximately 70% of our stores are clustered around large population centers, such as Atlanta, Baltimore/Washington, D.C., Boston, Chicago, Dallas, Houston, Las Vegas, Los Angeles, Miami, New York City, Orlando, Philadelphia, Phoenix, St. Petersburg/Tampa and San Francisco/Oakland. These markets contain above-average population and income demographics for stores. The clustering of assets around these population centers enables us to reduce our operating costs through economies of scale. Our acquisitions have given us an increased scale in many core markets as well as a foothold in many markets where we had no previous presence.</w:t>
      </w:r>
    </w:p>
    <w:p>
      <w:pPr>
        <w:spacing w:after="0" w:line="83" w:lineRule="exact"/>
        <w:rPr>
          <w:sz w:val="20"/>
          <w:szCs w:val="20"/>
          <w:color w:val="auto"/>
        </w:rPr>
      </w:pPr>
    </w:p>
    <w:p>
      <w:pPr>
        <w:jc w:val="both"/>
        <w:ind w:right="40" w:firstLine="432"/>
        <w:spacing w:after="0" w:line="263" w:lineRule="auto"/>
        <w:rPr>
          <w:sz w:val="20"/>
          <w:szCs w:val="20"/>
          <w:color w:val="auto"/>
        </w:rPr>
      </w:pPr>
      <w:r>
        <w:rPr>
          <w:rFonts w:ascii="Arial" w:cs="Arial" w:eastAsia="Arial" w:hAnsi="Arial"/>
          <w:sz w:val="18"/>
          <w:szCs w:val="18"/>
          <w:color w:val="auto"/>
        </w:rPr>
        <w:t>We consider a store to be in the lease-up stage after it has been issued a certificate of occupancy, but before it has achieved stabilization. We consider a store to be stabilized once it has achieved either an 80% occupancy rate for a full year measured as of January 1 of the current year, or has been open for three years prior to the January 1 of the current year.</w:t>
      </w:r>
    </w:p>
    <w:p>
      <w:pPr>
        <w:spacing w:after="0" w:line="183" w:lineRule="exact"/>
        <w:rPr>
          <w:sz w:val="20"/>
          <w:szCs w:val="20"/>
          <w:color w:val="auto"/>
        </w:rPr>
      </w:pPr>
    </w:p>
    <w:p>
      <w:pPr>
        <w:ind w:right="40" w:firstLine="432"/>
        <w:spacing w:after="0" w:line="256" w:lineRule="auto"/>
        <w:rPr>
          <w:sz w:val="20"/>
          <w:szCs w:val="20"/>
          <w:color w:val="auto"/>
        </w:rPr>
      </w:pPr>
      <w:r>
        <w:rPr>
          <w:rFonts w:ascii="Arial" w:cs="Arial" w:eastAsia="Arial" w:hAnsi="Arial"/>
          <w:sz w:val="18"/>
          <w:szCs w:val="18"/>
          <w:color w:val="auto"/>
        </w:rPr>
        <w:t>As of December 31, 2016, approximately 850,000 tenants were leasing storage units at the 1,427 operating stores that we own and/or manage, primarily on a month-to-month basis, providing the flexibility to increase rental rates over time as market conditions permit. Existing tenants generally receive rate increases at least annually, for which no direct correlation has been drawn to our vacancy trends. Although leases are short-term in duration, the typical tenant tends to remain at our stores for an extended period of time. For stores that were stabilized as of December 31, 2016, the average length of stay was approximately 14.3 months.</w:t>
      </w:r>
    </w:p>
    <w:p>
      <w:pPr>
        <w:spacing w:after="0" w:line="19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average annual rent per square foot for our existing customers at stabilized stores, net of discounts and bad debt, was $15.88 for the year ended December 31, 2016, compared to $14.92 for the year ended December 31, 2015. Average annual rent per square foot for new leases was $17.02 for the year ended December 31, 2016, compared to $15.91 for the year ended December 31, 2015. The average discounts, as a percentage of rental revenues, during these periods were 3.3% and 3.2%, respectively.</w:t>
      </w:r>
    </w:p>
    <w:p>
      <w:pPr>
        <w:spacing w:after="0" w:line="186" w:lineRule="exact"/>
        <w:rPr>
          <w:sz w:val="20"/>
          <w:szCs w:val="20"/>
          <w:color w:val="auto"/>
        </w:rPr>
      </w:pPr>
    </w:p>
    <w:p>
      <w:pPr>
        <w:ind w:right="20" w:firstLine="432"/>
        <w:spacing w:after="0" w:line="263" w:lineRule="auto"/>
        <w:rPr>
          <w:sz w:val="20"/>
          <w:szCs w:val="20"/>
          <w:color w:val="auto"/>
        </w:rPr>
      </w:pPr>
      <w:r>
        <w:rPr>
          <w:rFonts w:ascii="Arial" w:cs="Arial" w:eastAsia="Arial" w:hAnsi="Arial"/>
          <w:sz w:val="18"/>
          <w:szCs w:val="18"/>
          <w:color w:val="auto"/>
        </w:rPr>
        <w:t>Our store portfolio is made up of different types of construction and building configurations depending on the site and the municipality where it is located. Most often sites are what we consider “hybrid” facilities, a mix of both drive-up buildings and multi-floor buildings. We have a number of multi-floor buildings with elevator access only, and a number of facilities featuring ground-floor access only.</w:t>
      </w:r>
    </w:p>
    <w:p>
      <w:pPr>
        <w:spacing w:after="0" w:line="183" w:lineRule="exact"/>
        <w:rPr>
          <w:sz w:val="20"/>
          <w:szCs w:val="20"/>
          <w:color w:val="auto"/>
        </w:rPr>
      </w:pPr>
    </w:p>
    <w:p>
      <w:pPr>
        <w:ind w:right="260" w:firstLine="432"/>
        <w:spacing w:after="0" w:line="263" w:lineRule="auto"/>
        <w:rPr>
          <w:sz w:val="20"/>
          <w:szCs w:val="20"/>
          <w:color w:val="auto"/>
        </w:rPr>
      </w:pPr>
      <w:r>
        <w:rPr>
          <w:rFonts w:ascii="Arial" w:cs="Arial" w:eastAsia="Arial" w:hAnsi="Arial"/>
          <w:sz w:val="18"/>
          <w:szCs w:val="18"/>
          <w:color w:val="auto"/>
        </w:rPr>
        <w:t>The following table presents additional information regarding the occupancy of our stabilized stores by state as of December 31, 2016 and 2015. The information as of December 31, 2015, is on a pro forma basis as though all the stores owned at December 31, 2016, were under our control as of December 31, 2015.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Stabilized Store Data Based on Location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3"/>
          </w:tcPr>
          <w:p>
            <w:pPr>
              <w:jc w:val="center"/>
              <w:ind w:right="420"/>
              <w:spacing w:after="0"/>
              <w:rPr>
                <w:sz w:val="20"/>
                <w:szCs w:val="20"/>
                <w:color w:val="auto"/>
              </w:rPr>
            </w:pPr>
            <w:r>
              <w:rPr>
                <w:rFonts w:ascii="Arial" w:cs="Arial" w:eastAsia="Arial" w:hAnsi="Arial"/>
                <w:sz w:val="14"/>
                <w:szCs w:val="14"/>
                <w:color w:val="auto"/>
                <w:w w:val="93"/>
              </w:rPr>
              <w:t>Company</w:t>
            </w:r>
          </w:p>
        </w:tc>
        <w:tc>
          <w:tcPr>
            <w:tcW w:w="320" w:type="dxa"/>
            <w:vAlign w:val="bottom"/>
          </w:tcPr>
          <w:p>
            <w:pPr>
              <w:spacing w:after="0"/>
              <w:rPr>
                <w:sz w:val="14"/>
                <w:szCs w:val="14"/>
                <w:color w:val="auto"/>
              </w:rPr>
            </w:pPr>
          </w:p>
        </w:tc>
        <w:tc>
          <w:tcPr>
            <w:tcW w:w="1020" w:type="dxa"/>
            <w:vAlign w:val="bottom"/>
            <w:gridSpan w:val="3"/>
          </w:tcPr>
          <w:p>
            <w:pPr>
              <w:jc w:val="center"/>
              <w:ind w:right="400"/>
              <w:spacing w:after="0"/>
              <w:rPr>
                <w:sz w:val="20"/>
                <w:szCs w:val="20"/>
                <w:color w:val="auto"/>
              </w:rPr>
            </w:pPr>
            <w:r>
              <w:rPr>
                <w:rFonts w:ascii="Arial" w:cs="Arial" w:eastAsia="Arial" w:hAnsi="Arial"/>
                <w:sz w:val="14"/>
                <w:szCs w:val="14"/>
                <w:color w:val="auto"/>
                <w:w w:val="94"/>
              </w:rPr>
              <w:t>Pro forma</w:t>
            </w:r>
          </w:p>
        </w:tc>
        <w:tc>
          <w:tcPr>
            <w:tcW w:w="400" w:type="dxa"/>
            <w:vAlign w:val="bottom"/>
          </w:tcPr>
          <w:p>
            <w:pPr>
              <w:spacing w:after="0"/>
              <w:rPr>
                <w:sz w:val="14"/>
                <w:szCs w:val="14"/>
                <w:color w:val="auto"/>
              </w:rPr>
            </w:pPr>
          </w:p>
        </w:tc>
        <w:tc>
          <w:tcPr>
            <w:tcW w:w="1080" w:type="dxa"/>
            <w:vAlign w:val="bottom"/>
            <w:gridSpan w:val="3"/>
          </w:tcPr>
          <w:p>
            <w:pPr>
              <w:jc w:val="center"/>
              <w:ind w:right="480"/>
              <w:spacing w:after="0"/>
              <w:rPr>
                <w:sz w:val="20"/>
                <w:szCs w:val="20"/>
                <w:color w:val="auto"/>
              </w:rPr>
            </w:pPr>
            <w:r>
              <w:rPr>
                <w:rFonts w:ascii="Arial" w:cs="Arial" w:eastAsia="Arial" w:hAnsi="Arial"/>
                <w:sz w:val="14"/>
                <w:szCs w:val="14"/>
                <w:color w:val="auto"/>
                <w:w w:val="93"/>
              </w:rPr>
              <w:t>Company</w:t>
            </w:r>
          </w:p>
        </w:tc>
        <w:tc>
          <w:tcPr>
            <w:tcW w:w="380" w:type="dxa"/>
            <w:vAlign w:val="bottom"/>
          </w:tcPr>
          <w:p>
            <w:pPr>
              <w:spacing w:after="0"/>
              <w:rPr>
                <w:sz w:val="14"/>
                <w:szCs w:val="14"/>
                <w:color w:val="auto"/>
              </w:rPr>
            </w:pPr>
          </w:p>
        </w:tc>
        <w:tc>
          <w:tcPr>
            <w:tcW w:w="1080" w:type="dxa"/>
            <w:vAlign w:val="bottom"/>
            <w:gridSpan w:val="3"/>
          </w:tcPr>
          <w:p>
            <w:pPr>
              <w:jc w:val="center"/>
              <w:ind w:right="460"/>
              <w:spacing w:after="0"/>
              <w:rPr>
                <w:sz w:val="20"/>
                <w:szCs w:val="20"/>
                <w:color w:val="auto"/>
              </w:rPr>
            </w:pPr>
            <w:r>
              <w:rPr>
                <w:rFonts w:ascii="Arial" w:cs="Arial" w:eastAsia="Arial" w:hAnsi="Arial"/>
                <w:sz w:val="14"/>
                <w:szCs w:val="14"/>
                <w:color w:val="auto"/>
                <w:w w:val="94"/>
              </w:rPr>
              <w:t>Pro forma</w:t>
            </w:r>
          </w:p>
        </w:tc>
        <w:tc>
          <w:tcPr>
            <w:tcW w:w="380" w:type="dxa"/>
            <w:vAlign w:val="bottom"/>
          </w:tcPr>
          <w:p>
            <w:pPr>
              <w:spacing w:after="0"/>
              <w:rPr>
                <w:sz w:val="14"/>
                <w:szCs w:val="14"/>
                <w:color w:val="auto"/>
              </w:rPr>
            </w:pPr>
          </w:p>
        </w:tc>
        <w:tc>
          <w:tcPr>
            <w:tcW w:w="1060" w:type="dxa"/>
            <w:vAlign w:val="bottom"/>
            <w:gridSpan w:val="3"/>
          </w:tcPr>
          <w:p>
            <w:pPr>
              <w:jc w:val="center"/>
              <w:ind w:right="500"/>
              <w:spacing w:after="0"/>
              <w:rPr>
                <w:sz w:val="20"/>
                <w:szCs w:val="20"/>
                <w:color w:val="auto"/>
              </w:rPr>
            </w:pPr>
            <w:r>
              <w:rPr>
                <w:rFonts w:ascii="Arial" w:cs="Arial" w:eastAsia="Arial" w:hAnsi="Arial"/>
                <w:sz w:val="14"/>
                <w:szCs w:val="14"/>
                <w:color w:val="auto"/>
                <w:w w:val="93"/>
              </w:rPr>
              <w:t>Company</w:t>
            </w:r>
          </w:p>
        </w:tc>
        <w:tc>
          <w:tcPr>
            <w:tcW w:w="36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Pro forma</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4"/>
          </w:tcPr>
          <w:p>
            <w:pPr>
              <w:jc w:val="center"/>
              <w:ind w:right="100"/>
              <w:spacing w:after="0"/>
              <w:rPr>
                <w:sz w:val="20"/>
                <w:szCs w:val="20"/>
                <w:color w:val="auto"/>
              </w:rPr>
            </w:pPr>
            <w:r>
              <w:rPr>
                <w:rFonts w:ascii="Arial" w:cs="Arial" w:eastAsia="Arial" w:hAnsi="Arial"/>
                <w:sz w:val="14"/>
                <w:szCs w:val="14"/>
                <w:color w:val="auto"/>
                <w:w w:val="95"/>
              </w:rPr>
              <w:t>Number of Units as</w:t>
            </w:r>
          </w:p>
        </w:tc>
        <w:tc>
          <w:tcPr>
            <w:tcW w:w="1340" w:type="dxa"/>
            <w:vAlign w:val="bottom"/>
            <w:gridSpan w:val="4"/>
            <w:vMerge w:val="restart"/>
          </w:tcPr>
          <w:p>
            <w:pPr>
              <w:jc w:val="center"/>
              <w:ind w:right="100"/>
              <w:spacing w:after="0"/>
              <w:rPr>
                <w:sz w:val="20"/>
                <w:szCs w:val="20"/>
                <w:color w:val="auto"/>
              </w:rPr>
            </w:pPr>
            <w:r>
              <w:rPr>
                <w:rFonts w:ascii="Arial" w:cs="Arial" w:eastAsia="Arial" w:hAnsi="Arial"/>
                <w:sz w:val="14"/>
                <w:szCs w:val="14"/>
                <w:color w:val="auto"/>
                <w:w w:val="93"/>
              </w:rPr>
              <w:t>Number of Units as</w:t>
            </w:r>
          </w:p>
        </w:tc>
        <w:tc>
          <w:tcPr>
            <w:tcW w:w="1480" w:type="dxa"/>
            <w:vAlign w:val="bottom"/>
            <w:gridSpan w:val="4"/>
            <w:vMerge w:val="restart"/>
          </w:tcPr>
          <w:p>
            <w:pPr>
              <w:jc w:val="center"/>
              <w:ind w:right="100"/>
              <w:spacing w:after="0"/>
              <w:rPr>
                <w:sz w:val="20"/>
                <w:szCs w:val="20"/>
                <w:color w:val="auto"/>
              </w:rPr>
            </w:pPr>
            <w:r>
              <w:rPr>
                <w:rFonts w:ascii="Arial" w:cs="Arial" w:eastAsia="Arial" w:hAnsi="Arial"/>
                <w:sz w:val="14"/>
                <w:szCs w:val="14"/>
                <w:color w:val="auto"/>
                <w:w w:val="90"/>
              </w:rPr>
              <w:t>Net Rentable Square</w:t>
            </w:r>
          </w:p>
        </w:tc>
        <w:tc>
          <w:tcPr>
            <w:tcW w:w="1460" w:type="dxa"/>
            <w:vAlign w:val="bottom"/>
            <w:gridSpan w:val="4"/>
            <w:vMerge w:val="restart"/>
          </w:tcPr>
          <w:p>
            <w:pPr>
              <w:jc w:val="center"/>
              <w:ind w:right="100"/>
              <w:spacing w:after="0"/>
              <w:rPr>
                <w:sz w:val="20"/>
                <w:szCs w:val="20"/>
                <w:color w:val="auto"/>
              </w:rPr>
            </w:pPr>
            <w:r>
              <w:rPr>
                <w:rFonts w:ascii="Arial" w:cs="Arial" w:eastAsia="Arial" w:hAnsi="Arial"/>
                <w:sz w:val="14"/>
                <w:szCs w:val="14"/>
                <w:color w:val="auto"/>
                <w:w w:val="91"/>
              </w:rPr>
              <w:t>Net Rentable Square</w:t>
            </w:r>
          </w:p>
        </w:tc>
        <w:tc>
          <w:tcPr>
            <w:tcW w:w="1440" w:type="dxa"/>
            <w:vAlign w:val="bottom"/>
            <w:gridSpan w:val="4"/>
            <w:vMerge w:val="restart"/>
          </w:tcPr>
          <w:p>
            <w:pPr>
              <w:jc w:val="center"/>
              <w:ind w:right="60"/>
              <w:spacing w:after="0"/>
              <w:rPr>
                <w:sz w:val="20"/>
                <w:szCs w:val="20"/>
                <w:color w:val="auto"/>
              </w:rPr>
            </w:pPr>
            <w:r>
              <w:rPr>
                <w:rFonts w:ascii="Arial" w:cs="Arial" w:eastAsia="Arial" w:hAnsi="Arial"/>
                <w:sz w:val="14"/>
                <w:szCs w:val="14"/>
                <w:color w:val="auto"/>
                <w:w w:val="90"/>
              </w:rPr>
              <w:t>Square Foot</w:t>
            </w:r>
          </w:p>
        </w:tc>
        <w:tc>
          <w:tcPr>
            <w:tcW w:w="1320" w:type="dxa"/>
            <w:vAlign w:val="bottom"/>
            <w:gridSpan w:val="3"/>
            <w:vMerge w:val="restart"/>
          </w:tcPr>
          <w:p>
            <w:pPr>
              <w:jc w:val="center"/>
              <w:spacing w:after="0"/>
              <w:rPr>
                <w:sz w:val="20"/>
                <w:szCs w:val="20"/>
                <w:color w:val="auto"/>
              </w:rPr>
            </w:pPr>
            <w:r>
              <w:rPr>
                <w:rFonts w:ascii="Arial" w:cs="Arial" w:eastAsia="Arial" w:hAnsi="Arial"/>
                <w:sz w:val="14"/>
                <w:szCs w:val="14"/>
                <w:color w:val="auto"/>
                <w:w w:val="90"/>
              </w:rPr>
              <w:t>Square Foot</w:t>
            </w:r>
          </w:p>
        </w:tc>
        <w:tc>
          <w:tcPr>
            <w:tcW w:w="0" w:type="dxa"/>
            <w:vAlign w:val="bottom"/>
          </w:tcPr>
          <w:p>
            <w:pPr>
              <w:spacing w:after="0"/>
              <w:rPr>
                <w:sz w:val="1"/>
                <w:szCs w:val="1"/>
                <w:color w:val="auto"/>
              </w:rPr>
            </w:pPr>
          </w:p>
        </w:tc>
      </w:tr>
      <w:tr>
        <w:trPr>
          <w:trHeight w:val="120"/>
        </w:trPr>
        <w:tc>
          <w:tcPr>
            <w:tcW w:w="18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gridSpan w:val="3"/>
          </w:tcPr>
          <w:p>
            <w:pPr>
              <w:jc w:val="center"/>
              <w:ind w:right="420"/>
              <w:spacing w:after="0" w:line="120" w:lineRule="exact"/>
              <w:rPr>
                <w:sz w:val="20"/>
                <w:szCs w:val="20"/>
                <w:color w:val="auto"/>
              </w:rPr>
            </w:pPr>
            <w:r>
              <w:rPr>
                <w:rFonts w:ascii="Arial" w:cs="Arial" w:eastAsia="Arial" w:hAnsi="Arial"/>
                <w:sz w:val="13"/>
                <w:szCs w:val="13"/>
                <w:color w:val="auto"/>
              </w:rPr>
              <w:t>of</w:t>
            </w:r>
          </w:p>
        </w:tc>
        <w:tc>
          <w:tcPr>
            <w:tcW w:w="1340" w:type="dxa"/>
            <w:vAlign w:val="bottom"/>
            <w:gridSpan w:val="4"/>
            <w:vMerge w:val="continue"/>
          </w:tcPr>
          <w:p>
            <w:pPr>
              <w:spacing w:after="0"/>
              <w:rPr>
                <w:sz w:val="10"/>
                <w:szCs w:val="10"/>
                <w:color w:val="auto"/>
              </w:rPr>
            </w:pPr>
          </w:p>
        </w:tc>
        <w:tc>
          <w:tcPr>
            <w:tcW w:w="1480" w:type="dxa"/>
            <w:vAlign w:val="bottom"/>
            <w:gridSpan w:val="4"/>
            <w:vMerge w:val="continue"/>
          </w:tcPr>
          <w:p>
            <w:pPr>
              <w:spacing w:after="0"/>
              <w:rPr>
                <w:sz w:val="10"/>
                <w:szCs w:val="10"/>
                <w:color w:val="auto"/>
              </w:rPr>
            </w:pPr>
          </w:p>
        </w:tc>
        <w:tc>
          <w:tcPr>
            <w:tcW w:w="1460" w:type="dxa"/>
            <w:vAlign w:val="bottom"/>
            <w:gridSpan w:val="4"/>
            <w:vMerge w:val="continue"/>
          </w:tcPr>
          <w:p>
            <w:pPr>
              <w:spacing w:after="0"/>
              <w:rPr>
                <w:sz w:val="10"/>
                <w:szCs w:val="10"/>
                <w:color w:val="auto"/>
              </w:rPr>
            </w:pPr>
          </w:p>
        </w:tc>
        <w:tc>
          <w:tcPr>
            <w:tcW w:w="1440" w:type="dxa"/>
            <w:vAlign w:val="bottom"/>
            <w:gridSpan w:val="4"/>
            <w:vMerge w:val="continue"/>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860" w:type="dxa"/>
            <w:vAlign w:val="bottom"/>
            <w:vMerge w:val="restart"/>
          </w:tcPr>
          <w:p>
            <w:pPr>
              <w:ind w:left="80"/>
              <w:spacing w:after="0"/>
              <w:rPr>
                <w:sz w:val="20"/>
                <w:szCs w:val="20"/>
                <w:color w:val="auto"/>
              </w:rPr>
            </w:pPr>
            <w:r>
              <w:rPr>
                <w:rFonts w:ascii="Arial" w:cs="Arial" w:eastAsia="Arial" w:hAnsi="Arial"/>
                <w:sz w:val="14"/>
                <w:szCs w:val="14"/>
                <w:color w:val="auto"/>
              </w:rPr>
              <w:t>Location</w:t>
            </w:r>
          </w:p>
        </w:tc>
        <w:tc>
          <w:tcPr>
            <w:tcW w:w="116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Number of</w:t>
            </w:r>
          </w:p>
        </w:tc>
        <w:tc>
          <w:tcPr>
            <w:tcW w:w="1360" w:type="dxa"/>
            <w:vAlign w:val="bottom"/>
            <w:gridSpan w:val="4"/>
          </w:tcPr>
          <w:p>
            <w:pPr>
              <w:jc w:val="center"/>
              <w:ind w:right="100"/>
              <w:spacing w:after="0"/>
              <w:rPr>
                <w:sz w:val="20"/>
                <w:szCs w:val="20"/>
                <w:color w:val="auto"/>
              </w:rPr>
            </w:pPr>
            <w:r>
              <w:rPr>
                <w:rFonts w:ascii="Arial" w:cs="Arial" w:eastAsia="Arial" w:hAnsi="Arial"/>
                <w:sz w:val="14"/>
                <w:szCs w:val="14"/>
                <w:color w:val="auto"/>
                <w:w w:val="92"/>
              </w:rPr>
              <w:t>December 31, 2016</w:t>
            </w:r>
          </w:p>
        </w:tc>
        <w:tc>
          <w:tcPr>
            <w:tcW w:w="320" w:type="dxa"/>
            <w:vAlign w:val="bottom"/>
          </w:tcPr>
          <w:p>
            <w:pPr>
              <w:spacing w:after="0"/>
              <w:rPr>
                <w:sz w:val="14"/>
                <w:szCs w:val="14"/>
                <w:color w:val="auto"/>
              </w:rPr>
            </w:pPr>
          </w:p>
        </w:tc>
        <w:tc>
          <w:tcPr>
            <w:tcW w:w="1020" w:type="dxa"/>
            <w:vAlign w:val="bottom"/>
            <w:gridSpan w:val="3"/>
          </w:tcPr>
          <w:p>
            <w:pPr>
              <w:jc w:val="center"/>
              <w:ind w:right="420"/>
              <w:spacing w:after="0"/>
              <w:rPr>
                <w:sz w:val="20"/>
                <w:szCs w:val="20"/>
                <w:color w:val="auto"/>
              </w:rPr>
            </w:pPr>
            <w:r>
              <w:rPr>
                <w:rFonts w:ascii="Arial" w:cs="Arial" w:eastAsia="Arial" w:hAnsi="Arial"/>
                <w:sz w:val="14"/>
                <w:szCs w:val="14"/>
                <w:color w:val="auto"/>
              </w:rPr>
              <w:t>of</w:t>
            </w: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color w:val="auto"/>
                <w:w w:val="90"/>
              </w:rPr>
              <w:t>Feet as of December</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w w:val="91"/>
              </w:rPr>
              <w:t>Feet as of December</w:t>
            </w:r>
          </w:p>
        </w:tc>
        <w:tc>
          <w:tcPr>
            <w:tcW w:w="1440" w:type="dxa"/>
            <w:vAlign w:val="bottom"/>
            <w:gridSpan w:val="4"/>
          </w:tcPr>
          <w:p>
            <w:pPr>
              <w:jc w:val="center"/>
              <w:ind w:right="100"/>
              <w:spacing w:after="0"/>
              <w:rPr>
                <w:sz w:val="20"/>
                <w:szCs w:val="20"/>
                <w:color w:val="auto"/>
              </w:rPr>
            </w:pPr>
            <w:r>
              <w:rPr>
                <w:rFonts w:ascii="Arial" w:cs="Arial" w:eastAsia="Arial" w:hAnsi="Arial"/>
                <w:sz w:val="14"/>
                <w:szCs w:val="14"/>
                <w:color w:val="auto"/>
                <w:w w:val="94"/>
              </w:rPr>
              <w:t>Occupancy %</w:t>
            </w:r>
          </w:p>
        </w:tc>
        <w:tc>
          <w:tcPr>
            <w:tcW w:w="1320" w:type="dxa"/>
            <w:vAlign w:val="bottom"/>
            <w:gridSpan w:val="3"/>
          </w:tcPr>
          <w:p>
            <w:pPr>
              <w:jc w:val="center"/>
              <w:spacing w:after="0"/>
              <w:rPr>
                <w:sz w:val="20"/>
                <w:szCs w:val="20"/>
                <w:color w:val="auto"/>
              </w:rPr>
            </w:pPr>
            <w:r>
              <w:rPr>
                <w:rFonts w:ascii="Arial" w:cs="Arial" w:eastAsia="Arial" w:hAnsi="Arial"/>
                <w:sz w:val="14"/>
                <w:szCs w:val="14"/>
                <w:color w:val="auto"/>
                <w:w w:val="92"/>
              </w:rPr>
              <w:t>Occupancy %</w:t>
            </w:r>
          </w:p>
        </w:tc>
        <w:tc>
          <w:tcPr>
            <w:tcW w:w="0" w:type="dxa"/>
            <w:vAlign w:val="bottom"/>
          </w:tcPr>
          <w:p>
            <w:pPr>
              <w:spacing w:after="0"/>
              <w:rPr>
                <w:sz w:val="1"/>
                <w:szCs w:val="1"/>
                <w:color w:val="auto"/>
              </w:rPr>
            </w:pPr>
          </w:p>
        </w:tc>
      </w:tr>
      <w:tr>
        <w:trPr>
          <w:trHeight w:val="162"/>
        </w:trPr>
        <w:tc>
          <w:tcPr>
            <w:tcW w:w="1860" w:type="dxa"/>
            <w:vAlign w:val="bottom"/>
            <w:vMerge w:val="continue"/>
          </w:tcPr>
          <w:p>
            <w:pPr>
              <w:spacing w:after="0"/>
              <w:rPr>
                <w:sz w:val="14"/>
                <w:szCs w:val="14"/>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14"/>
                <w:szCs w:val="14"/>
                <w:color w:val="auto"/>
                <w:w w:val="88"/>
              </w:rPr>
              <w:t>Stores</w:t>
            </w:r>
          </w:p>
        </w:tc>
        <w:tc>
          <w:tcPr>
            <w:tcW w:w="920" w:type="dxa"/>
            <w:vAlign w:val="bottom"/>
            <w:gridSpan w:val="2"/>
          </w:tcPr>
          <w:p>
            <w:pPr>
              <w:jc w:val="center"/>
              <w:ind w:left="263"/>
              <w:spacing w:after="0"/>
              <w:rPr>
                <w:sz w:val="20"/>
                <w:szCs w:val="20"/>
                <w:color w:val="auto"/>
              </w:rPr>
            </w:pPr>
            <w:r>
              <w:rPr>
                <w:rFonts w:ascii="Arial" w:cs="Arial" w:eastAsia="Arial" w:hAnsi="Arial"/>
                <w:sz w:val="9"/>
                <w:szCs w:val="9"/>
                <w:color w:val="auto"/>
                <w:w w:val="90"/>
              </w:rPr>
              <w:t>(1)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4"/>
          </w:tcPr>
          <w:p>
            <w:pPr>
              <w:jc w:val="center"/>
              <w:ind w:right="100"/>
              <w:spacing w:after="0"/>
              <w:rPr>
                <w:sz w:val="20"/>
                <w:szCs w:val="20"/>
                <w:color w:val="auto"/>
              </w:rPr>
            </w:pPr>
            <w:r>
              <w:rPr>
                <w:rFonts w:ascii="Arial" w:cs="Arial" w:eastAsia="Arial" w:hAnsi="Arial"/>
                <w:sz w:val="14"/>
                <w:szCs w:val="14"/>
                <w:color w:val="auto"/>
                <w:w w:val="91"/>
              </w:rPr>
              <w:t>December 31, 2015</w:t>
            </w:r>
          </w:p>
        </w:tc>
        <w:tc>
          <w:tcPr>
            <w:tcW w:w="1360" w:type="dxa"/>
            <w:vAlign w:val="bottom"/>
            <w:gridSpan w:val="3"/>
          </w:tcPr>
          <w:p>
            <w:pPr>
              <w:jc w:val="center"/>
              <w:spacing w:after="0"/>
              <w:rPr>
                <w:sz w:val="20"/>
                <w:szCs w:val="20"/>
                <w:color w:val="auto"/>
              </w:rPr>
            </w:pPr>
            <w:r>
              <w:rPr>
                <w:rFonts w:ascii="Arial" w:cs="Arial" w:eastAsia="Arial" w:hAnsi="Arial"/>
                <w:sz w:val="14"/>
                <w:szCs w:val="14"/>
                <w:color w:val="auto"/>
                <w:w w:val="96"/>
              </w:rPr>
              <w:t xml:space="preserve">31, 2016 </w:t>
            </w:r>
            <w:r>
              <w:rPr>
                <w:rFonts w:ascii="Arial" w:cs="Arial" w:eastAsia="Arial" w:hAnsi="Arial"/>
                <w:sz w:val="8"/>
                <w:szCs w:val="8"/>
                <w:color w:val="auto"/>
                <w:w w:val="96"/>
              </w:rPr>
              <w:t>(2)</w:t>
            </w:r>
          </w:p>
        </w:tc>
        <w:tc>
          <w:tcPr>
            <w:tcW w:w="120" w:type="dxa"/>
            <w:vAlign w:val="bottom"/>
          </w:tcPr>
          <w:p>
            <w:pPr>
              <w:spacing w:after="0"/>
              <w:rPr>
                <w:sz w:val="14"/>
                <w:szCs w:val="14"/>
                <w:color w:val="auto"/>
              </w:rPr>
            </w:pPr>
          </w:p>
        </w:tc>
        <w:tc>
          <w:tcPr>
            <w:tcW w:w="980" w:type="dxa"/>
            <w:vAlign w:val="bottom"/>
            <w:gridSpan w:val="2"/>
          </w:tcPr>
          <w:p>
            <w:pPr>
              <w:jc w:val="center"/>
              <w:ind w:left="301"/>
              <w:spacing w:after="0"/>
              <w:rPr>
                <w:sz w:val="20"/>
                <w:szCs w:val="20"/>
                <w:color w:val="auto"/>
              </w:rPr>
            </w:pPr>
            <w:r>
              <w:rPr>
                <w:rFonts w:ascii="Arial" w:cs="Arial" w:eastAsia="Arial" w:hAnsi="Arial"/>
                <w:sz w:val="14"/>
                <w:szCs w:val="14"/>
                <w:color w:val="auto"/>
                <w:w w:val="95"/>
              </w:rPr>
              <w:t>31, 2015</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center"/>
              <w:ind w:right="100"/>
              <w:spacing w:after="0"/>
              <w:rPr>
                <w:sz w:val="20"/>
                <w:szCs w:val="20"/>
                <w:color w:val="auto"/>
              </w:rPr>
            </w:pPr>
            <w:r>
              <w:rPr>
                <w:rFonts w:ascii="Arial" w:cs="Arial" w:eastAsia="Arial" w:hAnsi="Arial"/>
                <w:sz w:val="14"/>
                <w:szCs w:val="14"/>
                <w:color w:val="auto"/>
                <w:w w:val="92"/>
              </w:rPr>
              <w:t>December 31, 2016</w:t>
            </w:r>
          </w:p>
        </w:tc>
        <w:tc>
          <w:tcPr>
            <w:tcW w:w="1320" w:type="dxa"/>
            <w:vAlign w:val="bottom"/>
            <w:gridSpan w:val="3"/>
          </w:tcPr>
          <w:p>
            <w:pPr>
              <w:jc w:val="center"/>
              <w:spacing w:after="0"/>
              <w:rPr>
                <w:sz w:val="20"/>
                <w:szCs w:val="20"/>
                <w:color w:val="auto"/>
              </w:rPr>
            </w:pPr>
            <w:r>
              <w:rPr>
                <w:rFonts w:ascii="Arial" w:cs="Arial" w:eastAsia="Arial" w:hAnsi="Arial"/>
                <w:sz w:val="14"/>
                <w:szCs w:val="14"/>
                <w:color w:val="auto"/>
                <w:w w:val="91"/>
              </w:rPr>
              <w:t>December 31, 2015</w:t>
            </w:r>
          </w:p>
        </w:tc>
        <w:tc>
          <w:tcPr>
            <w:tcW w:w="0" w:type="dxa"/>
            <w:vAlign w:val="bottom"/>
          </w:tcPr>
          <w:p>
            <w:pPr>
              <w:spacing w:after="0"/>
              <w:rPr>
                <w:sz w:val="1"/>
                <w:szCs w:val="1"/>
                <w:color w:val="auto"/>
              </w:rPr>
            </w:pPr>
          </w:p>
        </w:tc>
      </w:tr>
      <w:tr>
        <w:trPr>
          <w:trHeight w:val="230"/>
        </w:trPr>
        <w:tc>
          <w:tcPr>
            <w:tcW w:w="1860" w:type="dxa"/>
            <w:vAlign w:val="bottom"/>
            <w:tcBorders>
              <w:top w:val="single" w:sz="8" w:color="auto"/>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Wholly-Owned Stores</w:t>
            </w:r>
          </w:p>
        </w:tc>
        <w:tc>
          <w:tcPr>
            <w:tcW w:w="10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60" w:type="dxa"/>
            <w:vAlign w:val="bottom"/>
          </w:tcPr>
          <w:p>
            <w:pPr>
              <w:ind w:left="40"/>
              <w:spacing w:after="0"/>
              <w:rPr>
                <w:sz w:val="20"/>
                <w:szCs w:val="20"/>
                <w:color w:val="auto"/>
              </w:rPr>
            </w:pPr>
            <w:r>
              <w:rPr>
                <w:rFonts w:ascii="Arial" w:cs="Arial" w:eastAsia="Arial" w:hAnsi="Arial"/>
                <w:sz w:val="16"/>
                <w:szCs w:val="16"/>
                <w:color w:val="auto"/>
              </w:rPr>
              <w:t>Alabama</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6"/>
                <w:szCs w:val="16"/>
                <w:color w:val="auto"/>
              </w:rPr>
              <w:t>4,635</w:t>
            </w:r>
          </w:p>
        </w:tc>
        <w:tc>
          <w:tcPr>
            <w:tcW w:w="10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6"/>
                <w:szCs w:val="16"/>
                <w:color w:val="auto"/>
              </w:rPr>
              <w:t>4,585</w:t>
            </w:r>
          </w:p>
        </w:tc>
        <w:tc>
          <w:tcPr>
            <w:tcW w:w="100" w:type="dxa"/>
            <w:vAlign w:val="bottom"/>
          </w:tcPr>
          <w:p>
            <w:pPr>
              <w:spacing w:after="0"/>
              <w:rPr>
                <w:sz w:val="20"/>
                <w:szCs w:val="20"/>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556,241</w:t>
            </w:r>
          </w:p>
        </w:tc>
        <w:tc>
          <w:tcPr>
            <w:tcW w:w="120" w:type="dxa"/>
            <w:vAlign w:val="bottom"/>
          </w:tcPr>
          <w:p>
            <w:pPr>
              <w:spacing w:after="0"/>
              <w:rPr>
                <w:sz w:val="20"/>
                <w:szCs w:val="20"/>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559,526</w:t>
            </w:r>
          </w:p>
        </w:tc>
        <w:tc>
          <w:tcPr>
            <w:tcW w:w="100" w:type="dxa"/>
            <w:vAlign w:val="bottom"/>
          </w:tcPr>
          <w:p>
            <w:pPr>
              <w:spacing w:after="0"/>
              <w:rPr>
                <w:sz w:val="20"/>
                <w:szCs w:val="20"/>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6"/>
                <w:szCs w:val="16"/>
                <w:color w:val="auto"/>
              </w:rPr>
              <w:t>89.3%</w:t>
            </w:r>
          </w:p>
        </w:tc>
        <w:tc>
          <w:tcPr>
            <w:tcW w:w="100" w:type="dxa"/>
            <w:vAlign w:val="bottom"/>
          </w:tcPr>
          <w:p>
            <w:pPr>
              <w:spacing w:after="0"/>
              <w:rPr>
                <w:sz w:val="20"/>
                <w:szCs w:val="20"/>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6"/>
                <w:szCs w:val="16"/>
                <w:color w:val="auto"/>
              </w:rPr>
              <w:t>88.3%</w:t>
            </w:r>
          </w:p>
        </w:tc>
        <w:tc>
          <w:tcPr>
            <w:tcW w:w="0" w:type="dxa"/>
            <w:vAlign w:val="bottom"/>
          </w:tcPr>
          <w:p>
            <w:pPr>
              <w:spacing w:after="0"/>
              <w:rPr>
                <w:sz w:val="1"/>
                <w:szCs w:val="1"/>
                <w:color w:val="auto"/>
              </w:rPr>
            </w:pPr>
          </w:p>
        </w:tc>
      </w:tr>
      <w:tr>
        <w:trPr>
          <w:trHeight w:val="33"/>
        </w:trPr>
        <w:tc>
          <w:tcPr>
            <w:tcW w:w="1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Arizona</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12,795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12,677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1,408,358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1,414,864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91.7%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90.4%</w:t>
            </w:r>
          </w:p>
        </w:tc>
        <w:tc>
          <w:tcPr>
            <w:tcW w:w="0" w:type="dxa"/>
            <w:vAlign w:val="bottom"/>
          </w:tcPr>
          <w:p>
            <w:pPr>
              <w:spacing w:after="0"/>
              <w:rPr>
                <w:sz w:val="1"/>
                <w:szCs w:val="1"/>
                <w:color w:val="auto"/>
              </w:rPr>
            </w:pPr>
          </w:p>
        </w:tc>
      </w:tr>
      <w:tr>
        <w:trPr>
          <w:trHeight w:val="237"/>
        </w:trPr>
        <w:tc>
          <w:tcPr>
            <w:tcW w:w="1860" w:type="dxa"/>
            <w:vAlign w:val="bottom"/>
          </w:tcPr>
          <w:p>
            <w:pPr>
              <w:ind w:left="40"/>
              <w:spacing w:after="0"/>
              <w:rPr>
                <w:sz w:val="20"/>
                <w:szCs w:val="20"/>
                <w:color w:val="auto"/>
              </w:rPr>
            </w:pPr>
            <w:r>
              <w:rPr>
                <w:rFonts w:ascii="Arial" w:cs="Arial" w:eastAsia="Arial" w:hAnsi="Arial"/>
                <w:sz w:val="16"/>
                <w:szCs w:val="16"/>
                <w:color w:val="auto"/>
              </w:rPr>
              <w:t>California</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0"/>
                <w:szCs w:val="20"/>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6"/>
                <w:szCs w:val="16"/>
                <w:color w:val="auto"/>
              </w:rPr>
              <w:t>109,771</w:t>
            </w:r>
          </w:p>
        </w:tc>
        <w:tc>
          <w:tcPr>
            <w:tcW w:w="10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6"/>
                <w:szCs w:val="16"/>
                <w:color w:val="auto"/>
              </w:rPr>
              <w:t>108,156</w:t>
            </w:r>
          </w:p>
        </w:tc>
        <w:tc>
          <w:tcPr>
            <w:tcW w:w="100" w:type="dxa"/>
            <w:vAlign w:val="bottom"/>
          </w:tcPr>
          <w:p>
            <w:pPr>
              <w:spacing w:after="0"/>
              <w:rPr>
                <w:sz w:val="20"/>
                <w:szCs w:val="20"/>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11,425,653</w:t>
            </w:r>
          </w:p>
        </w:tc>
        <w:tc>
          <w:tcPr>
            <w:tcW w:w="120" w:type="dxa"/>
            <w:vAlign w:val="bottom"/>
          </w:tcPr>
          <w:p>
            <w:pPr>
              <w:spacing w:after="0"/>
              <w:rPr>
                <w:sz w:val="20"/>
                <w:szCs w:val="20"/>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11,399,051</w:t>
            </w:r>
          </w:p>
        </w:tc>
        <w:tc>
          <w:tcPr>
            <w:tcW w:w="100" w:type="dxa"/>
            <w:vAlign w:val="bottom"/>
          </w:tcPr>
          <w:p>
            <w:pPr>
              <w:spacing w:after="0"/>
              <w:rPr>
                <w:sz w:val="20"/>
                <w:szCs w:val="20"/>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6"/>
                <w:szCs w:val="16"/>
                <w:color w:val="auto"/>
              </w:rPr>
              <w:t>93.8%</w:t>
            </w:r>
          </w:p>
        </w:tc>
        <w:tc>
          <w:tcPr>
            <w:tcW w:w="100" w:type="dxa"/>
            <w:vAlign w:val="bottom"/>
          </w:tcPr>
          <w:p>
            <w:pPr>
              <w:spacing w:after="0"/>
              <w:rPr>
                <w:sz w:val="20"/>
                <w:szCs w:val="20"/>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6"/>
                <w:szCs w:val="16"/>
                <w:color w:val="auto"/>
              </w:rPr>
              <w:t>94.8%</w:t>
            </w:r>
          </w:p>
        </w:tc>
        <w:tc>
          <w:tcPr>
            <w:tcW w:w="0" w:type="dxa"/>
            <w:vAlign w:val="bottom"/>
          </w:tcPr>
          <w:p>
            <w:pPr>
              <w:spacing w:after="0"/>
              <w:rPr>
                <w:sz w:val="1"/>
                <w:szCs w:val="1"/>
                <w:color w:val="auto"/>
              </w:rPr>
            </w:pPr>
          </w:p>
        </w:tc>
      </w:tr>
      <w:tr>
        <w:trPr>
          <w:trHeight w:val="33"/>
        </w:trPr>
        <w:tc>
          <w:tcPr>
            <w:tcW w:w="1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Colorado</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6,685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6,562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823,284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822,499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89.4%</w:t>
            </w:r>
          </w:p>
        </w:tc>
        <w:tc>
          <w:tcPr>
            <w:tcW w:w="0" w:type="dxa"/>
            <w:vAlign w:val="bottom"/>
          </w:tcPr>
          <w:p>
            <w:pPr>
              <w:spacing w:after="0"/>
              <w:rPr>
                <w:sz w:val="1"/>
                <w:szCs w:val="1"/>
                <w:color w:val="auto"/>
              </w:rPr>
            </w:pPr>
          </w:p>
        </w:tc>
      </w:tr>
      <w:tr>
        <w:trPr>
          <w:trHeight w:val="237"/>
        </w:trPr>
        <w:tc>
          <w:tcPr>
            <w:tcW w:w="1860" w:type="dxa"/>
            <w:vAlign w:val="bottom"/>
          </w:tcPr>
          <w:p>
            <w:pPr>
              <w:ind w:left="40"/>
              <w:spacing w:after="0"/>
              <w:rPr>
                <w:sz w:val="20"/>
                <w:szCs w:val="20"/>
                <w:color w:val="auto"/>
              </w:rPr>
            </w:pPr>
            <w:r>
              <w:rPr>
                <w:rFonts w:ascii="Arial" w:cs="Arial" w:eastAsia="Arial" w:hAnsi="Arial"/>
                <w:sz w:val="16"/>
                <w:szCs w:val="16"/>
                <w:color w:val="auto"/>
              </w:rPr>
              <w:t>Connecticut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6"/>
                <w:szCs w:val="16"/>
                <w:color w:val="auto"/>
              </w:rPr>
              <w:t>3,856</w:t>
            </w:r>
          </w:p>
        </w:tc>
        <w:tc>
          <w:tcPr>
            <w:tcW w:w="10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6"/>
                <w:szCs w:val="16"/>
                <w:color w:val="auto"/>
              </w:rPr>
              <w:t>3,847</w:t>
            </w:r>
          </w:p>
        </w:tc>
        <w:tc>
          <w:tcPr>
            <w:tcW w:w="100" w:type="dxa"/>
            <w:vAlign w:val="bottom"/>
          </w:tcPr>
          <w:p>
            <w:pPr>
              <w:spacing w:after="0"/>
              <w:rPr>
                <w:sz w:val="20"/>
                <w:szCs w:val="20"/>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395,257</w:t>
            </w:r>
          </w:p>
        </w:tc>
        <w:tc>
          <w:tcPr>
            <w:tcW w:w="120" w:type="dxa"/>
            <w:vAlign w:val="bottom"/>
          </w:tcPr>
          <w:p>
            <w:pPr>
              <w:spacing w:after="0"/>
              <w:rPr>
                <w:sz w:val="20"/>
                <w:szCs w:val="20"/>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395,411</w:t>
            </w:r>
          </w:p>
        </w:tc>
        <w:tc>
          <w:tcPr>
            <w:tcW w:w="100" w:type="dxa"/>
            <w:vAlign w:val="bottom"/>
          </w:tcPr>
          <w:p>
            <w:pPr>
              <w:spacing w:after="0"/>
              <w:rPr>
                <w:sz w:val="20"/>
                <w:szCs w:val="20"/>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20"/>
                <w:szCs w:val="20"/>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6"/>
                <w:szCs w:val="16"/>
                <w:color w:val="auto"/>
              </w:rPr>
              <w:t>92.7%</w:t>
            </w:r>
          </w:p>
        </w:tc>
        <w:tc>
          <w:tcPr>
            <w:tcW w:w="0" w:type="dxa"/>
            <w:vAlign w:val="bottom"/>
          </w:tcPr>
          <w:p>
            <w:pPr>
              <w:spacing w:after="0"/>
              <w:rPr>
                <w:sz w:val="1"/>
                <w:szCs w:val="1"/>
                <w:color w:val="auto"/>
              </w:rPr>
            </w:pPr>
          </w:p>
        </w:tc>
      </w:tr>
      <w:tr>
        <w:trPr>
          <w:trHeight w:val="33"/>
        </w:trPr>
        <w:tc>
          <w:tcPr>
            <w:tcW w:w="1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Florida</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55,459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54,612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5,873,089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5,848,836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92.8%</w:t>
            </w:r>
          </w:p>
        </w:tc>
        <w:tc>
          <w:tcPr>
            <w:tcW w:w="0" w:type="dxa"/>
            <w:vAlign w:val="bottom"/>
          </w:tcPr>
          <w:p>
            <w:pPr>
              <w:spacing w:after="0"/>
              <w:rPr>
                <w:sz w:val="1"/>
                <w:szCs w:val="1"/>
                <w:color w:val="auto"/>
              </w:rPr>
            </w:pPr>
          </w:p>
        </w:tc>
      </w:tr>
      <w:tr>
        <w:trPr>
          <w:trHeight w:val="237"/>
        </w:trPr>
        <w:tc>
          <w:tcPr>
            <w:tcW w:w="1860" w:type="dxa"/>
            <w:vAlign w:val="bottom"/>
          </w:tcPr>
          <w:p>
            <w:pPr>
              <w:ind w:left="40"/>
              <w:spacing w:after="0"/>
              <w:rPr>
                <w:sz w:val="20"/>
                <w:szCs w:val="20"/>
                <w:color w:val="auto"/>
              </w:rPr>
            </w:pPr>
            <w:r>
              <w:rPr>
                <w:rFonts w:ascii="Arial" w:cs="Arial" w:eastAsia="Arial" w:hAnsi="Arial"/>
                <w:sz w:val="16"/>
                <w:szCs w:val="16"/>
                <w:color w:val="auto"/>
              </w:rPr>
              <w:t>Georgia</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6"/>
                <w:szCs w:val="16"/>
                <w:color w:val="auto"/>
              </w:rPr>
              <w:t>28,956</w:t>
            </w:r>
          </w:p>
        </w:tc>
        <w:tc>
          <w:tcPr>
            <w:tcW w:w="10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6"/>
                <w:szCs w:val="16"/>
                <w:color w:val="auto"/>
              </w:rPr>
              <w:t>28,281</w:t>
            </w:r>
          </w:p>
        </w:tc>
        <w:tc>
          <w:tcPr>
            <w:tcW w:w="100" w:type="dxa"/>
            <w:vAlign w:val="bottom"/>
          </w:tcPr>
          <w:p>
            <w:pPr>
              <w:spacing w:after="0"/>
              <w:rPr>
                <w:sz w:val="20"/>
                <w:szCs w:val="20"/>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3,715,001</w:t>
            </w:r>
          </w:p>
        </w:tc>
        <w:tc>
          <w:tcPr>
            <w:tcW w:w="120" w:type="dxa"/>
            <w:vAlign w:val="bottom"/>
          </w:tcPr>
          <w:p>
            <w:pPr>
              <w:spacing w:after="0"/>
              <w:rPr>
                <w:sz w:val="20"/>
                <w:szCs w:val="20"/>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3,698,127</w:t>
            </w:r>
          </w:p>
        </w:tc>
        <w:tc>
          <w:tcPr>
            <w:tcW w:w="100" w:type="dxa"/>
            <w:vAlign w:val="bottom"/>
          </w:tcPr>
          <w:p>
            <w:pPr>
              <w:spacing w:after="0"/>
              <w:rPr>
                <w:sz w:val="20"/>
                <w:szCs w:val="20"/>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6"/>
                <w:szCs w:val="16"/>
                <w:color w:val="auto"/>
              </w:rPr>
              <w:t>90.4%</w:t>
            </w:r>
          </w:p>
        </w:tc>
        <w:tc>
          <w:tcPr>
            <w:tcW w:w="100" w:type="dxa"/>
            <w:vAlign w:val="bottom"/>
          </w:tcPr>
          <w:p>
            <w:pPr>
              <w:spacing w:after="0"/>
              <w:rPr>
                <w:sz w:val="20"/>
                <w:szCs w:val="20"/>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6"/>
                <w:szCs w:val="16"/>
                <w:color w:val="auto"/>
              </w:rPr>
              <w:t>90.1%</w:t>
            </w:r>
          </w:p>
        </w:tc>
        <w:tc>
          <w:tcPr>
            <w:tcW w:w="0" w:type="dxa"/>
            <w:vAlign w:val="bottom"/>
          </w:tcPr>
          <w:p>
            <w:pPr>
              <w:spacing w:after="0"/>
              <w:rPr>
                <w:sz w:val="1"/>
                <w:szCs w:val="1"/>
                <w:color w:val="auto"/>
              </w:rPr>
            </w:pPr>
          </w:p>
        </w:tc>
      </w:tr>
      <w:tr>
        <w:trPr>
          <w:trHeight w:val="33"/>
        </w:trPr>
        <w:tc>
          <w:tcPr>
            <w:tcW w:w="1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Hawaii</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8,534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8,445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602,171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599,373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95.2%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92.1%</w:t>
            </w:r>
          </w:p>
        </w:tc>
        <w:tc>
          <w:tcPr>
            <w:tcW w:w="0" w:type="dxa"/>
            <w:vAlign w:val="bottom"/>
          </w:tcPr>
          <w:p>
            <w:pPr>
              <w:spacing w:after="0"/>
              <w:rPr>
                <w:sz w:val="1"/>
                <w:szCs w:val="1"/>
                <w:color w:val="auto"/>
              </w:rPr>
            </w:pPr>
          </w:p>
        </w:tc>
      </w:tr>
      <w:tr>
        <w:trPr>
          <w:trHeight w:val="237"/>
        </w:trPr>
        <w:tc>
          <w:tcPr>
            <w:tcW w:w="1860" w:type="dxa"/>
            <w:vAlign w:val="bottom"/>
          </w:tcPr>
          <w:p>
            <w:pPr>
              <w:ind w:left="40"/>
              <w:spacing w:after="0"/>
              <w:rPr>
                <w:sz w:val="20"/>
                <w:szCs w:val="20"/>
                <w:color w:val="auto"/>
              </w:rPr>
            </w:pPr>
            <w:r>
              <w:rPr>
                <w:rFonts w:ascii="Arial" w:cs="Arial" w:eastAsia="Arial" w:hAnsi="Arial"/>
                <w:sz w:val="16"/>
                <w:szCs w:val="16"/>
                <w:color w:val="auto"/>
              </w:rPr>
              <w:t>Illinois</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6"/>
                <w:szCs w:val="16"/>
                <w:color w:val="auto"/>
              </w:rPr>
              <w:t>17,359</w:t>
            </w:r>
          </w:p>
        </w:tc>
        <w:tc>
          <w:tcPr>
            <w:tcW w:w="10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6"/>
                <w:szCs w:val="16"/>
                <w:color w:val="auto"/>
              </w:rPr>
              <w:t>17,139</w:t>
            </w:r>
          </w:p>
        </w:tc>
        <w:tc>
          <w:tcPr>
            <w:tcW w:w="100" w:type="dxa"/>
            <w:vAlign w:val="bottom"/>
          </w:tcPr>
          <w:p>
            <w:pPr>
              <w:spacing w:after="0"/>
              <w:rPr>
                <w:sz w:val="20"/>
                <w:szCs w:val="20"/>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1,913,921</w:t>
            </w:r>
          </w:p>
        </w:tc>
        <w:tc>
          <w:tcPr>
            <w:tcW w:w="120" w:type="dxa"/>
            <w:vAlign w:val="bottom"/>
          </w:tcPr>
          <w:p>
            <w:pPr>
              <w:spacing w:after="0"/>
              <w:rPr>
                <w:sz w:val="20"/>
                <w:szCs w:val="20"/>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1,930,543</w:t>
            </w:r>
          </w:p>
        </w:tc>
        <w:tc>
          <w:tcPr>
            <w:tcW w:w="100" w:type="dxa"/>
            <w:vAlign w:val="bottom"/>
          </w:tcPr>
          <w:p>
            <w:pPr>
              <w:spacing w:after="0"/>
              <w:rPr>
                <w:sz w:val="20"/>
                <w:szCs w:val="20"/>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6"/>
                <w:szCs w:val="16"/>
                <w:color w:val="auto"/>
              </w:rPr>
              <w:t>90.1%</w:t>
            </w:r>
          </w:p>
        </w:tc>
        <w:tc>
          <w:tcPr>
            <w:tcW w:w="100" w:type="dxa"/>
            <w:vAlign w:val="bottom"/>
          </w:tcPr>
          <w:p>
            <w:pPr>
              <w:spacing w:after="0"/>
              <w:rPr>
                <w:sz w:val="20"/>
                <w:szCs w:val="20"/>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6"/>
                <w:szCs w:val="16"/>
                <w:color w:val="auto"/>
              </w:rPr>
              <w:t>89.6%</w:t>
            </w:r>
          </w:p>
        </w:tc>
        <w:tc>
          <w:tcPr>
            <w:tcW w:w="0" w:type="dxa"/>
            <w:vAlign w:val="bottom"/>
          </w:tcPr>
          <w:p>
            <w:pPr>
              <w:spacing w:after="0"/>
              <w:rPr>
                <w:sz w:val="1"/>
                <w:szCs w:val="1"/>
                <w:color w:val="auto"/>
              </w:rPr>
            </w:pPr>
          </w:p>
        </w:tc>
      </w:tr>
      <w:tr>
        <w:trPr>
          <w:trHeight w:val="33"/>
        </w:trPr>
        <w:tc>
          <w:tcPr>
            <w:tcW w:w="1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Indiana</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7,848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7,718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940,069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944,399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r>
        <w:trPr>
          <w:trHeight w:val="237"/>
        </w:trPr>
        <w:tc>
          <w:tcPr>
            <w:tcW w:w="1860" w:type="dxa"/>
            <w:vAlign w:val="bottom"/>
          </w:tcPr>
          <w:p>
            <w:pPr>
              <w:ind w:left="40"/>
              <w:spacing w:after="0"/>
              <w:rPr>
                <w:sz w:val="20"/>
                <w:szCs w:val="20"/>
                <w:color w:val="auto"/>
              </w:rPr>
            </w:pPr>
            <w:r>
              <w:rPr>
                <w:rFonts w:ascii="Arial" w:cs="Arial" w:eastAsia="Arial" w:hAnsi="Arial"/>
                <w:sz w:val="16"/>
                <w:szCs w:val="16"/>
                <w:color w:val="auto"/>
              </w:rPr>
              <w:t>Kansas</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20"/>
                <w:szCs w:val="20"/>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49,999</w:t>
            </w:r>
          </w:p>
        </w:tc>
        <w:tc>
          <w:tcPr>
            <w:tcW w:w="120" w:type="dxa"/>
            <w:vAlign w:val="bottom"/>
          </w:tcPr>
          <w:p>
            <w:pPr>
              <w:spacing w:after="0"/>
              <w:rPr>
                <w:sz w:val="20"/>
                <w:szCs w:val="20"/>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49,991</w:t>
            </w:r>
          </w:p>
        </w:tc>
        <w:tc>
          <w:tcPr>
            <w:tcW w:w="100" w:type="dxa"/>
            <w:vAlign w:val="bottom"/>
          </w:tcPr>
          <w:p>
            <w:pPr>
              <w:spacing w:after="0"/>
              <w:rPr>
                <w:sz w:val="20"/>
                <w:szCs w:val="20"/>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6"/>
                <w:szCs w:val="16"/>
                <w:color w:val="auto"/>
              </w:rPr>
              <w:t>97.6%</w:t>
            </w:r>
          </w:p>
        </w:tc>
        <w:tc>
          <w:tcPr>
            <w:tcW w:w="100" w:type="dxa"/>
            <w:vAlign w:val="bottom"/>
          </w:tcPr>
          <w:p>
            <w:pPr>
              <w:spacing w:after="0"/>
              <w:rPr>
                <w:sz w:val="20"/>
                <w:szCs w:val="20"/>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6"/>
                <w:szCs w:val="16"/>
                <w:color w:val="auto"/>
              </w:rPr>
              <w:t>91.9%</w:t>
            </w:r>
          </w:p>
        </w:tc>
        <w:tc>
          <w:tcPr>
            <w:tcW w:w="0" w:type="dxa"/>
            <w:vAlign w:val="bottom"/>
          </w:tcPr>
          <w:p>
            <w:pPr>
              <w:spacing w:after="0"/>
              <w:rPr>
                <w:sz w:val="1"/>
                <w:szCs w:val="1"/>
                <w:color w:val="auto"/>
              </w:rPr>
            </w:pPr>
          </w:p>
        </w:tc>
      </w:tr>
      <w:tr>
        <w:trPr>
          <w:trHeight w:val="33"/>
        </w:trPr>
        <w:tc>
          <w:tcPr>
            <w:tcW w:w="1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Kentucky</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5,874</w:t>
            </w:r>
          </w:p>
        </w:tc>
        <w:tc>
          <w:tcPr>
            <w:tcW w:w="1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5,840</w:t>
            </w:r>
          </w:p>
        </w:tc>
        <w:tc>
          <w:tcPr>
            <w:tcW w:w="10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756,870</w:t>
            </w:r>
          </w:p>
        </w:tc>
        <w:tc>
          <w:tcPr>
            <w:tcW w:w="12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755,610</w:t>
            </w:r>
          </w:p>
        </w:tc>
        <w:tc>
          <w:tcPr>
            <w:tcW w:w="10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86.2%</w:t>
            </w:r>
          </w:p>
        </w:tc>
        <w:tc>
          <w:tcPr>
            <w:tcW w:w="0" w:type="dxa"/>
            <w:vAlign w:val="bottom"/>
          </w:tcPr>
          <w:p>
            <w:pPr>
              <w:spacing w:after="0"/>
              <w:rPr>
                <w:sz w:val="1"/>
                <w:szCs w:val="1"/>
                <w:color w:val="auto"/>
              </w:rPr>
            </w:pPr>
          </w:p>
        </w:tc>
      </w:tr>
      <w:tr>
        <w:trPr>
          <w:trHeight w:val="33"/>
        </w:trPr>
        <w:tc>
          <w:tcPr>
            <w:tcW w:w="18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92" w:orient="portrait"/>
          <w:cols w:equalWidth="0" w:num="1">
            <w:col w:w="11420"/>
          </w:cols>
          <w:pgMar w:left="240" w:top="908" w:right="239" w:bottom="0" w:gutter="0" w:footer="0" w:header="0"/>
        </w:sectPr>
      </w:pPr>
    </w:p>
    <w:bookmarkStart w:id="17" w:name="page18"/>
    <w:bookmarkEnd w:id="1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900" w:type="dxa"/>
            <w:vAlign w:val="bottom"/>
          </w:tcPr>
          <w:p>
            <w:pPr>
              <w:ind w:left="40"/>
              <w:spacing w:after="0"/>
              <w:rPr>
                <w:sz w:val="20"/>
                <w:szCs w:val="20"/>
                <w:color w:val="auto"/>
              </w:rPr>
            </w:pPr>
            <w:r>
              <w:rPr>
                <w:rFonts w:ascii="Arial" w:cs="Arial" w:eastAsia="Arial" w:hAnsi="Arial"/>
                <w:sz w:val="16"/>
                <w:szCs w:val="16"/>
                <w:color w:val="auto"/>
              </w:rPr>
              <w:t>Louisiana</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1,406</w:t>
            </w:r>
          </w:p>
        </w:tc>
        <w:tc>
          <w:tcPr>
            <w:tcW w:w="1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1,406</w:t>
            </w:r>
          </w:p>
        </w:tc>
        <w:tc>
          <w:tcPr>
            <w:tcW w:w="10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149,930</w:t>
            </w:r>
          </w:p>
        </w:tc>
        <w:tc>
          <w:tcPr>
            <w:tcW w:w="12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150,090</w:t>
            </w:r>
          </w:p>
        </w:tc>
        <w:tc>
          <w:tcPr>
            <w:tcW w:w="100" w:type="dxa"/>
            <w:vAlign w:val="bottom"/>
          </w:tcPr>
          <w:p>
            <w:pPr>
              <w:spacing w:after="0"/>
              <w:rPr>
                <w:sz w:val="17"/>
                <w:szCs w:val="17"/>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93.7%</w:t>
            </w:r>
          </w:p>
        </w:tc>
        <w:tc>
          <w:tcPr>
            <w:tcW w:w="100" w:type="dxa"/>
            <w:vAlign w:val="bottom"/>
          </w:tcPr>
          <w:p>
            <w:pPr>
              <w:spacing w:after="0"/>
              <w:rPr>
                <w:sz w:val="17"/>
                <w:szCs w:val="17"/>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92.1%</w:t>
            </w:r>
          </w:p>
        </w:tc>
      </w:tr>
      <w:tr>
        <w:trPr>
          <w:trHeight w:val="46"/>
        </w:trPr>
        <w:tc>
          <w:tcPr>
            <w:tcW w:w="1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Maryland</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21,372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21,271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2,189,772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2,191,424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91.3%</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Massachusetts</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23,124</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22,891</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2,295,634</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2,305,068</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91.0%</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92.2%</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Minnesota</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74,400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74,400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76.7%</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Mississippi</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1,510</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1,477</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217,922</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221,482</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81.9%</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Missouri</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3,292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386,161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385,961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90.7%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93.2%</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Nevada</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9,110</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9,132</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1,313,820</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1,314,665</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92.9%</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89.9%</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New Hampshire</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126,053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126,133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93.0%</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New Jersey</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45,721</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45,213</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4,498,968</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4,495,243</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92.6%</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91.5%</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New Mexico</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6,590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6,575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748,843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750,433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91.7%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91.9%</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New York</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20,088</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20,022</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1,651,030</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1,648,534</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90.1%</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91.7%</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Carolina</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6,876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6,806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761,677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761,323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92.0%</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Ohio</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9,534</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9,460</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1,248,860</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1,246,238</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91.7%</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91.0%</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Oregon</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250,180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250,130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92.7%</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Pennsylvania</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9,667</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9,651</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1,047,731</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1,044,720</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90.3%</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87.3%</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Rhode Island</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131,421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131,356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93.9%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91.4%</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South Carolina</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11,331</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11,228</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1,509,641</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1,515,789</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88.3%</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87.5%</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Tennessee</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12,869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12,723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1,764,606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1,781,216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89.1%</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Texas</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55,509</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54,871</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7,151,963</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7,112,255</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88.7%</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89.3%</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Utah</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543,202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523,056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94.1%</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Virginia</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29,909</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29,484</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3,164,742</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3,163,910</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90.4%</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89.5%</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Washington</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4,301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509,278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509,358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95.2%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91.1%</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Washington, DC</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1,220</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1,214</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99,689</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99,439</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93.8%</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91.5%</w:t>
            </w:r>
          </w:p>
        </w:tc>
      </w:tr>
      <w:tr>
        <w:trPr>
          <w:trHeight w:val="33"/>
        </w:trPr>
        <w:tc>
          <w:tcPr>
            <w:tcW w:w="1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5"/>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Wholly-Owned</w:t>
            </w: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43"/>
        </w:trPr>
        <w:tc>
          <w:tcPr>
            <w:tcW w:w="1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Stabilized</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547,748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541,116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60,618,052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60,543,119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b w:val="1"/>
                <w:bCs w:val="1"/>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b w:val="1"/>
                <w:bCs w:val="1"/>
                <w:color w:val="auto"/>
              </w:rPr>
              <w:t>91.3%</w:t>
            </w:r>
          </w:p>
        </w:tc>
      </w:tr>
      <w:tr>
        <w:trPr>
          <w:trHeight w:val="263"/>
        </w:trPr>
        <w:tc>
          <w:tcPr>
            <w:tcW w:w="19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50"/>
        </w:trPr>
        <w:tc>
          <w:tcPr>
            <w:tcW w:w="1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Joint-Venture Stores</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Alabama</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601</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75,356</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74,866</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91.2%</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93.4%</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Arizona</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3,745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429,173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428,724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93.6%</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California</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34,034</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33,526</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3,283,592</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3,277,679</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94.4%</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95.2%</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Colorado</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157,986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158,375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89.2%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93.9%</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Connecticut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3,762</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3,763</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403,910</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404,790</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92.2%</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92.8%</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Delaware</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64,510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71,610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81.2%</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Florida</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10,010</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9,894</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1,003,254</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1,002,944</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93.8%</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Georgia</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81,820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81,950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89.5%</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Illinois</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2,691</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2,695</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288,115</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287,400</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90.6%</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89.6%</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Indiana</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56,650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57,114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94.7%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91.4%</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Kansas</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846</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846</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109,375</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109,165</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90.5%</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Kentucky</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153,895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171,525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85.5%</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Maryland</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5,896</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5,860</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529,369</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529,527</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90.6%</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91.7%</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Massachusetts</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5,111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534,107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536,027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91.7%</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Michigan</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3,203</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3,166</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396,179</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395,764</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92.7%</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Missouri</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61,375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61,075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89.2%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91.7%</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Nevada</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1,209</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1,203</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123,565</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123,495</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94.2%</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94.5%</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New Hampshire</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83,685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85,111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94.8%</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New Jersey</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10,377</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10,288</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1,030,147</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1,028,267</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91.2%</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92.2%</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New Mexico</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134,371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134,115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91.3%</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New York</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7,721</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7,668</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650,917</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648,615</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93.1%</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381,432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381,462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89.6%</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Oregon</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651</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655</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64,970</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64,970</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93.7%</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94.0%</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Pennsylvania</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312,895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311,091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90.9%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88.2%</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Tennessee</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3,824</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3,774</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474,790</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474,875</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92.2%</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91.5%</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Texas</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5,795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5,725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672,669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673,611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93.9%</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Virginia</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5,091</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5,074</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514,037</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513,932</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89.6%</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Washington, DC</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1,694</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1,547</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104,450</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102,488</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88.1%</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89.4%</w:t>
            </w:r>
          </w:p>
        </w:tc>
      </w:tr>
      <w:tr>
        <w:trPr>
          <w:trHeight w:val="195"/>
        </w:trPr>
        <w:tc>
          <w:tcPr>
            <w:tcW w:w="1900" w:type="dxa"/>
            <w:vAlign w:val="bottom"/>
          </w:tcPr>
          <w:p>
            <w:pPr>
              <w:ind w:left="40"/>
              <w:spacing w:after="0"/>
              <w:rPr>
                <w:sz w:val="20"/>
                <w:szCs w:val="20"/>
                <w:color w:val="auto"/>
              </w:rPr>
            </w:pPr>
            <w:r>
              <w:rPr>
                <w:rFonts w:ascii="Arial" w:cs="Arial" w:eastAsia="Arial" w:hAnsi="Arial"/>
                <w:sz w:val="16"/>
                <w:szCs w:val="16"/>
                <w:b w:val="1"/>
                <w:bCs w:val="1"/>
                <w:color w:val="auto"/>
              </w:rPr>
              <w:t>Total Joint-Venture</w:t>
            </w: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r>
      <w:tr>
        <w:trPr>
          <w:trHeight w:val="210"/>
        </w:trPr>
        <w:tc>
          <w:tcPr>
            <w:tcW w:w="1900" w:type="dxa"/>
            <w:vAlign w:val="bottom"/>
          </w:tcPr>
          <w:p>
            <w:pPr>
              <w:ind w:left="200"/>
              <w:spacing w:after="0"/>
              <w:rPr>
                <w:sz w:val="20"/>
                <w:szCs w:val="20"/>
                <w:color w:val="auto"/>
              </w:rPr>
            </w:pPr>
            <w:r>
              <w:rPr>
                <w:rFonts w:ascii="Arial" w:cs="Arial" w:eastAsia="Arial" w:hAnsi="Arial"/>
                <w:sz w:val="16"/>
                <w:szCs w:val="16"/>
                <w:b w:val="1"/>
                <w:bCs w:val="1"/>
                <w:color w:val="auto"/>
              </w:rPr>
              <w:t>Stabilized</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168</w:t>
            </w:r>
          </w:p>
        </w:tc>
        <w:tc>
          <w:tcPr>
            <w:tcW w:w="1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118,491</w:t>
            </w: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117,314</w:t>
            </w:r>
          </w:p>
        </w:tc>
        <w:tc>
          <w:tcPr>
            <w:tcW w:w="10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12,176,594</w:t>
            </w:r>
          </w:p>
        </w:tc>
        <w:tc>
          <w:tcPr>
            <w:tcW w:w="12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12,190,567</w:t>
            </w:r>
          </w:p>
        </w:tc>
        <w:tc>
          <w:tcPr>
            <w:tcW w:w="100" w:type="dxa"/>
            <w:vAlign w:val="bottom"/>
          </w:tcPr>
          <w:p>
            <w:pPr>
              <w:spacing w:after="0"/>
              <w:rPr>
                <w:sz w:val="18"/>
                <w:szCs w:val="18"/>
                <w:color w:val="auto"/>
              </w:rPr>
            </w:pPr>
          </w:p>
        </w:tc>
        <w:tc>
          <w:tcPr>
            <w:tcW w:w="1340" w:type="dxa"/>
            <w:vAlign w:val="bottom"/>
          </w:tcPr>
          <w:p>
            <w:pPr>
              <w:ind w:left="860"/>
              <w:spacing w:after="0"/>
              <w:rPr>
                <w:sz w:val="20"/>
                <w:szCs w:val="20"/>
                <w:color w:val="auto"/>
              </w:rPr>
            </w:pPr>
            <w:r>
              <w:rPr>
                <w:rFonts w:ascii="Arial" w:cs="Arial" w:eastAsia="Arial" w:hAnsi="Arial"/>
                <w:sz w:val="16"/>
                <w:szCs w:val="16"/>
                <w:b w:val="1"/>
                <w:bCs w:val="1"/>
                <w:color w:val="auto"/>
              </w:rPr>
              <w:t>92.2%</w:t>
            </w:r>
          </w:p>
        </w:tc>
        <w:tc>
          <w:tcPr>
            <w:tcW w:w="100" w:type="dxa"/>
            <w:vAlign w:val="bottom"/>
          </w:tcPr>
          <w:p>
            <w:pPr>
              <w:spacing w:after="0"/>
              <w:rPr>
                <w:sz w:val="18"/>
                <w:szCs w:val="18"/>
                <w:color w:val="auto"/>
              </w:rPr>
            </w:pPr>
          </w:p>
        </w:tc>
        <w:tc>
          <w:tcPr>
            <w:tcW w:w="1320" w:type="dxa"/>
            <w:vAlign w:val="bottom"/>
          </w:tcPr>
          <w:p>
            <w:pPr>
              <w:ind w:left="840"/>
              <w:spacing w:after="0"/>
              <w:rPr>
                <w:sz w:val="20"/>
                <w:szCs w:val="20"/>
                <w:color w:val="auto"/>
              </w:rPr>
            </w:pPr>
            <w:r>
              <w:rPr>
                <w:rFonts w:ascii="Arial" w:cs="Arial" w:eastAsia="Arial" w:hAnsi="Arial"/>
                <w:sz w:val="16"/>
                <w:szCs w:val="16"/>
                <w:b w:val="1"/>
                <w:bCs w:val="1"/>
                <w:color w:val="auto"/>
              </w:rPr>
              <w:t>92.8%</w:t>
            </w:r>
          </w:p>
        </w:tc>
      </w:tr>
      <w:tr>
        <w:trPr>
          <w:trHeight w:val="33"/>
        </w:trPr>
        <w:tc>
          <w:tcPr>
            <w:tcW w:w="1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19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23"/>
        </w:trPr>
        <w:tc>
          <w:tcPr>
            <w:tcW w:w="1900" w:type="dxa"/>
            <w:vAlign w:val="bottom"/>
          </w:tcPr>
          <w:p>
            <w:pPr>
              <w:ind w:left="80"/>
              <w:spacing w:after="0"/>
              <w:rPr>
                <w:sz w:val="20"/>
                <w:szCs w:val="20"/>
                <w:color w:val="auto"/>
              </w:rPr>
            </w:pPr>
            <w:r>
              <w:rPr>
                <w:rFonts w:ascii="Arial" w:cs="Arial" w:eastAsia="Arial" w:hAnsi="Arial"/>
                <w:sz w:val="16"/>
                <w:szCs w:val="16"/>
                <w:b w:val="1"/>
                <w:bCs w:val="1"/>
                <w:color w:val="auto"/>
              </w:rPr>
              <w:t>Managed Stores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6"/>
        </w:trPr>
        <w:tc>
          <w:tcPr>
            <w:tcW w:w="1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Alabama</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5,755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5,596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754,204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738,753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88.0%</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Arizona</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1,122</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1,055</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156,791</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166,623</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92.8%</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96.0%</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3"/>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49,282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48,538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5,897,368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5,826,771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ind w:left="860"/>
              <w:spacing w:after="0"/>
              <w:rPr>
                <w:sz w:val="20"/>
                <w:szCs w:val="20"/>
                <w:color w:val="auto"/>
              </w:rPr>
            </w:pPr>
            <w:r>
              <w:rPr>
                <w:rFonts w:ascii="Arial" w:cs="Arial" w:eastAsia="Arial" w:hAnsi="Arial"/>
                <w:sz w:val="16"/>
                <w:szCs w:val="16"/>
                <w:color w:val="auto"/>
              </w:rPr>
              <w:t>93.5%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ind w:left="840"/>
              <w:spacing w:after="0"/>
              <w:rPr>
                <w:sz w:val="20"/>
                <w:szCs w:val="20"/>
                <w:color w:val="auto"/>
              </w:rPr>
            </w:pPr>
            <w:r>
              <w:rPr>
                <w:rFonts w:ascii="Arial" w:cs="Arial" w:eastAsia="Arial" w:hAnsi="Arial"/>
                <w:sz w:val="16"/>
                <w:szCs w:val="16"/>
                <w:color w:val="auto"/>
              </w:rPr>
              <w:t>92.2%</w:t>
            </w:r>
          </w:p>
        </w:tc>
      </w:tr>
      <w:tr>
        <w:trPr>
          <w:trHeight w:val="28"/>
        </w:trPr>
        <w:tc>
          <w:tcPr>
            <w:tcW w:w="19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ectPr>
          <w:pgSz w:w="11900" w:h="16900" w:orient="portrait"/>
          <w:cols w:equalWidth="0" w:num="1">
            <w:col w:w="11420"/>
          </w:cols>
          <w:pgMar w:left="240" w:top="143" w:right="239" w:bottom="0" w:gutter="0" w:footer="0" w:header="0"/>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1900" w:type="dxa"/>
            <w:vAlign w:val="bottom"/>
          </w:tcPr>
          <w:p>
            <w:pPr>
              <w:ind w:left="40"/>
              <w:spacing w:after="0"/>
              <w:rPr>
                <w:sz w:val="20"/>
                <w:szCs w:val="20"/>
                <w:color w:val="auto"/>
              </w:rPr>
            </w:pPr>
            <w:r>
              <w:rPr>
                <w:rFonts w:ascii="Arial" w:cs="Arial" w:eastAsia="Arial" w:hAnsi="Arial"/>
                <w:sz w:val="16"/>
                <w:szCs w:val="16"/>
                <w:color w:val="auto"/>
              </w:rPr>
              <w:t>Colorado</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8,988</w:t>
            </w:r>
          </w:p>
        </w:tc>
        <w:tc>
          <w:tcPr>
            <w:tcW w:w="10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8,733</w:t>
            </w:r>
          </w:p>
        </w:tc>
        <w:tc>
          <w:tcPr>
            <w:tcW w:w="1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1,067,294</w:t>
            </w:r>
          </w:p>
        </w:tc>
        <w:tc>
          <w:tcPr>
            <w:tcW w:w="12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1,035,678</w:t>
            </w:r>
          </w:p>
        </w:tc>
        <w:tc>
          <w:tcPr>
            <w:tcW w:w="100" w:type="dxa"/>
            <w:vAlign w:val="bottom"/>
          </w:tcPr>
          <w:p>
            <w:pPr>
              <w:spacing w:after="0"/>
              <w:rPr>
                <w:sz w:val="19"/>
                <w:szCs w:val="19"/>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86.8%</w:t>
            </w:r>
          </w:p>
        </w:tc>
        <w:tc>
          <w:tcPr>
            <w:tcW w:w="100" w:type="dxa"/>
            <w:vAlign w:val="bottom"/>
          </w:tcPr>
          <w:p>
            <w:pPr>
              <w:spacing w:after="0"/>
              <w:rPr>
                <w:sz w:val="19"/>
                <w:szCs w:val="19"/>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85.5%</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Connecticut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182,140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171,775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92.4%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93.4%</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Florida</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31,743</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31,622</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3,823,063</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3,838,650</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92.5%</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92.4%</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Georgia</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4,069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578,752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580,042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92.5%</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Hawaii</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4,578</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4,817</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352,453</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349,952</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91.9%</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92.5%</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6,489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6,518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698,319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698,247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83.8%</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Indiana</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238,283</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237,493</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91.0%</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84.6%</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Kentucky</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218,707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219,777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90.8%</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Louisiana</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987</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985</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133,325</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131,865</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90.9%</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Maryland</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14,008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13,924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1,370,012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1,366,149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87.5%</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Massachusetts</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1,546</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1,531</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182,945</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182,735</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93.3%</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94.7%</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416,434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416,290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92.4%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86.3%</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Missouri</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2,154</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2,215</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253,639</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251,792</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80.5%</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Nevada</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7,956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7,986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944,870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944,420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87.1%</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New Jersey</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3,181</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3,176</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307,035</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309,529</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88.9%</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New Mexico</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107,695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103,535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86.4%</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New York</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2,675</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2,679</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219,448</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220,248</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89.5%</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91.2%</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Carolina</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7,264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7,212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1,013,263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1,012,737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91.3%</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Ohio</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2,268</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2,206</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274,870</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272,915</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92.7%</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Oklahoma</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5,771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959,984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960,786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80.5%</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Oregon</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39,430</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39,419</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91.1%</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97.7%</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Pennsylvania</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10,747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10,649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1,247,860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1,244,340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91.3%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90.4%</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South Carolina</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2,619</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2,609</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351,148</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348,771</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89.2%</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Tennessee</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282,263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290,183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90.4%</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Texas</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19,788</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19,545</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2,808,646</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2,730,806</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85.9%</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87.5%</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Utah</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404,827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380,047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92.2%</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Virginia</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4,245</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4,242</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437,319</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437,929</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89.3%</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89.3%</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Washington</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181,697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181,769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87.9%</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Puerto Rico</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2,735</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2,676</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289,704</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286,772</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6"/>
                <w:szCs w:val="16"/>
                <w:color w:val="auto"/>
              </w:rPr>
              <w:t>87.3%</w:t>
            </w:r>
          </w:p>
        </w:tc>
        <w:tc>
          <w:tcPr>
            <w:tcW w:w="100" w:type="dxa"/>
            <w:vAlign w:val="bottom"/>
          </w:tcPr>
          <w:p>
            <w:pPr>
              <w:spacing w:after="0"/>
              <w:rPr>
                <w:sz w:val="20"/>
                <w:szCs w:val="20"/>
                <w:color w:val="auto"/>
              </w:rPr>
            </w:pPr>
          </w:p>
        </w:tc>
        <w:tc>
          <w:tcPr>
            <w:tcW w:w="1320" w:type="dxa"/>
            <w:vAlign w:val="bottom"/>
          </w:tcPr>
          <w:p>
            <w:pPr>
              <w:ind w:left="840"/>
              <w:spacing w:after="0"/>
              <w:rPr>
                <w:sz w:val="20"/>
                <w:szCs w:val="20"/>
                <w:color w:val="auto"/>
              </w:rPr>
            </w:pPr>
            <w:r>
              <w:rPr>
                <w:rFonts w:ascii="Arial" w:cs="Arial" w:eastAsia="Arial" w:hAnsi="Arial"/>
                <w:sz w:val="16"/>
                <w:szCs w:val="16"/>
                <w:color w:val="auto"/>
              </w:rPr>
              <w:t>87.4%</w:t>
            </w:r>
          </w:p>
        </w:tc>
      </w:tr>
      <w:tr>
        <w:trPr>
          <w:trHeight w:val="33"/>
        </w:trPr>
        <w:tc>
          <w:tcPr>
            <w:tcW w:w="1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6"/>
              </w:rPr>
              <w:t>Total Managed Stabilized</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215,819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213,679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26,193,788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25,976,798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b w:val="1"/>
                <w:bCs w:val="1"/>
                <w:color w:val="auto"/>
              </w:rPr>
              <w:t>90.9%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b w:val="1"/>
                <w:bCs w:val="1"/>
                <w:color w:val="auto"/>
              </w:rPr>
              <w:t>89.7%</w:t>
            </w:r>
          </w:p>
        </w:tc>
      </w:tr>
      <w:tr>
        <w:trPr>
          <w:trHeight w:val="243"/>
        </w:trPr>
        <w:tc>
          <w:tcPr>
            <w:tcW w:w="1900" w:type="dxa"/>
            <w:vAlign w:val="bottom"/>
          </w:tcPr>
          <w:p>
            <w:pPr>
              <w:ind w:left="40"/>
              <w:spacing w:after="0"/>
              <w:rPr>
                <w:sz w:val="20"/>
                <w:szCs w:val="20"/>
                <w:color w:val="auto"/>
              </w:rPr>
            </w:pPr>
            <w:r>
              <w:rPr>
                <w:rFonts w:ascii="Arial" w:cs="Arial" w:eastAsia="Arial" w:hAnsi="Arial"/>
                <w:sz w:val="16"/>
                <w:szCs w:val="16"/>
                <w:b w:val="1"/>
                <w:bCs w:val="1"/>
                <w:color w:val="auto"/>
              </w:rPr>
              <w:t>Total Stabilized Stores</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1,309</w:t>
            </w:r>
          </w:p>
        </w:tc>
        <w:tc>
          <w:tcPr>
            <w:tcW w:w="1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882,058</w:t>
            </w:r>
          </w:p>
        </w:tc>
        <w:tc>
          <w:tcPr>
            <w:tcW w:w="10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872,109</w:t>
            </w:r>
          </w:p>
        </w:tc>
        <w:tc>
          <w:tcPr>
            <w:tcW w:w="10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98,988,434</w:t>
            </w:r>
          </w:p>
        </w:tc>
        <w:tc>
          <w:tcPr>
            <w:tcW w:w="12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98,710,484</w:t>
            </w:r>
          </w:p>
        </w:tc>
        <w:tc>
          <w:tcPr>
            <w:tcW w:w="100" w:type="dxa"/>
            <w:vAlign w:val="bottom"/>
          </w:tcPr>
          <w:p>
            <w:pPr>
              <w:spacing w:after="0"/>
              <w:rPr>
                <w:sz w:val="21"/>
                <w:szCs w:val="21"/>
                <w:color w:val="auto"/>
              </w:rPr>
            </w:pPr>
          </w:p>
        </w:tc>
        <w:tc>
          <w:tcPr>
            <w:tcW w:w="13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6"/>
                <w:szCs w:val="16"/>
                <w:b w:val="1"/>
                <w:bCs w:val="1"/>
                <w:color w:val="auto"/>
              </w:rPr>
              <w:t>91.4%</w:t>
            </w:r>
          </w:p>
        </w:tc>
        <w:tc>
          <w:tcPr>
            <w:tcW w:w="100" w:type="dxa"/>
            <w:vAlign w:val="bottom"/>
          </w:tcPr>
          <w:p>
            <w:pPr>
              <w:spacing w:after="0"/>
              <w:rPr>
                <w:sz w:val="21"/>
                <w:szCs w:val="21"/>
                <w:color w:val="auto"/>
              </w:rPr>
            </w:pPr>
          </w:p>
        </w:tc>
        <w:tc>
          <w:tcPr>
            <w:tcW w:w="13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6"/>
                <w:szCs w:val="16"/>
                <w:b w:val="1"/>
                <w:bCs w:val="1"/>
                <w:color w:val="auto"/>
              </w:rPr>
              <w:t>91.0%</w:t>
            </w:r>
          </w:p>
        </w:tc>
      </w:tr>
      <w:tr>
        <w:trPr>
          <w:trHeight w:val="20"/>
        </w:trPr>
        <w:tc>
          <w:tcPr>
            <w:tcW w:w="1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Represents unit count as of December 31, 2016, which may differ from unit count as of December 31, 2015, due to unit conversions or expansions.</w:t>
      </w:r>
    </w:p>
    <w:p>
      <w:pPr>
        <w:spacing w:after="0" w:line="34" w:lineRule="exact"/>
        <w:rPr>
          <w:rFonts w:ascii="Arial" w:cs="Arial" w:eastAsia="Arial" w:hAnsi="Arial"/>
          <w:sz w:val="17"/>
          <w:szCs w:val="17"/>
          <w:color w:val="auto"/>
        </w:rPr>
      </w:pPr>
    </w:p>
    <w:p>
      <w:pPr>
        <w:ind w:left="340" w:right="600" w:hanging="332"/>
        <w:spacing w:after="0" w:line="26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net rentable square feet as of December 31, 2016, which may differ from net rentable square feet as of December 31, 2015, due to unit conversions or expansions.</w:t>
      </w:r>
    </w:p>
    <w:p>
      <w:pPr>
        <w:spacing w:after="0" w:line="185" w:lineRule="exact"/>
        <w:rPr>
          <w:sz w:val="20"/>
          <w:szCs w:val="20"/>
          <w:color w:val="auto"/>
        </w:rPr>
      </w:pPr>
    </w:p>
    <w:p>
      <w:pPr>
        <w:ind w:right="340" w:firstLine="432"/>
        <w:spacing w:after="0" w:line="263" w:lineRule="auto"/>
        <w:rPr>
          <w:sz w:val="20"/>
          <w:szCs w:val="20"/>
          <w:color w:val="auto"/>
        </w:rPr>
      </w:pPr>
      <w:r>
        <w:rPr>
          <w:rFonts w:ascii="Arial" w:cs="Arial" w:eastAsia="Arial" w:hAnsi="Arial"/>
          <w:sz w:val="18"/>
          <w:szCs w:val="18"/>
          <w:color w:val="auto"/>
        </w:rPr>
        <w:t>The following table presents additional information regarding the occupancy of our lease-up stores by state as of December 31, 2016 and 2015. The information as of December 31, 2015, is on a pro forma basis as though all the stores owned at December 31, 2016, were under our control as of December 31, 2015.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Lease-up Store Data Based on Location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3"/>
          </w:tcPr>
          <w:p>
            <w:pPr>
              <w:jc w:val="center"/>
              <w:ind w:right="420"/>
              <w:spacing w:after="0"/>
              <w:rPr>
                <w:sz w:val="20"/>
                <w:szCs w:val="20"/>
                <w:color w:val="auto"/>
              </w:rPr>
            </w:pPr>
            <w:r>
              <w:rPr>
                <w:rFonts w:ascii="Arial" w:cs="Arial" w:eastAsia="Arial" w:hAnsi="Arial"/>
                <w:sz w:val="14"/>
                <w:szCs w:val="14"/>
                <w:color w:val="auto"/>
                <w:w w:val="93"/>
              </w:rPr>
              <w:t>Company</w:t>
            </w:r>
          </w:p>
        </w:tc>
        <w:tc>
          <w:tcPr>
            <w:tcW w:w="320" w:type="dxa"/>
            <w:vAlign w:val="bottom"/>
          </w:tcPr>
          <w:p>
            <w:pPr>
              <w:spacing w:after="0"/>
              <w:rPr>
                <w:sz w:val="14"/>
                <w:szCs w:val="14"/>
                <w:color w:val="auto"/>
              </w:rPr>
            </w:pPr>
          </w:p>
        </w:tc>
        <w:tc>
          <w:tcPr>
            <w:tcW w:w="1020" w:type="dxa"/>
            <w:vAlign w:val="bottom"/>
            <w:gridSpan w:val="3"/>
          </w:tcPr>
          <w:p>
            <w:pPr>
              <w:jc w:val="center"/>
              <w:ind w:right="400"/>
              <w:spacing w:after="0"/>
              <w:rPr>
                <w:sz w:val="20"/>
                <w:szCs w:val="20"/>
                <w:color w:val="auto"/>
              </w:rPr>
            </w:pPr>
            <w:r>
              <w:rPr>
                <w:rFonts w:ascii="Arial" w:cs="Arial" w:eastAsia="Arial" w:hAnsi="Arial"/>
                <w:sz w:val="14"/>
                <w:szCs w:val="14"/>
                <w:color w:val="auto"/>
                <w:w w:val="94"/>
              </w:rPr>
              <w:t>Pro forma</w:t>
            </w:r>
          </w:p>
        </w:tc>
        <w:tc>
          <w:tcPr>
            <w:tcW w:w="400" w:type="dxa"/>
            <w:vAlign w:val="bottom"/>
          </w:tcPr>
          <w:p>
            <w:pPr>
              <w:spacing w:after="0"/>
              <w:rPr>
                <w:sz w:val="14"/>
                <w:szCs w:val="14"/>
                <w:color w:val="auto"/>
              </w:rPr>
            </w:pPr>
          </w:p>
        </w:tc>
        <w:tc>
          <w:tcPr>
            <w:tcW w:w="1080" w:type="dxa"/>
            <w:vAlign w:val="bottom"/>
            <w:gridSpan w:val="3"/>
          </w:tcPr>
          <w:p>
            <w:pPr>
              <w:jc w:val="center"/>
              <w:ind w:right="480"/>
              <w:spacing w:after="0"/>
              <w:rPr>
                <w:sz w:val="20"/>
                <w:szCs w:val="20"/>
                <w:color w:val="auto"/>
              </w:rPr>
            </w:pPr>
            <w:r>
              <w:rPr>
                <w:rFonts w:ascii="Arial" w:cs="Arial" w:eastAsia="Arial" w:hAnsi="Arial"/>
                <w:sz w:val="14"/>
                <w:szCs w:val="14"/>
                <w:color w:val="auto"/>
                <w:w w:val="93"/>
              </w:rPr>
              <w:t>Company</w:t>
            </w:r>
          </w:p>
        </w:tc>
        <w:tc>
          <w:tcPr>
            <w:tcW w:w="380" w:type="dxa"/>
            <w:vAlign w:val="bottom"/>
          </w:tcPr>
          <w:p>
            <w:pPr>
              <w:spacing w:after="0"/>
              <w:rPr>
                <w:sz w:val="14"/>
                <w:szCs w:val="14"/>
                <w:color w:val="auto"/>
              </w:rPr>
            </w:pPr>
          </w:p>
        </w:tc>
        <w:tc>
          <w:tcPr>
            <w:tcW w:w="1080" w:type="dxa"/>
            <w:vAlign w:val="bottom"/>
            <w:gridSpan w:val="3"/>
          </w:tcPr>
          <w:p>
            <w:pPr>
              <w:jc w:val="center"/>
              <w:ind w:right="460"/>
              <w:spacing w:after="0"/>
              <w:rPr>
                <w:sz w:val="20"/>
                <w:szCs w:val="20"/>
                <w:color w:val="auto"/>
              </w:rPr>
            </w:pPr>
            <w:r>
              <w:rPr>
                <w:rFonts w:ascii="Arial" w:cs="Arial" w:eastAsia="Arial" w:hAnsi="Arial"/>
                <w:sz w:val="14"/>
                <w:szCs w:val="14"/>
                <w:color w:val="auto"/>
                <w:w w:val="94"/>
              </w:rPr>
              <w:t>Pro forma</w:t>
            </w:r>
          </w:p>
        </w:tc>
        <w:tc>
          <w:tcPr>
            <w:tcW w:w="380" w:type="dxa"/>
            <w:vAlign w:val="bottom"/>
          </w:tcPr>
          <w:p>
            <w:pPr>
              <w:spacing w:after="0"/>
              <w:rPr>
                <w:sz w:val="14"/>
                <w:szCs w:val="14"/>
                <w:color w:val="auto"/>
              </w:rPr>
            </w:pPr>
          </w:p>
        </w:tc>
        <w:tc>
          <w:tcPr>
            <w:tcW w:w="1060" w:type="dxa"/>
            <w:vAlign w:val="bottom"/>
            <w:gridSpan w:val="3"/>
          </w:tcPr>
          <w:p>
            <w:pPr>
              <w:jc w:val="center"/>
              <w:ind w:right="500"/>
              <w:spacing w:after="0"/>
              <w:rPr>
                <w:sz w:val="20"/>
                <w:szCs w:val="20"/>
                <w:color w:val="auto"/>
              </w:rPr>
            </w:pPr>
            <w:r>
              <w:rPr>
                <w:rFonts w:ascii="Arial" w:cs="Arial" w:eastAsia="Arial" w:hAnsi="Arial"/>
                <w:sz w:val="14"/>
                <w:szCs w:val="14"/>
                <w:color w:val="auto"/>
                <w:w w:val="93"/>
              </w:rPr>
              <w:t>Company</w:t>
            </w:r>
          </w:p>
        </w:tc>
        <w:tc>
          <w:tcPr>
            <w:tcW w:w="360" w:type="dxa"/>
            <w:vAlign w:val="bottom"/>
          </w:tcPr>
          <w:p>
            <w:pPr>
              <w:spacing w:after="0"/>
              <w:rPr>
                <w:sz w:val="14"/>
                <w:szCs w:val="14"/>
                <w:color w:val="auto"/>
              </w:rPr>
            </w:pPr>
          </w:p>
        </w:tc>
        <w:tc>
          <w:tcPr>
            <w:tcW w:w="960" w:type="dxa"/>
            <w:vAlign w:val="bottom"/>
            <w:gridSpan w:val="2"/>
          </w:tcPr>
          <w:p>
            <w:pPr>
              <w:jc w:val="center"/>
              <w:ind w:right="299"/>
              <w:spacing w:after="0"/>
              <w:rPr>
                <w:sz w:val="20"/>
                <w:szCs w:val="20"/>
                <w:color w:val="auto"/>
              </w:rPr>
            </w:pPr>
            <w:r>
              <w:rPr>
                <w:rFonts w:ascii="Arial" w:cs="Arial" w:eastAsia="Arial" w:hAnsi="Arial"/>
                <w:sz w:val="14"/>
                <w:szCs w:val="14"/>
                <w:color w:val="auto"/>
                <w:w w:val="94"/>
              </w:rPr>
              <w:t>Pro forma</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4"/>
          </w:tcPr>
          <w:p>
            <w:pPr>
              <w:jc w:val="center"/>
              <w:ind w:right="100"/>
              <w:spacing w:after="0"/>
              <w:rPr>
                <w:sz w:val="20"/>
                <w:szCs w:val="20"/>
                <w:color w:val="auto"/>
              </w:rPr>
            </w:pPr>
            <w:r>
              <w:rPr>
                <w:rFonts w:ascii="Arial" w:cs="Arial" w:eastAsia="Arial" w:hAnsi="Arial"/>
                <w:sz w:val="14"/>
                <w:szCs w:val="14"/>
                <w:color w:val="auto"/>
                <w:w w:val="95"/>
              </w:rPr>
              <w:t>Number of Units as</w:t>
            </w:r>
          </w:p>
        </w:tc>
        <w:tc>
          <w:tcPr>
            <w:tcW w:w="1340" w:type="dxa"/>
            <w:vAlign w:val="bottom"/>
            <w:gridSpan w:val="4"/>
            <w:vMerge w:val="restart"/>
          </w:tcPr>
          <w:p>
            <w:pPr>
              <w:jc w:val="center"/>
              <w:ind w:right="100"/>
              <w:spacing w:after="0"/>
              <w:rPr>
                <w:sz w:val="20"/>
                <w:szCs w:val="20"/>
                <w:color w:val="auto"/>
              </w:rPr>
            </w:pPr>
            <w:r>
              <w:rPr>
                <w:rFonts w:ascii="Arial" w:cs="Arial" w:eastAsia="Arial" w:hAnsi="Arial"/>
                <w:sz w:val="14"/>
                <w:szCs w:val="14"/>
                <w:color w:val="auto"/>
                <w:w w:val="93"/>
              </w:rPr>
              <w:t>Number of Units as</w:t>
            </w:r>
          </w:p>
        </w:tc>
        <w:tc>
          <w:tcPr>
            <w:tcW w:w="1480" w:type="dxa"/>
            <w:vAlign w:val="bottom"/>
            <w:gridSpan w:val="4"/>
            <w:vMerge w:val="restart"/>
          </w:tcPr>
          <w:p>
            <w:pPr>
              <w:jc w:val="center"/>
              <w:ind w:right="100"/>
              <w:spacing w:after="0"/>
              <w:rPr>
                <w:sz w:val="20"/>
                <w:szCs w:val="20"/>
                <w:color w:val="auto"/>
              </w:rPr>
            </w:pPr>
            <w:r>
              <w:rPr>
                <w:rFonts w:ascii="Arial" w:cs="Arial" w:eastAsia="Arial" w:hAnsi="Arial"/>
                <w:sz w:val="14"/>
                <w:szCs w:val="14"/>
                <w:color w:val="auto"/>
                <w:w w:val="90"/>
              </w:rPr>
              <w:t>Net Rentable Square</w:t>
            </w:r>
          </w:p>
        </w:tc>
        <w:tc>
          <w:tcPr>
            <w:tcW w:w="1460" w:type="dxa"/>
            <w:vAlign w:val="bottom"/>
            <w:gridSpan w:val="4"/>
            <w:vMerge w:val="restart"/>
          </w:tcPr>
          <w:p>
            <w:pPr>
              <w:jc w:val="center"/>
              <w:ind w:right="100"/>
              <w:spacing w:after="0"/>
              <w:rPr>
                <w:sz w:val="20"/>
                <w:szCs w:val="20"/>
                <w:color w:val="auto"/>
              </w:rPr>
            </w:pPr>
            <w:r>
              <w:rPr>
                <w:rFonts w:ascii="Arial" w:cs="Arial" w:eastAsia="Arial" w:hAnsi="Arial"/>
                <w:sz w:val="14"/>
                <w:szCs w:val="14"/>
                <w:color w:val="auto"/>
                <w:w w:val="91"/>
              </w:rPr>
              <w:t>Net Rentable Square</w:t>
            </w:r>
          </w:p>
        </w:tc>
        <w:tc>
          <w:tcPr>
            <w:tcW w:w="1440" w:type="dxa"/>
            <w:vAlign w:val="bottom"/>
            <w:gridSpan w:val="4"/>
            <w:vMerge w:val="restart"/>
          </w:tcPr>
          <w:p>
            <w:pPr>
              <w:jc w:val="center"/>
              <w:ind w:right="60"/>
              <w:spacing w:after="0"/>
              <w:rPr>
                <w:sz w:val="20"/>
                <w:szCs w:val="20"/>
                <w:color w:val="auto"/>
              </w:rPr>
            </w:pPr>
            <w:r>
              <w:rPr>
                <w:rFonts w:ascii="Arial" w:cs="Arial" w:eastAsia="Arial" w:hAnsi="Arial"/>
                <w:sz w:val="14"/>
                <w:szCs w:val="14"/>
                <w:color w:val="auto"/>
                <w:w w:val="90"/>
              </w:rPr>
              <w:t>Square Foot</w:t>
            </w:r>
          </w:p>
        </w:tc>
        <w:tc>
          <w:tcPr>
            <w:tcW w:w="1320" w:type="dxa"/>
            <w:vAlign w:val="bottom"/>
            <w:gridSpan w:val="3"/>
            <w:vMerge w:val="restart"/>
          </w:tcPr>
          <w:p>
            <w:pPr>
              <w:jc w:val="center"/>
              <w:spacing w:after="0"/>
              <w:rPr>
                <w:sz w:val="20"/>
                <w:szCs w:val="20"/>
                <w:color w:val="auto"/>
              </w:rPr>
            </w:pPr>
            <w:r>
              <w:rPr>
                <w:rFonts w:ascii="Arial" w:cs="Arial" w:eastAsia="Arial" w:hAnsi="Arial"/>
                <w:sz w:val="14"/>
                <w:szCs w:val="14"/>
                <w:color w:val="auto"/>
                <w:w w:val="90"/>
              </w:rPr>
              <w:t>Square Foot</w:t>
            </w:r>
          </w:p>
        </w:tc>
        <w:tc>
          <w:tcPr>
            <w:tcW w:w="0" w:type="dxa"/>
            <w:vAlign w:val="bottom"/>
          </w:tcPr>
          <w:p>
            <w:pPr>
              <w:spacing w:after="0"/>
              <w:rPr>
                <w:sz w:val="1"/>
                <w:szCs w:val="1"/>
                <w:color w:val="auto"/>
              </w:rPr>
            </w:pPr>
          </w:p>
        </w:tc>
      </w:tr>
      <w:tr>
        <w:trPr>
          <w:trHeight w:val="120"/>
        </w:trPr>
        <w:tc>
          <w:tcPr>
            <w:tcW w:w="19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gridSpan w:val="3"/>
          </w:tcPr>
          <w:p>
            <w:pPr>
              <w:jc w:val="center"/>
              <w:ind w:right="420"/>
              <w:spacing w:after="0" w:line="120" w:lineRule="exact"/>
              <w:rPr>
                <w:sz w:val="20"/>
                <w:szCs w:val="20"/>
                <w:color w:val="auto"/>
              </w:rPr>
            </w:pPr>
            <w:r>
              <w:rPr>
                <w:rFonts w:ascii="Arial" w:cs="Arial" w:eastAsia="Arial" w:hAnsi="Arial"/>
                <w:sz w:val="13"/>
                <w:szCs w:val="13"/>
                <w:color w:val="auto"/>
              </w:rPr>
              <w:t>of</w:t>
            </w:r>
          </w:p>
        </w:tc>
        <w:tc>
          <w:tcPr>
            <w:tcW w:w="1340" w:type="dxa"/>
            <w:vAlign w:val="bottom"/>
            <w:gridSpan w:val="4"/>
            <w:vMerge w:val="continue"/>
          </w:tcPr>
          <w:p>
            <w:pPr>
              <w:spacing w:after="0"/>
              <w:rPr>
                <w:sz w:val="10"/>
                <w:szCs w:val="10"/>
                <w:color w:val="auto"/>
              </w:rPr>
            </w:pPr>
          </w:p>
        </w:tc>
        <w:tc>
          <w:tcPr>
            <w:tcW w:w="1480" w:type="dxa"/>
            <w:vAlign w:val="bottom"/>
            <w:gridSpan w:val="4"/>
            <w:vMerge w:val="continue"/>
          </w:tcPr>
          <w:p>
            <w:pPr>
              <w:spacing w:after="0"/>
              <w:rPr>
                <w:sz w:val="10"/>
                <w:szCs w:val="10"/>
                <w:color w:val="auto"/>
              </w:rPr>
            </w:pPr>
          </w:p>
        </w:tc>
        <w:tc>
          <w:tcPr>
            <w:tcW w:w="1460" w:type="dxa"/>
            <w:vAlign w:val="bottom"/>
            <w:gridSpan w:val="4"/>
            <w:vMerge w:val="continue"/>
          </w:tcPr>
          <w:p>
            <w:pPr>
              <w:spacing w:after="0"/>
              <w:rPr>
                <w:sz w:val="10"/>
                <w:szCs w:val="10"/>
                <w:color w:val="auto"/>
              </w:rPr>
            </w:pPr>
          </w:p>
        </w:tc>
        <w:tc>
          <w:tcPr>
            <w:tcW w:w="1440" w:type="dxa"/>
            <w:vAlign w:val="bottom"/>
            <w:gridSpan w:val="4"/>
            <w:vMerge w:val="continue"/>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900" w:type="dxa"/>
            <w:vAlign w:val="bottom"/>
            <w:vMerge w:val="restart"/>
          </w:tcPr>
          <w:p>
            <w:pPr>
              <w:ind w:left="80"/>
              <w:spacing w:after="0"/>
              <w:rPr>
                <w:sz w:val="20"/>
                <w:szCs w:val="20"/>
                <w:color w:val="auto"/>
              </w:rPr>
            </w:pPr>
            <w:r>
              <w:rPr>
                <w:rFonts w:ascii="Arial" w:cs="Arial" w:eastAsia="Arial" w:hAnsi="Arial"/>
                <w:sz w:val="14"/>
                <w:szCs w:val="14"/>
                <w:color w:val="auto"/>
              </w:rPr>
              <w:t>Location</w:t>
            </w:r>
          </w:p>
        </w:tc>
        <w:tc>
          <w:tcPr>
            <w:tcW w:w="112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Number of</w:t>
            </w:r>
          </w:p>
        </w:tc>
        <w:tc>
          <w:tcPr>
            <w:tcW w:w="1360" w:type="dxa"/>
            <w:vAlign w:val="bottom"/>
            <w:gridSpan w:val="4"/>
          </w:tcPr>
          <w:p>
            <w:pPr>
              <w:jc w:val="center"/>
              <w:ind w:right="100"/>
              <w:spacing w:after="0"/>
              <w:rPr>
                <w:sz w:val="20"/>
                <w:szCs w:val="20"/>
                <w:color w:val="auto"/>
              </w:rPr>
            </w:pPr>
            <w:r>
              <w:rPr>
                <w:rFonts w:ascii="Arial" w:cs="Arial" w:eastAsia="Arial" w:hAnsi="Arial"/>
                <w:sz w:val="14"/>
                <w:szCs w:val="14"/>
                <w:color w:val="auto"/>
                <w:w w:val="92"/>
              </w:rPr>
              <w:t>December 31, 2016</w:t>
            </w:r>
          </w:p>
        </w:tc>
        <w:tc>
          <w:tcPr>
            <w:tcW w:w="320" w:type="dxa"/>
            <w:vAlign w:val="bottom"/>
          </w:tcPr>
          <w:p>
            <w:pPr>
              <w:spacing w:after="0"/>
              <w:rPr>
                <w:sz w:val="14"/>
                <w:szCs w:val="14"/>
                <w:color w:val="auto"/>
              </w:rPr>
            </w:pPr>
          </w:p>
        </w:tc>
        <w:tc>
          <w:tcPr>
            <w:tcW w:w="1020" w:type="dxa"/>
            <w:vAlign w:val="bottom"/>
            <w:gridSpan w:val="3"/>
          </w:tcPr>
          <w:p>
            <w:pPr>
              <w:jc w:val="center"/>
              <w:ind w:right="420"/>
              <w:spacing w:after="0"/>
              <w:rPr>
                <w:sz w:val="20"/>
                <w:szCs w:val="20"/>
                <w:color w:val="auto"/>
              </w:rPr>
            </w:pPr>
            <w:r>
              <w:rPr>
                <w:rFonts w:ascii="Arial" w:cs="Arial" w:eastAsia="Arial" w:hAnsi="Arial"/>
                <w:sz w:val="14"/>
                <w:szCs w:val="14"/>
                <w:color w:val="auto"/>
              </w:rPr>
              <w:t>of</w:t>
            </w: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color w:val="auto"/>
                <w:w w:val="90"/>
              </w:rPr>
              <w:t>Feet as of December</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w w:val="91"/>
              </w:rPr>
              <w:t>Feet as of December</w:t>
            </w:r>
          </w:p>
        </w:tc>
        <w:tc>
          <w:tcPr>
            <w:tcW w:w="1440" w:type="dxa"/>
            <w:vAlign w:val="bottom"/>
            <w:gridSpan w:val="4"/>
          </w:tcPr>
          <w:p>
            <w:pPr>
              <w:jc w:val="center"/>
              <w:ind w:right="100"/>
              <w:spacing w:after="0"/>
              <w:rPr>
                <w:sz w:val="20"/>
                <w:szCs w:val="20"/>
                <w:color w:val="auto"/>
              </w:rPr>
            </w:pPr>
            <w:r>
              <w:rPr>
                <w:rFonts w:ascii="Arial" w:cs="Arial" w:eastAsia="Arial" w:hAnsi="Arial"/>
                <w:sz w:val="14"/>
                <w:szCs w:val="14"/>
                <w:color w:val="auto"/>
                <w:w w:val="94"/>
              </w:rPr>
              <w:t>Occupancy %</w:t>
            </w:r>
          </w:p>
        </w:tc>
        <w:tc>
          <w:tcPr>
            <w:tcW w:w="1320" w:type="dxa"/>
            <w:vAlign w:val="bottom"/>
            <w:gridSpan w:val="3"/>
          </w:tcPr>
          <w:p>
            <w:pPr>
              <w:jc w:val="center"/>
              <w:spacing w:after="0"/>
              <w:rPr>
                <w:sz w:val="20"/>
                <w:szCs w:val="20"/>
                <w:color w:val="auto"/>
              </w:rPr>
            </w:pPr>
            <w:r>
              <w:rPr>
                <w:rFonts w:ascii="Arial" w:cs="Arial" w:eastAsia="Arial" w:hAnsi="Arial"/>
                <w:sz w:val="14"/>
                <w:szCs w:val="14"/>
                <w:color w:val="auto"/>
                <w:w w:val="92"/>
              </w:rPr>
              <w:t>Occupancy %</w:t>
            </w:r>
          </w:p>
        </w:tc>
        <w:tc>
          <w:tcPr>
            <w:tcW w:w="0" w:type="dxa"/>
            <w:vAlign w:val="bottom"/>
          </w:tcPr>
          <w:p>
            <w:pPr>
              <w:spacing w:after="0"/>
              <w:rPr>
                <w:sz w:val="1"/>
                <w:szCs w:val="1"/>
                <w:color w:val="auto"/>
              </w:rPr>
            </w:pPr>
          </w:p>
        </w:tc>
      </w:tr>
      <w:tr>
        <w:trPr>
          <w:trHeight w:val="162"/>
        </w:trPr>
        <w:tc>
          <w:tcPr>
            <w:tcW w:w="1900" w:type="dxa"/>
            <w:vAlign w:val="bottom"/>
            <w:vMerge w:val="continue"/>
          </w:tcPr>
          <w:p>
            <w:pPr>
              <w:spacing w:after="0"/>
              <w:rPr>
                <w:sz w:val="14"/>
                <w:szCs w:val="14"/>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color w:val="auto"/>
                <w:w w:val="88"/>
              </w:rPr>
              <w:t>Stores</w:t>
            </w:r>
          </w:p>
        </w:tc>
        <w:tc>
          <w:tcPr>
            <w:tcW w:w="920" w:type="dxa"/>
            <w:vAlign w:val="bottom"/>
            <w:gridSpan w:val="2"/>
          </w:tcPr>
          <w:p>
            <w:pPr>
              <w:jc w:val="center"/>
              <w:ind w:left="262"/>
              <w:spacing w:after="0"/>
              <w:rPr>
                <w:sz w:val="20"/>
                <w:szCs w:val="20"/>
                <w:color w:val="auto"/>
              </w:rPr>
            </w:pPr>
            <w:r>
              <w:rPr>
                <w:rFonts w:ascii="Arial" w:cs="Arial" w:eastAsia="Arial" w:hAnsi="Arial"/>
                <w:sz w:val="9"/>
                <w:szCs w:val="9"/>
                <w:color w:val="auto"/>
                <w:w w:val="90"/>
              </w:rPr>
              <w:t>(1)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4"/>
          </w:tcPr>
          <w:p>
            <w:pPr>
              <w:jc w:val="center"/>
              <w:ind w:right="100"/>
              <w:spacing w:after="0"/>
              <w:rPr>
                <w:sz w:val="20"/>
                <w:szCs w:val="20"/>
                <w:color w:val="auto"/>
              </w:rPr>
            </w:pPr>
            <w:r>
              <w:rPr>
                <w:rFonts w:ascii="Arial" w:cs="Arial" w:eastAsia="Arial" w:hAnsi="Arial"/>
                <w:sz w:val="14"/>
                <w:szCs w:val="14"/>
                <w:color w:val="auto"/>
                <w:w w:val="91"/>
              </w:rPr>
              <w:t>December 31, 2015</w:t>
            </w:r>
          </w:p>
        </w:tc>
        <w:tc>
          <w:tcPr>
            <w:tcW w:w="1360" w:type="dxa"/>
            <w:vAlign w:val="bottom"/>
            <w:gridSpan w:val="3"/>
          </w:tcPr>
          <w:p>
            <w:pPr>
              <w:jc w:val="center"/>
              <w:spacing w:after="0"/>
              <w:rPr>
                <w:sz w:val="20"/>
                <w:szCs w:val="20"/>
                <w:color w:val="auto"/>
              </w:rPr>
            </w:pPr>
            <w:r>
              <w:rPr>
                <w:rFonts w:ascii="Arial" w:cs="Arial" w:eastAsia="Arial" w:hAnsi="Arial"/>
                <w:sz w:val="14"/>
                <w:szCs w:val="14"/>
                <w:color w:val="auto"/>
                <w:w w:val="96"/>
              </w:rPr>
              <w:t xml:space="preserve">31, 2016 </w:t>
            </w:r>
            <w:r>
              <w:rPr>
                <w:rFonts w:ascii="Arial" w:cs="Arial" w:eastAsia="Arial" w:hAnsi="Arial"/>
                <w:sz w:val="8"/>
                <w:szCs w:val="8"/>
                <w:color w:val="auto"/>
                <w:w w:val="96"/>
              </w:rPr>
              <w:t>(2)</w:t>
            </w:r>
          </w:p>
        </w:tc>
        <w:tc>
          <w:tcPr>
            <w:tcW w:w="120" w:type="dxa"/>
            <w:vAlign w:val="bottom"/>
          </w:tcPr>
          <w:p>
            <w:pPr>
              <w:spacing w:after="0"/>
              <w:rPr>
                <w:sz w:val="14"/>
                <w:szCs w:val="14"/>
                <w:color w:val="auto"/>
              </w:rPr>
            </w:pPr>
          </w:p>
        </w:tc>
        <w:tc>
          <w:tcPr>
            <w:tcW w:w="980" w:type="dxa"/>
            <w:vAlign w:val="bottom"/>
            <w:gridSpan w:val="2"/>
          </w:tcPr>
          <w:p>
            <w:pPr>
              <w:jc w:val="center"/>
              <w:ind w:left="301"/>
              <w:spacing w:after="0"/>
              <w:rPr>
                <w:sz w:val="20"/>
                <w:szCs w:val="20"/>
                <w:color w:val="auto"/>
              </w:rPr>
            </w:pPr>
            <w:r>
              <w:rPr>
                <w:rFonts w:ascii="Arial" w:cs="Arial" w:eastAsia="Arial" w:hAnsi="Arial"/>
                <w:sz w:val="14"/>
                <w:szCs w:val="14"/>
                <w:color w:val="auto"/>
                <w:w w:val="95"/>
              </w:rPr>
              <w:t>31, 2015</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center"/>
              <w:ind w:right="100"/>
              <w:spacing w:after="0"/>
              <w:rPr>
                <w:sz w:val="20"/>
                <w:szCs w:val="20"/>
                <w:color w:val="auto"/>
              </w:rPr>
            </w:pPr>
            <w:r>
              <w:rPr>
                <w:rFonts w:ascii="Arial" w:cs="Arial" w:eastAsia="Arial" w:hAnsi="Arial"/>
                <w:sz w:val="14"/>
                <w:szCs w:val="14"/>
                <w:color w:val="auto"/>
                <w:w w:val="92"/>
              </w:rPr>
              <w:t>December 31, 2016</w:t>
            </w:r>
          </w:p>
        </w:tc>
        <w:tc>
          <w:tcPr>
            <w:tcW w:w="1320" w:type="dxa"/>
            <w:vAlign w:val="bottom"/>
            <w:gridSpan w:val="3"/>
          </w:tcPr>
          <w:p>
            <w:pPr>
              <w:jc w:val="center"/>
              <w:spacing w:after="0"/>
              <w:rPr>
                <w:sz w:val="20"/>
                <w:szCs w:val="20"/>
                <w:color w:val="auto"/>
              </w:rPr>
            </w:pPr>
            <w:r>
              <w:rPr>
                <w:rFonts w:ascii="Arial" w:cs="Arial" w:eastAsia="Arial" w:hAnsi="Arial"/>
                <w:sz w:val="14"/>
                <w:szCs w:val="14"/>
                <w:color w:val="auto"/>
                <w:w w:val="91"/>
              </w:rPr>
              <w:t>December 31, 2015</w:t>
            </w:r>
          </w:p>
        </w:tc>
        <w:tc>
          <w:tcPr>
            <w:tcW w:w="0" w:type="dxa"/>
            <w:vAlign w:val="bottom"/>
          </w:tcPr>
          <w:p>
            <w:pPr>
              <w:spacing w:after="0"/>
              <w:rPr>
                <w:sz w:val="1"/>
                <w:szCs w:val="1"/>
                <w:color w:val="auto"/>
              </w:rPr>
            </w:pPr>
          </w:p>
        </w:tc>
      </w:tr>
      <w:tr>
        <w:trPr>
          <w:trHeight w:val="230"/>
        </w:trPr>
        <w:tc>
          <w:tcPr>
            <w:tcW w:w="1900" w:type="dxa"/>
            <w:vAlign w:val="bottom"/>
            <w:tcBorders>
              <w:top w:val="single" w:sz="8" w:color="auto"/>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Wholly-Owned Stores</w:t>
            </w:r>
          </w:p>
        </w:tc>
        <w:tc>
          <w:tcPr>
            <w:tcW w:w="10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Arizona</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6"/>
                <w:szCs w:val="16"/>
                <w:color w:val="auto"/>
              </w:rPr>
              <w:t>1,496</w:t>
            </w:r>
          </w:p>
        </w:tc>
        <w:tc>
          <w:tcPr>
            <w:tcW w:w="100" w:type="dxa"/>
            <w:vAlign w:val="bottom"/>
          </w:tcPr>
          <w:p>
            <w:pPr>
              <w:spacing w:after="0"/>
              <w:rPr>
                <w:sz w:val="20"/>
                <w:szCs w:val="20"/>
                <w:color w:val="auto"/>
              </w:rPr>
            </w:pPr>
          </w:p>
        </w:tc>
        <w:tc>
          <w:tcPr>
            <w:tcW w:w="1240" w:type="dxa"/>
            <w:vAlign w:val="bottom"/>
            <w:gridSpan w:val="3"/>
          </w:tcPr>
          <w:p>
            <w:pPr>
              <w:jc w:val="right"/>
              <w:ind w:right="19"/>
              <w:spacing w:after="0"/>
              <w:rPr>
                <w:sz w:val="20"/>
                <w:szCs w:val="20"/>
                <w:color w:val="auto"/>
              </w:rPr>
            </w:pPr>
            <w:r>
              <w:rPr>
                <w:rFonts w:ascii="Arial" w:cs="Arial" w:eastAsia="Arial" w:hAnsi="Arial"/>
                <w:sz w:val="16"/>
                <w:szCs w:val="16"/>
                <w:color w:val="auto"/>
              </w:rPr>
              <w:t>894</w:t>
            </w:r>
          </w:p>
        </w:tc>
        <w:tc>
          <w:tcPr>
            <w:tcW w:w="100" w:type="dxa"/>
            <w:vAlign w:val="bottom"/>
          </w:tcPr>
          <w:p>
            <w:pPr>
              <w:spacing w:after="0"/>
              <w:rPr>
                <w:sz w:val="20"/>
                <w:szCs w:val="20"/>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185,887</w:t>
            </w:r>
          </w:p>
        </w:tc>
        <w:tc>
          <w:tcPr>
            <w:tcW w:w="120" w:type="dxa"/>
            <w:vAlign w:val="bottom"/>
          </w:tcPr>
          <w:p>
            <w:pPr>
              <w:spacing w:after="0"/>
              <w:rPr>
                <w:sz w:val="20"/>
                <w:szCs w:val="20"/>
                <w:color w:val="auto"/>
              </w:rPr>
            </w:pPr>
          </w:p>
        </w:tc>
        <w:tc>
          <w:tcPr>
            <w:tcW w:w="1360" w:type="dxa"/>
            <w:vAlign w:val="bottom"/>
            <w:gridSpan w:val="3"/>
          </w:tcPr>
          <w:p>
            <w:pPr>
              <w:jc w:val="right"/>
              <w:ind w:right="19"/>
              <w:spacing w:after="0"/>
              <w:rPr>
                <w:sz w:val="20"/>
                <w:szCs w:val="20"/>
                <w:color w:val="auto"/>
              </w:rPr>
            </w:pPr>
            <w:r>
              <w:rPr>
                <w:rFonts w:ascii="Arial" w:cs="Arial" w:eastAsia="Arial" w:hAnsi="Arial"/>
                <w:sz w:val="16"/>
                <w:szCs w:val="16"/>
                <w:color w:val="auto"/>
              </w:rPr>
              <w:t>122,092</w:t>
            </w:r>
          </w:p>
        </w:tc>
        <w:tc>
          <w:tcPr>
            <w:tcW w:w="100" w:type="dxa"/>
            <w:vAlign w:val="bottom"/>
          </w:tcPr>
          <w:p>
            <w:pPr>
              <w:spacing w:after="0"/>
              <w:rPr>
                <w:sz w:val="20"/>
                <w:szCs w:val="20"/>
                <w:color w:val="auto"/>
              </w:rPr>
            </w:pPr>
          </w:p>
        </w:tc>
        <w:tc>
          <w:tcPr>
            <w:tcW w:w="1340" w:type="dxa"/>
            <w:vAlign w:val="bottom"/>
            <w:gridSpan w:val="3"/>
          </w:tcPr>
          <w:p>
            <w:pPr>
              <w:ind w:left="860"/>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72.9%</w:t>
            </w:r>
          </w:p>
        </w:tc>
        <w:tc>
          <w:tcPr>
            <w:tcW w:w="0" w:type="dxa"/>
            <w:vAlign w:val="bottom"/>
          </w:tcPr>
          <w:p>
            <w:pPr>
              <w:spacing w:after="0"/>
              <w:rPr>
                <w:sz w:val="1"/>
                <w:szCs w:val="1"/>
                <w:color w:val="auto"/>
              </w:rPr>
            </w:pP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California </w:t>
            </w:r>
            <w:r>
              <w:rPr>
                <w:rFonts w:ascii="Arial" w:cs="Arial" w:eastAsia="Arial" w:hAnsi="Arial"/>
                <w:sz w:val="21"/>
                <w:szCs w:val="21"/>
                <w:color w:val="auto"/>
                <w:vertAlign w:val="superscript"/>
              </w:rPr>
              <w:t>(3)</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3"/>
                <w:szCs w:val="23"/>
                <w:color w:val="auto"/>
              </w:rPr>
            </w:pP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2,633</w:t>
            </w:r>
          </w:p>
        </w:tc>
        <w:tc>
          <w:tcPr>
            <w:tcW w:w="10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1,210</w:t>
            </w:r>
          </w:p>
        </w:tc>
        <w:tc>
          <w:tcPr>
            <w:tcW w:w="100" w:type="dxa"/>
            <w:vAlign w:val="bottom"/>
            <w:shd w:val="clear" w:color="auto" w:fill="CCEEFF"/>
          </w:tcPr>
          <w:p>
            <w:pPr>
              <w:spacing w:after="0"/>
              <w:rPr>
                <w:sz w:val="23"/>
                <w:szCs w:val="23"/>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260,216</w:t>
            </w:r>
          </w:p>
        </w:tc>
        <w:tc>
          <w:tcPr>
            <w:tcW w:w="120" w:type="dxa"/>
            <w:vAlign w:val="bottom"/>
            <w:shd w:val="clear" w:color="auto" w:fill="CCEEFF"/>
          </w:tcPr>
          <w:p>
            <w:pPr>
              <w:spacing w:after="0"/>
              <w:rPr>
                <w:sz w:val="23"/>
                <w:szCs w:val="23"/>
                <w:color w:val="auto"/>
              </w:rPr>
            </w:pPr>
          </w:p>
        </w:tc>
        <w:tc>
          <w:tcPr>
            <w:tcW w:w="136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133,252</w:t>
            </w:r>
          </w:p>
        </w:tc>
        <w:tc>
          <w:tcPr>
            <w:tcW w:w="10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ind w:left="860"/>
              <w:spacing w:after="0"/>
              <w:rPr>
                <w:sz w:val="20"/>
                <w:szCs w:val="20"/>
                <w:color w:val="auto"/>
              </w:rPr>
            </w:pPr>
            <w:r>
              <w:rPr>
                <w:rFonts w:ascii="Arial" w:cs="Arial" w:eastAsia="Arial" w:hAnsi="Arial"/>
                <w:sz w:val="16"/>
                <w:szCs w:val="16"/>
                <w:color w:val="auto"/>
              </w:rPr>
              <w:t>73.1%</w:t>
            </w:r>
          </w:p>
        </w:tc>
        <w:tc>
          <w:tcPr>
            <w:tcW w:w="100" w:type="dxa"/>
            <w:vAlign w:val="bottom"/>
            <w:shd w:val="clear" w:color="auto" w:fill="CCEEFF"/>
          </w:tcPr>
          <w:p>
            <w:pPr>
              <w:spacing w:after="0"/>
              <w:rPr>
                <w:sz w:val="23"/>
                <w:szCs w:val="23"/>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Connecticut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6"/>
                <w:szCs w:val="16"/>
                <w:color w:val="auto"/>
              </w:rPr>
              <w:t>1,108</w:t>
            </w:r>
          </w:p>
        </w:tc>
        <w:tc>
          <w:tcPr>
            <w:tcW w:w="100" w:type="dxa"/>
            <w:vAlign w:val="bottom"/>
          </w:tcPr>
          <w:p>
            <w:pPr>
              <w:spacing w:after="0"/>
              <w:rPr>
                <w:sz w:val="20"/>
                <w:szCs w:val="20"/>
                <w:color w:val="auto"/>
              </w:rPr>
            </w:pPr>
          </w:p>
        </w:tc>
        <w:tc>
          <w:tcPr>
            <w:tcW w:w="1240" w:type="dxa"/>
            <w:vAlign w:val="bottom"/>
            <w:gridSpan w:val="3"/>
          </w:tcPr>
          <w:p>
            <w:pPr>
              <w:jc w:val="right"/>
              <w:ind w:right="19"/>
              <w:spacing w:after="0"/>
              <w:rPr>
                <w:sz w:val="20"/>
                <w:szCs w:val="20"/>
                <w:color w:val="auto"/>
              </w:rPr>
            </w:pPr>
            <w:r>
              <w:rPr>
                <w:rFonts w:ascii="Arial" w:cs="Arial" w:eastAsia="Arial" w:hAnsi="Arial"/>
                <w:sz w:val="16"/>
                <w:szCs w:val="16"/>
                <w:color w:val="auto"/>
              </w:rPr>
              <w:t>1,107</w:t>
            </w:r>
          </w:p>
        </w:tc>
        <w:tc>
          <w:tcPr>
            <w:tcW w:w="100" w:type="dxa"/>
            <w:vAlign w:val="bottom"/>
          </w:tcPr>
          <w:p>
            <w:pPr>
              <w:spacing w:after="0"/>
              <w:rPr>
                <w:sz w:val="20"/>
                <w:szCs w:val="20"/>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89,820</w:t>
            </w:r>
          </w:p>
        </w:tc>
        <w:tc>
          <w:tcPr>
            <w:tcW w:w="120" w:type="dxa"/>
            <w:vAlign w:val="bottom"/>
          </w:tcPr>
          <w:p>
            <w:pPr>
              <w:spacing w:after="0"/>
              <w:rPr>
                <w:sz w:val="20"/>
                <w:szCs w:val="20"/>
                <w:color w:val="auto"/>
              </w:rPr>
            </w:pPr>
          </w:p>
        </w:tc>
        <w:tc>
          <w:tcPr>
            <w:tcW w:w="1360" w:type="dxa"/>
            <w:vAlign w:val="bottom"/>
            <w:gridSpan w:val="3"/>
          </w:tcPr>
          <w:p>
            <w:pPr>
              <w:jc w:val="right"/>
              <w:ind w:right="19"/>
              <w:spacing w:after="0"/>
              <w:rPr>
                <w:sz w:val="20"/>
                <w:szCs w:val="20"/>
                <w:color w:val="auto"/>
              </w:rPr>
            </w:pPr>
            <w:r>
              <w:rPr>
                <w:rFonts w:ascii="Arial" w:cs="Arial" w:eastAsia="Arial" w:hAnsi="Arial"/>
                <w:sz w:val="16"/>
                <w:szCs w:val="16"/>
                <w:color w:val="auto"/>
              </w:rPr>
              <w:t>89,820</w:t>
            </w:r>
          </w:p>
        </w:tc>
        <w:tc>
          <w:tcPr>
            <w:tcW w:w="100" w:type="dxa"/>
            <w:vAlign w:val="bottom"/>
          </w:tcPr>
          <w:p>
            <w:pPr>
              <w:spacing w:after="0"/>
              <w:rPr>
                <w:sz w:val="20"/>
                <w:szCs w:val="20"/>
                <w:color w:val="auto"/>
              </w:rPr>
            </w:pPr>
          </w:p>
        </w:tc>
        <w:tc>
          <w:tcPr>
            <w:tcW w:w="1340" w:type="dxa"/>
            <w:vAlign w:val="bottom"/>
            <w:gridSpan w:val="3"/>
          </w:tcPr>
          <w:p>
            <w:pPr>
              <w:ind w:left="860"/>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Florida</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1,235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153,893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158,283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6"/>
                <w:szCs w:val="16"/>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Georgia</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6"/>
                <w:szCs w:val="16"/>
                <w:color w:val="auto"/>
              </w:rPr>
              <w:t>3,115</w:t>
            </w:r>
          </w:p>
        </w:tc>
        <w:tc>
          <w:tcPr>
            <w:tcW w:w="100" w:type="dxa"/>
            <w:vAlign w:val="bottom"/>
          </w:tcPr>
          <w:p>
            <w:pPr>
              <w:spacing w:after="0"/>
              <w:rPr>
                <w:sz w:val="20"/>
                <w:szCs w:val="20"/>
                <w:color w:val="auto"/>
              </w:rPr>
            </w:pPr>
          </w:p>
        </w:tc>
        <w:tc>
          <w:tcPr>
            <w:tcW w:w="1240" w:type="dxa"/>
            <w:vAlign w:val="bottom"/>
            <w:gridSpan w:val="3"/>
          </w:tcPr>
          <w:p>
            <w:pPr>
              <w:jc w:val="right"/>
              <w:ind w:right="19"/>
              <w:spacing w:after="0"/>
              <w:rPr>
                <w:sz w:val="20"/>
                <w:szCs w:val="20"/>
                <w:color w:val="auto"/>
              </w:rPr>
            </w:pPr>
            <w:r>
              <w:rPr>
                <w:rFonts w:ascii="Arial" w:cs="Arial" w:eastAsia="Arial" w:hAnsi="Arial"/>
                <w:sz w:val="16"/>
                <w:szCs w:val="16"/>
                <w:color w:val="auto"/>
              </w:rPr>
              <w:t>1,898</w:t>
            </w:r>
          </w:p>
        </w:tc>
        <w:tc>
          <w:tcPr>
            <w:tcW w:w="100" w:type="dxa"/>
            <w:vAlign w:val="bottom"/>
          </w:tcPr>
          <w:p>
            <w:pPr>
              <w:spacing w:after="0"/>
              <w:rPr>
                <w:sz w:val="20"/>
                <w:szCs w:val="20"/>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352,755</w:t>
            </w:r>
          </w:p>
        </w:tc>
        <w:tc>
          <w:tcPr>
            <w:tcW w:w="120" w:type="dxa"/>
            <w:vAlign w:val="bottom"/>
          </w:tcPr>
          <w:p>
            <w:pPr>
              <w:spacing w:after="0"/>
              <w:rPr>
                <w:sz w:val="20"/>
                <w:szCs w:val="20"/>
                <w:color w:val="auto"/>
              </w:rPr>
            </w:pPr>
          </w:p>
        </w:tc>
        <w:tc>
          <w:tcPr>
            <w:tcW w:w="1360" w:type="dxa"/>
            <w:vAlign w:val="bottom"/>
            <w:gridSpan w:val="3"/>
          </w:tcPr>
          <w:p>
            <w:pPr>
              <w:jc w:val="right"/>
              <w:ind w:right="19"/>
              <w:spacing w:after="0"/>
              <w:rPr>
                <w:sz w:val="20"/>
                <w:szCs w:val="20"/>
                <w:color w:val="auto"/>
              </w:rPr>
            </w:pPr>
            <w:r>
              <w:rPr>
                <w:rFonts w:ascii="Arial" w:cs="Arial" w:eastAsia="Arial" w:hAnsi="Arial"/>
                <w:sz w:val="16"/>
                <w:szCs w:val="16"/>
                <w:color w:val="auto"/>
              </w:rPr>
              <w:t>219,515</w:t>
            </w:r>
          </w:p>
        </w:tc>
        <w:tc>
          <w:tcPr>
            <w:tcW w:w="100" w:type="dxa"/>
            <w:vAlign w:val="bottom"/>
          </w:tcPr>
          <w:p>
            <w:pPr>
              <w:spacing w:after="0"/>
              <w:rPr>
                <w:sz w:val="20"/>
                <w:szCs w:val="20"/>
                <w:color w:val="auto"/>
              </w:rPr>
            </w:pPr>
          </w:p>
        </w:tc>
        <w:tc>
          <w:tcPr>
            <w:tcW w:w="1340" w:type="dxa"/>
            <w:vAlign w:val="bottom"/>
            <w:gridSpan w:val="3"/>
          </w:tcPr>
          <w:p>
            <w:pPr>
              <w:ind w:left="860"/>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63.5%</w:t>
            </w:r>
          </w:p>
        </w:tc>
        <w:tc>
          <w:tcPr>
            <w:tcW w:w="0" w:type="dxa"/>
            <w:vAlign w:val="bottom"/>
          </w:tcPr>
          <w:p>
            <w:pPr>
              <w:spacing w:after="0"/>
              <w:rPr>
                <w:sz w:val="1"/>
                <w:szCs w:val="1"/>
                <w:color w:val="auto"/>
              </w:rPr>
            </w:pP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3,568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1,667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308,723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134,464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6"/>
                <w:szCs w:val="16"/>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Maryland</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6"/>
                <w:szCs w:val="16"/>
                <w:color w:val="auto"/>
              </w:rPr>
              <w:t>988</w:t>
            </w:r>
          </w:p>
        </w:tc>
        <w:tc>
          <w:tcPr>
            <w:tcW w:w="100" w:type="dxa"/>
            <w:vAlign w:val="bottom"/>
          </w:tcPr>
          <w:p>
            <w:pPr>
              <w:spacing w:after="0"/>
              <w:rPr>
                <w:sz w:val="20"/>
                <w:szCs w:val="20"/>
                <w:color w:val="auto"/>
              </w:rPr>
            </w:pPr>
          </w:p>
        </w:tc>
        <w:tc>
          <w:tcPr>
            <w:tcW w:w="1240" w:type="dxa"/>
            <w:vAlign w:val="bottom"/>
            <w:gridSpan w:val="3"/>
          </w:tcPr>
          <w:p>
            <w:pPr>
              <w:jc w:val="right"/>
              <w:ind w:right="19"/>
              <w:spacing w:after="0"/>
              <w:rPr>
                <w:sz w:val="20"/>
                <w:szCs w:val="20"/>
                <w:color w:val="auto"/>
              </w:rPr>
            </w:pPr>
            <w:r>
              <w:rPr>
                <w:rFonts w:ascii="Arial" w:cs="Arial" w:eastAsia="Arial" w:hAnsi="Arial"/>
                <w:sz w:val="16"/>
                <w:szCs w:val="16"/>
                <w:color w:val="auto"/>
              </w:rPr>
              <w:t>988</w:t>
            </w:r>
          </w:p>
        </w:tc>
        <w:tc>
          <w:tcPr>
            <w:tcW w:w="100" w:type="dxa"/>
            <w:vAlign w:val="bottom"/>
          </w:tcPr>
          <w:p>
            <w:pPr>
              <w:spacing w:after="0"/>
              <w:rPr>
                <w:sz w:val="20"/>
                <w:szCs w:val="20"/>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103,135</w:t>
            </w:r>
          </w:p>
        </w:tc>
        <w:tc>
          <w:tcPr>
            <w:tcW w:w="120" w:type="dxa"/>
            <w:vAlign w:val="bottom"/>
          </w:tcPr>
          <w:p>
            <w:pPr>
              <w:spacing w:after="0"/>
              <w:rPr>
                <w:sz w:val="20"/>
                <w:szCs w:val="20"/>
                <w:color w:val="auto"/>
              </w:rPr>
            </w:pPr>
          </w:p>
        </w:tc>
        <w:tc>
          <w:tcPr>
            <w:tcW w:w="1360" w:type="dxa"/>
            <w:vAlign w:val="bottom"/>
            <w:gridSpan w:val="3"/>
          </w:tcPr>
          <w:p>
            <w:pPr>
              <w:jc w:val="right"/>
              <w:ind w:right="19"/>
              <w:spacing w:after="0"/>
              <w:rPr>
                <w:sz w:val="20"/>
                <w:szCs w:val="20"/>
                <w:color w:val="auto"/>
              </w:rPr>
            </w:pPr>
            <w:r>
              <w:rPr>
                <w:rFonts w:ascii="Arial" w:cs="Arial" w:eastAsia="Arial" w:hAnsi="Arial"/>
                <w:sz w:val="16"/>
                <w:szCs w:val="16"/>
                <w:color w:val="auto"/>
              </w:rPr>
              <w:t>103,135</w:t>
            </w:r>
          </w:p>
        </w:tc>
        <w:tc>
          <w:tcPr>
            <w:tcW w:w="100" w:type="dxa"/>
            <w:vAlign w:val="bottom"/>
          </w:tcPr>
          <w:p>
            <w:pPr>
              <w:spacing w:after="0"/>
              <w:rPr>
                <w:sz w:val="20"/>
                <w:szCs w:val="20"/>
                <w:color w:val="auto"/>
              </w:rPr>
            </w:pPr>
          </w:p>
        </w:tc>
        <w:tc>
          <w:tcPr>
            <w:tcW w:w="1340" w:type="dxa"/>
            <w:vAlign w:val="bottom"/>
            <w:gridSpan w:val="3"/>
          </w:tcPr>
          <w:p>
            <w:pPr>
              <w:ind w:left="860"/>
              <w:spacing w:after="0"/>
              <w:rPr>
                <w:sz w:val="20"/>
                <w:szCs w:val="20"/>
                <w:color w:val="auto"/>
              </w:rPr>
            </w:pPr>
            <w:r>
              <w:rPr>
                <w:rFonts w:ascii="Arial" w:cs="Arial" w:eastAsia="Arial" w:hAnsi="Arial"/>
                <w:sz w:val="16"/>
                <w:szCs w:val="16"/>
                <w:color w:val="auto"/>
              </w:rPr>
              <w:t>94.2%</w:t>
            </w:r>
          </w:p>
        </w:tc>
        <w:tc>
          <w:tcPr>
            <w:tcW w:w="10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89.8%</w:t>
            </w:r>
          </w:p>
        </w:tc>
        <w:tc>
          <w:tcPr>
            <w:tcW w:w="0" w:type="dxa"/>
            <w:vAlign w:val="bottom"/>
          </w:tcPr>
          <w:p>
            <w:pPr>
              <w:spacing w:after="0"/>
              <w:rPr>
                <w:sz w:val="1"/>
                <w:szCs w:val="1"/>
                <w:color w:val="auto"/>
              </w:rPr>
            </w:pP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Massachusetts</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2,719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206,276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67,431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6"/>
                <w:szCs w:val="16"/>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0" w:type="dxa"/>
            <w:vAlign w:val="bottom"/>
          </w:tcPr>
          <w:p>
            <w:pPr>
              <w:spacing w:after="0"/>
              <w:rPr>
                <w:sz w:val="1"/>
                <w:szCs w:val="1"/>
                <w:color w:val="auto"/>
              </w:rPr>
            </w:pP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North Carolina</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6"/>
                <w:szCs w:val="16"/>
                <w:color w:val="auto"/>
              </w:rPr>
              <w:t>2,517</w:t>
            </w:r>
          </w:p>
        </w:tc>
        <w:tc>
          <w:tcPr>
            <w:tcW w:w="100" w:type="dxa"/>
            <w:vAlign w:val="bottom"/>
          </w:tcPr>
          <w:p>
            <w:pPr>
              <w:spacing w:after="0"/>
              <w:rPr>
                <w:sz w:val="20"/>
                <w:szCs w:val="20"/>
                <w:color w:val="auto"/>
              </w:rPr>
            </w:pPr>
          </w:p>
        </w:tc>
        <w:tc>
          <w:tcPr>
            <w:tcW w:w="1240" w:type="dxa"/>
            <w:vAlign w:val="bottom"/>
            <w:gridSpan w:val="3"/>
          </w:tcPr>
          <w:p>
            <w:pPr>
              <w:jc w:val="right"/>
              <w:ind w:right="19"/>
              <w:spacing w:after="0"/>
              <w:rPr>
                <w:sz w:val="20"/>
                <w:szCs w:val="20"/>
                <w:color w:val="auto"/>
              </w:rPr>
            </w:pPr>
            <w:r>
              <w:rPr>
                <w:rFonts w:ascii="Arial" w:cs="Arial" w:eastAsia="Arial" w:hAnsi="Arial"/>
                <w:sz w:val="16"/>
                <w:szCs w:val="16"/>
                <w:color w:val="auto"/>
              </w:rPr>
              <w:t>1,986</w:t>
            </w:r>
          </w:p>
        </w:tc>
        <w:tc>
          <w:tcPr>
            <w:tcW w:w="100" w:type="dxa"/>
            <w:vAlign w:val="bottom"/>
          </w:tcPr>
          <w:p>
            <w:pPr>
              <w:spacing w:after="0"/>
              <w:rPr>
                <w:sz w:val="20"/>
                <w:szCs w:val="20"/>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231,083</w:t>
            </w:r>
          </w:p>
        </w:tc>
        <w:tc>
          <w:tcPr>
            <w:tcW w:w="120" w:type="dxa"/>
            <w:vAlign w:val="bottom"/>
          </w:tcPr>
          <w:p>
            <w:pPr>
              <w:spacing w:after="0"/>
              <w:rPr>
                <w:sz w:val="20"/>
                <w:szCs w:val="20"/>
                <w:color w:val="auto"/>
              </w:rPr>
            </w:pPr>
          </w:p>
        </w:tc>
        <w:tc>
          <w:tcPr>
            <w:tcW w:w="1360" w:type="dxa"/>
            <w:vAlign w:val="bottom"/>
            <w:gridSpan w:val="3"/>
          </w:tcPr>
          <w:p>
            <w:pPr>
              <w:jc w:val="right"/>
              <w:ind w:right="19"/>
              <w:spacing w:after="0"/>
              <w:rPr>
                <w:sz w:val="20"/>
                <w:szCs w:val="20"/>
                <w:color w:val="auto"/>
              </w:rPr>
            </w:pPr>
            <w:r>
              <w:rPr>
                <w:rFonts w:ascii="Arial" w:cs="Arial" w:eastAsia="Arial" w:hAnsi="Arial"/>
                <w:sz w:val="16"/>
                <w:szCs w:val="16"/>
                <w:color w:val="auto"/>
              </w:rPr>
              <w:t>187,024</w:t>
            </w:r>
          </w:p>
        </w:tc>
        <w:tc>
          <w:tcPr>
            <w:tcW w:w="100" w:type="dxa"/>
            <w:vAlign w:val="bottom"/>
          </w:tcPr>
          <w:p>
            <w:pPr>
              <w:spacing w:after="0"/>
              <w:rPr>
                <w:sz w:val="20"/>
                <w:szCs w:val="20"/>
                <w:color w:val="auto"/>
              </w:rPr>
            </w:pPr>
          </w:p>
        </w:tc>
        <w:tc>
          <w:tcPr>
            <w:tcW w:w="1340" w:type="dxa"/>
            <w:vAlign w:val="bottom"/>
            <w:gridSpan w:val="3"/>
          </w:tcPr>
          <w:p>
            <w:pPr>
              <w:ind w:left="860"/>
              <w:spacing w:after="0"/>
              <w:rPr>
                <w:sz w:val="20"/>
                <w:szCs w:val="20"/>
                <w:color w:val="auto"/>
              </w:rPr>
            </w:pPr>
            <w:r>
              <w:rPr>
                <w:rFonts w:ascii="Arial" w:cs="Arial" w:eastAsia="Arial" w:hAnsi="Arial"/>
                <w:sz w:val="16"/>
                <w:szCs w:val="16"/>
                <w:color w:val="auto"/>
              </w:rPr>
              <w:t>73.1%</w:t>
            </w:r>
          </w:p>
        </w:tc>
        <w:tc>
          <w:tcPr>
            <w:tcW w:w="10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Oregon</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76,797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76,347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6"/>
                <w:szCs w:val="16"/>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0" w:type="dxa"/>
            <w:vAlign w:val="bottom"/>
          </w:tcPr>
          <w:p>
            <w:pPr>
              <w:spacing w:after="0"/>
              <w:rPr>
                <w:sz w:val="1"/>
                <w:szCs w:val="1"/>
                <w:color w:val="auto"/>
              </w:rPr>
            </w:pP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South Carolina</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6"/>
                <w:szCs w:val="16"/>
                <w:color w:val="auto"/>
              </w:rPr>
              <w:t>1,366</w:t>
            </w:r>
          </w:p>
        </w:tc>
        <w:tc>
          <w:tcPr>
            <w:tcW w:w="100" w:type="dxa"/>
            <w:vAlign w:val="bottom"/>
          </w:tcPr>
          <w:p>
            <w:pPr>
              <w:spacing w:after="0"/>
              <w:rPr>
                <w:sz w:val="20"/>
                <w:szCs w:val="20"/>
                <w:color w:val="auto"/>
              </w:rPr>
            </w:pPr>
          </w:p>
        </w:tc>
        <w:tc>
          <w:tcPr>
            <w:tcW w:w="1240" w:type="dxa"/>
            <w:vAlign w:val="bottom"/>
            <w:gridSpan w:val="3"/>
          </w:tcPr>
          <w:p>
            <w:pPr>
              <w:jc w:val="right"/>
              <w:ind w:right="19"/>
              <w:spacing w:after="0"/>
              <w:rPr>
                <w:sz w:val="20"/>
                <w:szCs w:val="20"/>
                <w:color w:val="auto"/>
              </w:rPr>
            </w:pPr>
            <w:r>
              <w:rPr>
                <w:rFonts w:ascii="Arial" w:cs="Arial" w:eastAsia="Arial" w:hAnsi="Arial"/>
                <w:sz w:val="16"/>
                <w:szCs w:val="16"/>
                <w:color w:val="auto"/>
              </w:rPr>
              <w:t>1,344</w:t>
            </w:r>
          </w:p>
        </w:tc>
        <w:tc>
          <w:tcPr>
            <w:tcW w:w="100" w:type="dxa"/>
            <w:vAlign w:val="bottom"/>
          </w:tcPr>
          <w:p>
            <w:pPr>
              <w:spacing w:after="0"/>
              <w:rPr>
                <w:sz w:val="20"/>
                <w:szCs w:val="20"/>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137,295</w:t>
            </w:r>
          </w:p>
        </w:tc>
        <w:tc>
          <w:tcPr>
            <w:tcW w:w="120" w:type="dxa"/>
            <w:vAlign w:val="bottom"/>
          </w:tcPr>
          <w:p>
            <w:pPr>
              <w:spacing w:after="0"/>
              <w:rPr>
                <w:sz w:val="20"/>
                <w:szCs w:val="20"/>
                <w:color w:val="auto"/>
              </w:rPr>
            </w:pPr>
          </w:p>
        </w:tc>
        <w:tc>
          <w:tcPr>
            <w:tcW w:w="1360" w:type="dxa"/>
            <w:vAlign w:val="bottom"/>
            <w:gridSpan w:val="3"/>
          </w:tcPr>
          <w:p>
            <w:pPr>
              <w:jc w:val="right"/>
              <w:ind w:right="19"/>
              <w:spacing w:after="0"/>
              <w:rPr>
                <w:sz w:val="20"/>
                <w:szCs w:val="20"/>
                <w:color w:val="auto"/>
              </w:rPr>
            </w:pPr>
            <w:r>
              <w:rPr>
                <w:rFonts w:ascii="Arial" w:cs="Arial" w:eastAsia="Arial" w:hAnsi="Arial"/>
                <w:sz w:val="16"/>
                <w:szCs w:val="16"/>
                <w:color w:val="auto"/>
              </w:rPr>
              <w:t>137,350</w:t>
            </w:r>
          </w:p>
        </w:tc>
        <w:tc>
          <w:tcPr>
            <w:tcW w:w="100" w:type="dxa"/>
            <w:vAlign w:val="bottom"/>
          </w:tcPr>
          <w:p>
            <w:pPr>
              <w:spacing w:after="0"/>
              <w:rPr>
                <w:sz w:val="20"/>
                <w:szCs w:val="20"/>
                <w:color w:val="auto"/>
              </w:rPr>
            </w:pPr>
          </w:p>
        </w:tc>
        <w:tc>
          <w:tcPr>
            <w:tcW w:w="1340" w:type="dxa"/>
            <w:vAlign w:val="bottom"/>
            <w:gridSpan w:val="3"/>
          </w:tcPr>
          <w:p>
            <w:pPr>
              <w:ind w:left="860"/>
              <w:spacing w:after="0"/>
              <w:rPr>
                <w:sz w:val="20"/>
                <w:szCs w:val="20"/>
                <w:color w:val="auto"/>
              </w:rPr>
            </w:pPr>
            <w:r>
              <w:rPr>
                <w:rFonts w:ascii="Arial" w:cs="Arial" w:eastAsia="Arial" w:hAnsi="Arial"/>
                <w:sz w:val="16"/>
                <w:szCs w:val="16"/>
                <w:color w:val="auto"/>
              </w:rPr>
              <w:t>82.2%</w:t>
            </w:r>
          </w:p>
        </w:tc>
        <w:tc>
          <w:tcPr>
            <w:tcW w:w="10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Texas</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6,112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6,131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788,381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716,894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6"/>
                <w:szCs w:val="16"/>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Utah</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77,336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3"/>
          </w:tcPr>
          <w:p>
            <w:pPr>
              <w:ind w:left="860"/>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Virginia</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558</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502</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55,900</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56,405</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6"/>
                <w:szCs w:val="16"/>
                <w:color w:val="auto"/>
              </w:rPr>
              <w:t>93.6%</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0" w:type="dxa"/>
            <w:vAlign w:val="bottom"/>
          </w:tcPr>
          <w:p>
            <w:pPr>
              <w:spacing w:after="0"/>
              <w:rPr>
                <w:sz w:val="1"/>
                <w:szCs w:val="1"/>
                <w:color w:val="auto"/>
              </w:rPr>
            </w:pPr>
          </w:p>
        </w:tc>
      </w:tr>
      <w:tr>
        <w:trPr>
          <w:trHeight w:val="195"/>
        </w:trPr>
        <w:tc>
          <w:tcPr>
            <w:tcW w:w="1900" w:type="dxa"/>
            <w:vAlign w:val="bottom"/>
          </w:tcPr>
          <w:p>
            <w:pPr>
              <w:ind w:left="40"/>
              <w:spacing w:after="0"/>
              <w:rPr>
                <w:sz w:val="20"/>
                <w:szCs w:val="20"/>
                <w:color w:val="auto"/>
              </w:rPr>
            </w:pPr>
            <w:r>
              <w:rPr>
                <w:rFonts w:ascii="Arial" w:cs="Arial" w:eastAsia="Arial" w:hAnsi="Arial"/>
                <w:sz w:val="16"/>
                <w:szCs w:val="16"/>
                <w:b w:val="1"/>
                <w:bCs w:val="1"/>
                <w:color w:val="auto"/>
              </w:rPr>
              <w:t>Total Wholly-Owned in</w:t>
            </w: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900" w:type="dxa"/>
            <w:vAlign w:val="bottom"/>
          </w:tcPr>
          <w:p>
            <w:pPr>
              <w:ind w:left="200"/>
              <w:spacing w:after="0"/>
              <w:rPr>
                <w:sz w:val="20"/>
                <w:szCs w:val="20"/>
                <w:color w:val="auto"/>
              </w:rPr>
            </w:pPr>
            <w:r>
              <w:rPr>
                <w:rFonts w:ascii="Arial" w:cs="Arial" w:eastAsia="Arial" w:hAnsi="Arial"/>
                <w:sz w:val="16"/>
                <w:szCs w:val="16"/>
                <w:b w:val="1"/>
                <w:bCs w:val="1"/>
                <w:color w:val="auto"/>
              </w:rPr>
              <w:t>Lease-up</w:t>
            </w: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40</w:t>
            </w:r>
          </w:p>
        </w:tc>
        <w:tc>
          <w:tcPr>
            <w:tcW w:w="100" w:type="dxa"/>
            <w:vAlign w:val="bottom"/>
          </w:tcPr>
          <w:p>
            <w:pPr>
              <w:spacing w:after="0"/>
              <w:rPr>
                <w:sz w:val="18"/>
                <w:szCs w:val="18"/>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28,632</w:t>
            </w:r>
          </w:p>
        </w:tc>
        <w:tc>
          <w:tcPr>
            <w:tcW w:w="100" w:type="dxa"/>
            <w:vAlign w:val="bottom"/>
          </w:tcPr>
          <w:p>
            <w:pPr>
              <w:spacing w:after="0"/>
              <w:rPr>
                <w:sz w:val="18"/>
                <w:szCs w:val="18"/>
                <w:color w:val="auto"/>
              </w:rPr>
            </w:pPr>
          </w:p>
        </w:tc>
        <w:tc>
          <w:tcPr>
            <w:tcW w:w="12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20,313</w:t>
            </w:r>
          </w:p>
        </w:tc>
        <w:tc>
          <w:tcPr>
            <w:tcW w:w="10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3,027,497</w:t>
            </w:r>
          </w:p>
        </w:tc>
        <w:tc>
          <w:tcPr>
            <w:tcW w:w="120" w:type="dxa"/>
            <w:vAlign w:val="bottom"/>
          </w:tcPr>
          <w:p>
            <w:pPr>
              <w:spacing w:after="0"/>
              <w:rPr>
                <w:sz w:val="18"/>
                <w:szCs w:val="18"/>
                <w:color w:val="auto"/>
              </w:rPr>
            </w:pPr>
          </w:p>
        </w:tc>
        <w:tc>
          <w:tcPr>
            <w:tcW w:w="13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2,202,012</w:t>
            </w:r>
          </w:p>
        </w:tc>
        <w:tc>
          <w:tcPr>
            <w:tcW w:w="100" w:type="dxa"/>
            <w:vAlign w:val="bottom"/>
          </w:tcPr>
          <w:p>
            <w:pPr>
              <w:spacing w:after="0"/>
              <w:rPr>
                <w:sz w:val="18"/>
                <w:szCs w:val="18"/>
                <w:color w:val="auto"/>
              </w:rPr>
            </w:pPr>
          </w:p>
        </w:tc>
        <w:tc>
          <w:tcPr>
            <w:tcW w:w="1340" w:type="dxa"/>
            <w:vAlign w:val="bottom"/>
            <w:gridSpan w:val="3"/>
          </w:tcPr>
          <w:p>
            <w:pPr>
              <w:ind w:left="860"/>
              <w:spacing w:after="0"/>
              <w:rPr>
                <w:sz w:val="20"/>
                <w:szCs w:val="20"/>
                <w:color w:val="auto"/>
              </w:rPr>
            </w:pPr>
            <w:r>
              <w:rPr>
                <w:rFonts w:ascii="Arial" w:cs="Arial" w:eastAsia="Arial" w:hAnsi="Arial"/>
                <w:sz w:val="16"/>
                <w:szCs w:val="16"/>
                <w:b w:val="1"/>
                <w:bCs w:val="1"/>
                <w:color w:val="auto"/>
              </w:rPr>
              <w:t>76.9%</w:t>
            </w:r>
          </w:p>
        </w:tc>
        <w:tc>
          <w:tcPr>
            <w:tcW w:w="10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67.4%</w:t>
            </w:r>
          </w:p>
        </w:tc>
        <w:tc>
          <w:tcPr>
            <w:tcW w:w="0" w:type="dxa"/>
            <w:vAlign w:val="bottom"/>
          </w:tcPr>
          <w:p>
            <w:pPr>
              <w:spacing w:after="0"/>
              <w:rPr>
                <w:sz w:val="1"/>
                <w:szCs w:val="1"/>
                <w:color w:val="auto"/>
              </w:rPr>
            </w:pPr>
          </w:p>
        </w:tc>
      </w:tr>
      <w:tr>
        <w:trPr>
          <w:trHeight w:val="33"/>
        </w:trPr>
        <w:tc>
          <w:tcPr>
            <w:tcW w:w="1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0" w:right="2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00" w:type="dxa"/>
            <w:vAlign w:val="bottom"/>
          </w:tcPr>
          <w:p>
            <w:pPr>
              <w:ind w:left="80"/>
              <w:spacing w:after="0"/>
              <w:rPr>
                <w:sz w:val="20"/>
                <w:szCs w:val="20"/>
                <w:color w:val="auto"/>
              </w:rPr>
            </w:pPr>
            <w:r>
              <w:rPr>
                <w:rFonts w:ascii="Arial" w:cs="Arial" w:eastAsia="Arial" w:hAnsi="Arial"/>
                <w:sz w:val="16"/>
                <w:szCs w:val="16"/>
                <w:b w:val="1"/>
                <w:bCs w:val="1"/>
                <w:color w:val="auto"/>
              </w:rPr>
              <w:t>Joint-Venture Stores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46"/>
        </w:trPr>
        <w:tc>
          <w:tcPr>
            <w:tcW w:w="1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Arizona</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62,200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Colorado</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84,830</w:t>
            </w:r>
          </w:p>
        </w:tc>
        <w:tc>
          <w:tcPr>
            <w:tcW w:w="12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Florida</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66,816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New Jersey</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869</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873</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74,152</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74,521</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92.8%</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45.3%</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New York</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3,853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209,522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66,950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Oregon</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71,605</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27,100</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31.8%</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South Carolina</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78,085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70,570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Texas</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55,275</w:t>
            </w:r>
          </w:p>
        </w:tc>
        <w:tc>
          <w:tcPr>
            <w:tcW w:w="12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58.6%</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Washington</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634</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82,485</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5"/>
        </w:trPr>
        <w:tc>
          <w:tcPr>
            <w:tcW w:w="1900" w:type="dxa"/>
            <w:vAlign w:val="bottom"/>
          </w:tcPr>
          <w:p>
            <w:pPr>
              <w:ind w:left="40"/>
              <w:spacing w:after="0"/>
              <w:rPr>
                <w:sz w:val="20"/>
                <w:szCs w:val="20"/>
                <w:color w:val="auto"/>
              </w:rPr>
            </w:pPr>
            <w:r>
              <w:rPr>
                <w:rFonts w:ascii="Arial" w:cs="Arial" w:eastAsia="Arial" w:hAnsi="Arial"/>
                <w:sz w:val="16"/>
                <w:szCs w:val="16"/>
                <w:b w:val="1"/>
                <w:bCs w:val="1"/>
                <w:color w:val="auto"/>
              </w:rPr>
              <w:t>Total Joint-Venture in</w:t>
            </w: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r>
      <w:tr>
        <w:trPr>
          <w:trHeight w:val="210"/>
        </w:trPr>
        <w:tc>
          <w:tcPr>
            <w:tcW w:w="1900" w:type="dxa"/>
            <w:vAlign w:val="bottom"/>
          </w:tcPr>
          <w:p>
            <w:pPr>
              <w:ind w:left="200"/>
              <w:spacing w:after="0"/>
              <w:rPr>
                <w:sz w:val="20"/>
                <w:szCs w:val="20"/>
                <w:color w:val="auto"/>
              </w:rPr>
            </w:pPr>
            <w:r>
              <w:rPr>
                <w:rFonts w:ascii="Arial" w:cs="Arial" w:eastAsia="Arial" w:hAnsi="Arial"/>
                <w:sz w:val="16"/>
                <w:szCs w:val="16"/>
                <w:b w:val="1"/>
                <w:bCs w:val="1"/>
                <w:color w:val="auto"/>
              </w:rPr>
              <w:t>Lease-up</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9,409</w:t>
            </w: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3,522</w:t>
            </w:r>
          </w:p>
        </w:tc>
        <w:tc>
          <w:tcPr>
            <w:tcW w:w="10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784,970</w:t>
            </w:r>
          </w:p>
        </w:tc>
        <w:tc>
          <w:tcPr>
            <w:tcW w:w="12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301,341</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55.0%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34.4%</w:t>
            </w:r>
          </w:p>
        </w:tc>
      </w:tr>
      <w:tr>
        <w:trPr>
          <w:trHeight w:val="33"/>
        </w:trPr>
        <w:tc>
          <w:tcPr>
            <w:tcW w:w="1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19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23"/>
        </w:trPr>
        <w:tc>
          <w:tcPr>
            <w:tcW w:w="1900" w:type="dxa"/>
            <w:vAlign w:val="bottom"/>
          </w:tcPr>
          <w:p>
            <w:pPr>
              <w:ind w:left="80"/>
              <w:spacing w:after="0"/>
              <w:rPr>
                <w:sz w:val="20"/>
                <w:szCs w:val="20"/>
                <w:color w:val="auto"/>
              </w:rPr>
            </w:pPr>
            <w:r>
              <w:rPr>
                <w:rFonts w:ascii="Arial" w:cs="Arial" w:eastAsia="Arial" w:hAnsi="Arial"/>
                <w:sz w:val="16"/>
                <w:szCs w:val="16"/>
                <w:b w:val="1"/>
                <w:bCs w:val="1"/>
                <w:color w:val="auto"/>
              </w:rPr>
              <w:t>Managed Stores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6"/>
        </w:trPr>
        <w:tc>
          <w:tcPr>
            <w:tcW w:w="1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Arizona</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89,695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California</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3,920</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1,608</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491,191</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209,030</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58.4%</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Colorado</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273,520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134,844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Connecticut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37,436</w:t>
            </w:r>
          </w:p>
        </w:tc>
        <w:tc>
          <w:tcPr>
            <w:tcW w:w="12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Florida</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194,571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150,438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60.3%</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Georgia</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1,922</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225,376</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69,367</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54.4%</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4,919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492,235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46,417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83.6%</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Indiana</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964</w:t>
            </w:r>
          </w:p>
        </w:tc>
        <w:tc>
          <w:tcPr>
            <w:tcW w:w="10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111,112</w:t>
            </w:r>
          </w:p>
        </w:tc>
        <w:tc>
          <w:tcPr>
            <w:tcW w:w="12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Kentucky</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138,076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Maryland</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1,726</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1,318</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144,230</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115,650</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84.8%</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75.7%</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Massachusetts</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153,533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70,106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Minnesota</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62,597</w:t>
            </w:r>
          </w:p>
        </w:tc>
        <w:tc>
          <w:tcPr>
            <w:tcW w:w="12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93.8%</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Missouri</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63,100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Nevada</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1,450</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1,470</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197,351</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196,486</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88.8%</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66.2%</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New Hampshire</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35,196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New Jersey</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126,396</w:t>
            </w:r>
          </w:p>
        </w:tc>
        <w:tc>
          <w:tcPr>
            <w:tcW w:w="12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New York</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56,150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33,684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91.0%</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North Carolina</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4,284</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1,611</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464,431</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199,433</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54.2%</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87,663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64,500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59.3%</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Oklahoma</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68,235</w:t>
            </w:r>
          </w:p>
        </w:tc>
        <w:tc>
          <w:tcPr>
            <w:tcW w:w="12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South Carolina</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325,511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165,011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65.6%</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Texas</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4,846</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570</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534,569</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65,409</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Utah</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44,149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Virginia</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51,299</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51,289</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91.0%</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93.2%</w:t>
            </w:r>
          </w:p>
        </w:tc>
      </w:tr>
      <w:tr>
        <w:trPr>
          <w:trHeight w:val="33"/>
        </w:trPr>
        <w:tc>
          <w:tcPr>
            <w:tcW w:w="1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Wisconsin</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1,935</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226,813</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5"/>
        </w:trPr>
        <w:tc>
          <w:tcPr>
            <w:tcW w:w="1900" w:type="dxa"/>
            <w:vAlign w:val="bottom"/>
          </w:tcPr>
          <w:p>
            <w:pPr>
              <w:ind w:left="40"/>
              <w:spacing w:after="0"/>
              <w:rPr>
                <w:sz w:val="20"/>
                <w:szCs w:val="20"/>
                <w:color w:val="auto"/>
              </w:rPr>
            </w:pPr>
            <w:r>
              <w:rPr>
                <w:rFonts w:ascii="Arial" w:cs="Arial" w:eastAsia="Arial" w:hAnsi="Arial"/>
                <w:sz w:val="16"/>
                <w:szCs w:val="16"/>
                <w:b w:val="1"/>
                <w:bCs w:val="1"/>
                <w:color w:val="auto"/>
                <w:w w:val="98"/>
              </w:rPr>
              <w:t>Total Managed in Lease-</w:t>
            </w: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r>
      <w:tr>
        <w:trPr>
          <w:trHeight w:val="210"/>
        </w:trPr>
        <w:tc>
          <w:tcPr>
            <w:tcW w:w="1900" w:type="dxa"/>
            <w:vAlign w:val="bottom"/>
          </w:tcPr>
          <w:p>
            <w:pPr>
              <w:ind w:left="200"/>
              <w:spacing w:after="0"/>
              <w:rPr>
                <w:sz w:val="20"/>
                <w:szCs w:val="20"/>
                <w:color w:val="auto"/>
              </w:rPr>
            </w:pPr>
            <w:r>
              <w:rPr>
                <w:rFonts w:ascii="Arial" w:cs="Arial" w:eastAsia="Arial" w:hAnsi="Arial"/>
                <w:sz w:val="16"/>
                <w:szCs w:val="16"/>
                <w:b w:val="1"/>
                <w:bCs w:val="1"/>
                <w:color w:val="auto"/>
              </w:rPr>
              <w:t>up</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66</w:t>
            </w:r>
          </w:p>
        </w:tc>
        <w:tc>
          <w:tcPr>
            <w:tcW w:w="1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42,785</w:t>
            </w: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14,227</w:t>
            </w:r>
          </w:p>
        </w:tc>
        <w:tc>
          <w:tcPr>
            <w:tcW w:w="10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4,694,435</w:t>
            </w:r>
          </w:p>
        </w:tc>
        <w:tc>
          <w:tcPr>
            <w:tcW w:w="12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1,571,664</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50.6%</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61.1%</w:t>
            </w:r>
          </w:p>
        </w:tc>
      </w:tr>
      <w:tr>
        <w:trPr>
          <w:trHeight w:val="33"/>
        </w:trPr>
        <w:tc>
          <w:tcPr>
            <w:tcW w:w="1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15"/>
        </w:trPr>
        <w:tc>
          <w:tcPr>
            <w:tcW w:w="19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r>
      <w:tr>
        <w:trPr>
          <w:trHeight w:val="250"/>
        </w:trPr>
        <w:tc>
          <w:tcPr>
            <w:tcW w:w="1900" w:type="dxa"/>
            <w:vAlign w:val="bottom"/>
          </w:tcPr>
          <w:p>
            <w:pPr>
              <w:ind w:left="40"/>
              <w:spacing w:after="0"/>
              <w:rPr>
                <w:sz w:val="20"/>
                <w:szCs w:val="20"/>
                <w:color w:val="auto"/>
              </w:rPr>
            </w:pPr>
            <w:r>
              <w:rPr>
                <w:rFonts w:ascii="Arial" w:cs="Arial" w:eastAsia="Arial" w:hAnsi="Arial"/>
                <w:sz w:val="16"/>
                <w:szCs w:val="16"/>
                <w:b w:val="1"/>
                <w:bCs w:val="1"/>
                <w:color w:val="auto"/>
              </w:rPr>
              <w:t>Total Lease-up Stores</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118</w:t>
            </w:r>
          </w:p>
        </w:tc>
        <w:tc>
          <w:tcPr>
            <w:tcW w:w="100" w:type="dxa"/>
            <w:vAlign w:val="bottom"/>
          </w:tcPr>
          <w:p>
            <w:pPr>
              <w:spacing w:after="0"/>
              <w:rPr>
                <w:sz w:val="21"/>
                <w:szCs w:val="21"/>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80,826</w:t>
            </w:r>
          </w:p>
        </w:tc>
        <w:tc>
          <w:tcPr>
            <w:tcW w:w="100" w:type="dxa"/>
            <w:vAlign w:val="bottom"/>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38,062</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8,506,902</w:t>
            </w:r>
          </w:p>
        </w:tc>
        <w:tc>
          <w:tcPr>
            <w:tcW w:w="120" w:type="dxa"/>
            <w:vAlign w:val="bottom"/>
          </w:tcPr>
          <w:p>
            <w:pPr>
              <w:spacing w:after="0"/>
              <w:rPr>
                <w:sz w:val="21"/>
                <w:szCs w:val="21"/>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4,075,017</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60.4%</w:t>
            </w:r>
          </w:p>
        </w:tc>
        <w:tc>
          <w:tcPr>
            <w:tcW w:w="100" w:type="dxa"/>
            <w:vAlign w:val="bottom"/>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62.5%</w:t>
            </w:r>
          </w:p>
        </w:tc>
      </w:tr>
      <w:tr>
        <w:trPr>
          <w:trHeight w:val="20"/>
        </w:trPr>
        <w:tc>
          <w:tcPr>
            <w:tcW w:w="1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Represents unit count as of December 31, 2016, which may differ from unit count as of December 31, 2015, due to unit conversions or expansions.</w:t>
      </w:r>
    </w:p>
    <w:p>
      <w:pPr>
        <w:spacing w:after="0" w:line="34" w:lineRule="exact"/>
        <w:rPr>
          <w:rFonts w:ascii="Arial" w:cs="Arial" w:eastAsia="Arial" w:hAnsi="Arial"/>
          <w:sz w:val="17"/>
          <w:szCs w:val="17"/>
          <w:color w:val="auto"/>
        </w:rPr>
      </w:pPr>
    </w:p>
    <w:p>
      <w:pPr>
        <w:ind w:left="340" w:right="60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net rentable square feet as of December 31, 2016, which may differ from net rentable square feet as of December 31, 2015, due to unit conversions or expansions.</w:t>
      </w: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October 2014, a store located in Venice, California was damaged by fire. In 2016, the store was re-opened for operation and is continuing to lease up.</w:t>
      </w:r>
    </w:p>
    <w:p>
      <w:pPr>
        <w:spacing w:after="0" w:line="33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We are involved in various legal proceedings and are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Therefore, any estimate(s) of loss disclosed below represents what management believes to be an estimate of loss only for certain matters meeting these criteria and does not represent our maximum loss exposure. We could in the future incur judgments or enter into settlements of claims that could have a material adverse effect on our results of operations in any particular period, notwithstanding the fact that we are currently vigorously defending any legal proceedings against us.</w:t>
      </w:r>
    </w:p>
    <w:p>
      <w:pPr>
        <w:spacing w:after="0" w:line="164" w:lineRule="exact"/>
        <w:rPr>
          <w:sz w:val="20"/>
          <w:szCs w:val="20"/>
          <w:color w:val="auto"/>
        </w:rPr>
      </w:pPr>
    </w:p>
    <w:p>
      <w:pPr>
        <w:ind w:right="80" w:firstLine="432"/>
        <w:spacing w:after="0" w:line="263" w:lineRule="auto"/>
        <w:rPr>
          <w:sz w:val="20"/>
          <w:szCs w:val="20"/>
          <w:color w:val="auto"/>
        </w:rPr>
      </w:pPr>
      <w:r>
        <w:rPr>
          <w:rFonts w:ascii="Arial" w:cs="Arial" w:eastAsia="Arial" w:hAnsi="Arial"/>
          <w:sz w:val="18"/>
          <w:szCs w:val="18"/>
          <w:color w:val="auto"/>
        </w:rPr>
        <w:t>We currently have several legal proceedings pending against us that include causes of action alleging wrongful foreclosure, violations of various state specific self-storage statutes, and violations of various consumer fraud acts. As a result of these litigation matters, we have recorded a liability of $5.6 million which is included in other liabilities on the consolidated balance sheets.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126" w:right="239" w:bottom="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right="1980"/>
        <w:spacing w:after="0" w:line="37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Our common stock has been traded on the New York Stock Exchange (“NYSE”) under the symbol “EXR” since our IPO on August 17, 2004. Prior to that time there was no public market for our common stock.</w:t>
      </w:r>
    </w:p>
    <w:p>
      <w:pPr>
        <w:spacing w:after="0" w:line="197" w:lineRule="exact"/>
        <w:rPr>
          <w:sz w:val="20"/>
          <w:szCs w:val="20"/>
          <w:color w:val="auto"/>
        </w:rPr>
      </w:pPr>
    </w:p>
    <w:p>
      <w:pPr>
        <w:ind w:right="240" w:firstLine="432"/>
        <w:spacing w:after="0" w:line="339" w:lineRule="auto"/>
        <w:rPr>
          <w:sz w:val="20"/>
          <w:szCs w:val="20"/>
          <w:color w:val="auto"/>
        </w:rPr>
      </w:pPr>
      <w:r>
        <w:rPr>
          <w:rFonts w:ascii="Arial" w:cs="Arial" w:eastAsia="Arial" w:hAnsi="Arial"/>
          <w:sz w:val="18"/>
          <w:szCs w:val="18"/>
          <w:color w:val="auto"/>
        </w:rPr>
        <w:t>The following table presents, for the periods indicated, the high and low sales price for our common stock as reported by the NYSE and the per share dividends declared: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Range</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3"/>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Year</w:t>
            </w:r>
          </w:p>
        </w:tc>
        <w:tc>
          <w:tcPr>
            <w:tcW w:w="15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Quarter</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Low</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2"/>
              </w:rPr>
              <w:t>Dividends Declared</w:t>
            </w:r>
          </w:p>
        </w:tc>
      </w:tr>
      <w:tr>
        <w:trPr>
          <w:trHeight w:val="24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1st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57.11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0.47</w:t>
            </w:r>
          </w:p>
        </w:tc>
      </w:tr>
      <w:tr>
        <w:trPr>
          <w:trHeight w:val="243"/>
        </w:trPr>
        <w:tc>
          <w:tcPr>
            <w:tcW w:w="5140" w:type="dxa"/>
            <w:vAlign w:val="bottom"/>
          </w:tcPr>
          <w:p>
            <w:pPr>
              <w:spacing w:after="0"/>
              <w:rPr>
                <w:sz w:val="21"/>
                <w:szCs w:val="21"/>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2nd</w:t>
            </w:r>
          </w:p>
        </w:tc>
        <w:tc>
          <w:tcPr>
            <w:tcW w:w="3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70.50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63.54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0.59</w:t>
            </w: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3rd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0.59</w:t>
            </w:r>
          </w:p>
        </w:tc>
      </w:tr>
      <w:tr>
        <w:trPr>
          <w:trHeight w:val="243"/>
        </w:trPr>
        <w:tc>
          <w:tcPr>
            <w:tcW w:w="5140" w:type="dxa"/>
            <w:vAlign w:val="bottom"/>
          </w:tcPr>
          <w:p>
            <w:pPr>
              <w:spacing w:after="0"/>
              <w:rPr>
                <w:sz w:val="21"/>
                <w:szCs w:val="21"/>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4th</w:t>
            </w:r>
          </w:p>
        </w:tc>
        <w:tc>
          <w:tcPr>
            <w:tcW w:w="3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90.22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75.55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0.59</w:t>
            </w: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324"/>
        </w:trPr>
        <w:tc>
          <w:tcPr>
            <w:tcW w:w="51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2016</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1st</w:t>
            </w:r>
          </w:p>
        </w:tc>
        <w:tc>
          <w:tcPr>
            <w:tcW w:w="3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93.46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78.42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0.59</w:t>
            </w: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2nd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0.78</w:t>
            </w:r>
          </w:p>
        </w:tc>
      </w:tr>
      <w:tr>
        <w:trPr>
          <w:trHeight w:val="243"/>
        </w:trPr>
        <w:tc>
          <w:tcPr>
            <w:tcW w:w="5140" w:type="dxa"/>
            <w:vAlign w:val="bottom"/>
          </w:tcPr>
          <w:p>
            <w:pPr>
              <w:spacing w:after="0"/>
              <w:rPr>
                <w:sz w:val="21"/>
                <w:szCs w:val="21"/>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3rd</w:t>
            </w:r>
          </w:p>
        </w:tc>
        <w:tc>
          <w:tcPr>
            <w:tcW w:w="3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94.38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76.17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0.78</w:t>
            </w: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51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4th</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77.66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68.78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0.78</w:t>
            </w:r>
          </w:p>
        </w:tc>
      </w:tr>
      <w:tr>
        <w:trPr>
          <w:trHeight w:val="27"/>
        </w:trPr>
        <w:tc>
          <w:tcPr>
            <w:tcW w:w="51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On February 21, 2017, the closing price of our common stock as reported by the NYSE was $78.37. At February 21, 2017, we had 355 holders of record of our common stock. Certain shares of the Company are held in “street” name and accordingly, the number of beneficial owners of such shares is not known or included in the foregoing number.</w:t>
      </w:r>
    </w:p>
    <w:p>
      <w:pPr>
        <w:spacing w:after="0" w:line="183"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Holders of shares of common stock are entitled to receive distributions when declared by our board of directors out of any assets legally available for that purpose. As a REIT, we are required to distribute at least 90% of our “REIT taxable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45" w:right="239" w:bottom="1440" w:gutter="0" w:footer="0" w:header="0"/>
        </w:sectPr>
      </w:pPr>
    </w:p>
    <w:bookmarkStart w:id="21" w:name="page22"/>
    <w:bookmarkEnd w:id="21"/>
    <w:p>
      <w:pPr>
        <w:ind w:right="80"/>
        <w:spacing w:after="0" w:line="263" w:lineRule="auto"/>
        <w:rPr>
          <w:sz w:val="20"/>
          <w:szCs w:val="20"/>
          <w:color w:val="auto"/>
        </w:rPr>
      </w:pPr>
      <w:r>
        <w:rPr>
          <w:rFonts w:ascii="Arial" w:cs="Arial" w:eastAsia="Arial" w:hAnsi="Arial"/>
          <w:sz w:val="18"/>
          <w:szCs w:val="18"/>
          <w:color w:val="auto"/>
        </w:rPr>
        <w:t>income,” which is generally equivalent to our net taxable ordinary income, determined without regard to the deduction for dividends paid to our stockholders annually in order to maintain our REIT qualification for U.S. federal income tax purposes. We have historically made regular quarterly distributions to our stockholders.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about our equity compensation plans is incorporated by reference in Item 12 of Part III of this Annual Report on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On November 8, 2016, our Operating Partnership issued 486,244 Series D-4 Preferred Units in connection with the acquisition of a store located in Illinois. This store was acquired in exchange for the Series D-4 Preferred Units, valued at $12.2 million.</w:t>
      </w:r>
    </w:p>
    <w:p>
      <w:pPr>
        <w:spacing w:after="0" w:line="170" w:lineRule="exact"/>
        <w:rPr>
          <w:sz w:val="20"/>
          <w:szCs w:val="20"/>
          <w:color w:val="auto"/>
        </w:rPr>
      </w:pPr>
    </w:p>
    <w:p>
      <w:pPr>
        <w:ind w:right="120" w:firstLine="405"/>
        <w:spacing w:after="0" w:line="307" w:lineRule="auto"/>
        <w:rPr>
          <w:sz w:val="20"/>
          <w:szCs w:val="20"/>
          <w:color w:val="auto"/>
        </w:rPr>
      </w:pPr>
      <w:r>
        <w:rPr>
          <w:rFonts w:ascii="Arial" w:cs="Arial" w:eastAsia="Arial" w:hAnsi="Arial"/>
          <w:sz w:val="17"/>
          <w:szCs w:val="17"/>
          <w:color w:val="auto"/>
        </w:rPr>
        <w:t>On November 2, 2016, our Operating Partnership issued 77,575 common OP units ("OP Units") in connection with the acquisition of a store located in Maryland. The store was acquired in exchange for the OP units, valued at $5.8 million, and approximately $9.0 million in cash.</w:t>
      </w:r>
    </w:p>
    <w:p>
      <w:pPr>
        <w:spacing w:after="0" w:line="147" w:lineRule="exact"/>
        <w:rPr>
          <w:sz w:val="20"/>
          <w:szCs w:val="20"/>
          <w:color w:val="auto"/>
        </w:rPr>
      </w:pPr>
    </w:p>
    <w:p>
      <w:pPr>
        <w:jc w:val="both"/>
        <w:ind w:right="200" w:firstLine="432"/>
        <w:spacing w:after="0" w:line="311" w:lineRule="auto"/>
        <w:rPr>
          <w:sz w:val="20"/>
          <w:szCs w:val="20"/>
          <w:color w:val="auto"/>
        </w:rPr>
      </w:pPr>
      <w:r>
        <w:rPr>
          <w:rFonts w:ascii="Arial" w:cs="Arial" w:eastAsia="Arial" w:hAnsi="Arial"/>
          <w:sz w:val="16"/>
          <w:szCs w:val="16"/>
          <w:color w:val="auto"/>
        </w:rPr>
        <w:t>The terms of the common and preferred OP Units are governed by the Operating Partnership’s Fourth Amended and Restated Agreement of Limited Partnership. The OP Units will be redeemable, at the option of the holders following the expiration of a lock-up period commencing on the date of issuance and ending on August 15, 2018, which redemption obligation may be satisfied, at our option, in cash or shares of our common stock.</w:t>
      </w:r>
    </w:p>
    <w:p>
      <w:pPr>
        <w:spacing w:after="0" w:line="148"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OP Units were issued in private placements in reliance on Section 4(a)(2) of the Securities Act of 1933, as amended, and the rules and regulations promulgated thereunder.</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All other unregistered sales of equity securities during the year ended December 31, 2016 have previously been disclosed in filings with the SEC.</w:t>
      </w:r>
    </w:p>
    <w:p>
      <w:pPr>
        <w:spacing w:after="0" w:line="34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The following table presents selected financial data and should be read in conjunction with the financial statements and notes thereto included in Item 8, “Financial Statements and Supplementary Data” and Item 7, “Management’s Discussion and Analysis of Financial Condition and Results of Operations” in this Form 10-K (amounts in thousands, except share and per share data).</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015" w:right="2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4"/>
                <w:szCs w:val="14"/>
                <w:b w:val="1"/>
                <w:bCs w:val="1"/>
                <w:color w:val="auto"/>
              </w:rPr>
              <w:t>For the Year Ended December 31,</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3"/>
        </w:trPr>
        <w:tc>
          <w:tcPr>
            <w:tcW w:w="4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2012</w:t>
            </w:r>
          </w:p>
        </w:tc>
      </w:tr>
      <w:tr>
        <w:trPr>
          <w:trHeight w:val="24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Property rental</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864,742</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676,138</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559,868</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446,682</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346,874</w:t>
            </w:r>
          </w:p>
        </w:tc>
      </w:tr>
      <w:tr>
        <w:trPr>
          <w:trHeight w:val="33"/>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2"/>
              </w:rPr>
              <w:t>Tenant reinsurance, management fees and other income</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127,133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106,132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87,287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73,931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62,522</w:t>
            </w:r>
          </w:p>
        </w:tc>
      </w:tr>
      <w:tr>
        <w:trPr>
          <w:trHeight w:val="217"/>
        </w:trPr>
        <w:tc>
          <w:tcPr>
            <w:tcW w:w="4120" w:type="dxa"/>
            <w:vAlign w:val="bottom"/>
          </w:tcPr>
          <w:p>
            <w:pPr>
              <w:ind w:left="700"/>
              <w:spacing w:after="0"/>
              <w:rPr>
                <w:sz w:val="20"/>
                <w:szCs w:val="20"/>
                <w:color w:val="auto"/>
              </w:rPr>
            </w:pPr>
            <w:r>
              <w:rPr>
                <w:rFonts w:ascii="Arial" w:cs="Arial" w:eastAsia="Arial" w:hAnsi="Arial"/>
                <w:sz w:val="16"/>
                <w:szCs w:val="16"/>
                <w:color w:val="auto"/>
              </w:rPr>
              <w:t>Total revenues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991,875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782,270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647,155</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520,613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409,396</w:t>
            </w:r>
          </w:p>
        </w:tc>
      </w:tr>
      <w:tr>
        <w:trPr>
          <w:trHeight w:val="33"/>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Property operations</w:t>
            </w:r>
          </w:p>
        </w:tc>
        <w:tc>
          <w:tcPr>
            <w:tcW w:w="2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250,005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203,965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172,416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140,012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114,028</w:t>
            </w:r>
          </w:p>
        </w:tc>
      </w:tr>
      <w:tr>
        <w:trPr>
          <w:trHeight w:val="33"/>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Tenant reinsurance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13,033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7,869</w:t>
            </w: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Acquisition related costs and other</w:t>
            </w:r>
          </w:p>
        </w:tc>
        <w:tc>
          <w:tcPr>
            <w:tcW w:w="2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12,111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69,401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9,826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8,618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5,351</w:t>
            </w:r>
          </w:p>
        </w:tc>
      </w:tr>
      <w:tr>
        <w:trPr>
          <w:trHeight w:val="33"/>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81,806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67,758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54,246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50,454</w:t>
            </w: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182,560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133,457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115,076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95,232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74,453</w:t>
            </w:r>
          </w:p>
        </w:tc>
      </w:tr>
      <w:tr>
        <w:trPr>
          <w:trHeight w:val="33"/>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542,037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487,614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368,687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307,130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252,155</w:t>
            </w: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Income from operations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449,838</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294,656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278,468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213,483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157,241</w:t>
            </w:r>
          </w:p>
        </w:tc>
      </w:tr>
      <w:tr>
        <w:trPr>
          <w:trHeight w:val="33"/>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(138,459)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(98,992)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(84,013)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(72,294)</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10,998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8,311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6,457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5,599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6,666</w:t>
            </w:r>
          </w:p>
        </w:tc>
      </w:tr>
      <w:tr>
        <w:trPr>
          <w:trHeight w:val="33"/>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9"/>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on extinguishment of debt related to portfolio</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02"/>
        </w:trPr>
        <w:tc>
          <w:tcPr>
            <w:tcW w:w="412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4"/>
              </w:rPr>
              <w:t>acquisition, gain (loss) on real estate transactions, earnout</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2"/>
        </w:trPr>
        <w:tc>
          <w:tcPr>
            <w:tcW w:w="412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7"/>
              </w:rPr>
              <w:t>from prior acquisitions, sale of other assets and property</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9"/>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casualty loss, net</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8,465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1,501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(12,009)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(8,193)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199"/>
        </w:trPr>
        <w:tc>
          <w:tcPr>
            <w:tcW w:w="4120" w:type="dxa"/>
            <w:vAlign w:val="bottom"/>
          </w:tcPr>
          <w:p>
            <w:pPr>
              <w:ind w:left="40"/>
              <w:spacing w:after="0"/>
              <w:rPr>
                <w:sz w:val="20"/>
                <w:szCs w:val="20"/>
                <w:color w:val="auto"/>
              </w:rPr>
            </w:pPr>
            <w:r>
              <w:rPr>
                <w:rFonts w:ascii="Arial" w:cs="Arial" w:eastAsia="Arial" w:hAnsi="Arial"/>
                <w:sz w:val="16"/>
                <w:szCs w:val="16"/>
                <w:color w:val="auto"/>
                <w:w w:val="95"/>
              </w:rPr>
              <w:t>Income before equity in earnings of real estate ventures and</w:t>
            </w: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06"/>
        </w:trPr>
        <w:tc>
          <w:tcPr>
            <w:tcW w:w="4120" w:type="dxa"/>
            <w:vAlign w:val="bottom"/>
          </w:tcPr>
          <w:p>
            <w:pPr>
              <w:ind w:left="200"/>
              <w:spacing w:after="0"/>
              <w:rPr>
                <w:sz w:val="20"/>
                <w:szCs w:val="20"/>
                <w:color w:val="auto"/>
              </w:rPr>
            </w:pPr>
            <w:r>
              <w:rPr>
                <w:rFonts w:ascii="Arial" w:cs="Arial" w:eastAsia="Arial" w:hAnsi="Arial"/>
                <w:sz w:val="16"/>
                <w:szCs w:val="16"/>
                <w:color w:val="auto"/>
              </w:rPr>
              <w:t>income tax expense</w:t>
            </w:r>
          </w:p>
        </w:tc>
        <w:tc>
          <w:tcPr>
            <w:tcW w:w="2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330,842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205,476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188,903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137,855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91,613</w:t>
            </w:r>
          </w:p>
        </w:tc>
      </w:tr>
      <w:tr>
        <w:trPr>
          <w:trHeight w:val="33"/>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real estate ventures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12,351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10,859</w:t>
            </w:r>
          </w:p>
        </w:tc>
      </w:tr>
      <w:tr>
        <w:trPr>
          <w:trHeight w:val="219"/>
        </w:trPr>
        <w:tc>
          <w:tcPr>
            <w:tcW w:w="4120" w:type="dxa"/>
            <w:vAlign w:val="bottom"/>
          </w:tcPr>
          <w:p>
            <w:pPr>
              <w:ind w:left="40"/>
              <w:spacing w:after="0"/>
              <w:rPr>
                <w:sz w:val="20"/>
                <w:szCs w:val="20"/>
                <w:color w:val="auto"/>
              </w:rPr>
            </w:pPr>
            <w:r>
              <w:rPr>
                <w:rFonts w:ascii="Arial" w:cs="Arial" w:eastAsia="Arial" w:hAnsi="Arial"/>
                <w:sz w:val="16"/>
                <w:szCs w:val="16"/>
                <w:color w:val="auto"/>
                <w:w w:val="98"/>
              </w:rPr>
              <w:t>Equity in earnings of unconsolidated real estate ventures -</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02"/>
        </w:trPr>
        <w:tc>
          <w:tcPr>
            <w:tcW w:w="4120" w:type="dxa"/>
            <w:vAlign w:val="bottom"/>
          </w:tcPr>
          <w:p>
            <w:pPr>
              <w:ind w:left="200"/>
              <w:spacing w:after="0"/>
              <w:rPr>
                <w:sz w:val="20"/>
                <w:szCs w:val="20"/>
                <w:color w:val="auto"/>
              </w:rPr>
            </w:pPr>
            <w:r>
              <w:rPr>
                <w:rFonts w:ascii="Arial" w:cs="Arial" w:eastAsia="Arial" w:hAnsi="Arial"/>
                <w:sz w:val="16"/>
                <w:szCs w:val="16"/>
                <w:color w:val="auto"/>
              </w:rPr>
              <w:t>gain on sale of real estate assets and purchase of joint</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6"/>
        </w:trPr>
        <w:tc>
          <w:tcPr>
            <w:tcW w:w="4120" w:type="dxa"/>
            <w:vAlign w:val="bottom"/>
          </w:tcPr>
          <w:p>
            <w:pPr>
              <w:ind w:left="200"/>
              <w:spacing w:after="0"/>
              <w:rPr>
                <w:sz w:val="20"/>
                <w:szCs w:val="20"/>
                <w:color w:val="auto"/>
              </w:rPr>
            </w:pPr>
            <w:r>
              <w:rPr>
                <w:rFonts w:ascii="Arial" w:cs="Arial" w:eastAsia="Arial" w:hAnsi="Arial"/>
                <w:sz w:val="16"/>
                <w:szCs w:val="16"/>
                <w:color w:val="auto"/>
              </w:rPr>
              <w:t>venture partners' interests</w:t>
            </w:r>
          </w:p>
        </w:tc>
        <w:tc>
          <w:tcPr>
            <w:tcW w:w="2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69,199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2,857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4,022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46,032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30,630</w:t>
            </w:r>
          </w:p>
        </w:tc>
      </w:tr>
      <w:tr>
        <w:trPr>
          <w:trHeight w:val="33"/>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(15,847)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(11,148)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(7,570)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(9,984)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(5,413)</w:t>
            </w: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397,089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209,536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195,896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185,556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127,689</w:t>
            </w:r>
          </w:p>
        </w:tc>
      </w:tr>
      <w:tr>
        <w:trPr>
          <w:trHeight w:val="33"/>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9"/>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Noncontrolling interests in Operating Partnership and other</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9"/>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noncontrolling interests</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(30,962)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(20,062)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(17,541)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(13,480)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(10,380)</w:t>
            </w: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common stockholders</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366,127</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189,474</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178,355</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172,076</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117,309</w:t>
            </w:r>
          </w:p>
        </w:tc>
      </w:tr>
      <w:tr>
        <w:trPr>
          <w:trHeight w:val="73"/>
        </w:trPr>
        <w:tc>
          <w:tcPr>
            <w:tcW w:w="4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304"/>
        </w:trPr>
        <w:tc>
          <w:tcPr>
            <w:tcW w:w="4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23"/>
        </w:trPr>
        <w:tc>
          <w:tcPr>
            <w:tcW w:w="4120" w:type="dxa"/>
            <w:vAlign w:val="bottom"/>
          </w:tcPr>
          <w:p>
            <w:pPr>
              <w:ind w:left="40"/>
              <w:spacing w:after="0"/>
              <w:rPr>
                <w:sz w:val="20"/>
                <w:szCs w:val="20"/>
                <w:color w:val="auto"/>
              </w:rPr>
            </w:pPr>
            <w:r>
              <w:rPr>
                <w:rFonts w:ascii="Arial" w:cs="Arial" w:eastAsia="Arial" w:hAnsi="Arial"/>
                <w:sz w:val="16"/>
                <w:szCs w:val="16"/>
                <w:color w:val="auto"/>
              </w:rPr>
              <w:t>Earnings per common share</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6"/>
        </w:trPr>
        <w:tc>
          <w:tcPr>
            <w:tcW w:w="4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Diluted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1.14</w:t>
            </w:r>
          </w:p>
        </w:tc>
      </w:tr>
      <w:tr>
        <w:trPr>
          <w:trHeight w:val="33"/>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number of shares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Basic</w:t>
            </w:r>
          </w:p>
        </w:tc>
        <w:tc>
          <w:tcPr>
            <w:tcW w:w="2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125,087,554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119,816,743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115,713,807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111,349,361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101,766,385</w:t>
            </w:r>
          </w:p>
        </w:tc>
      </w:tr>
      <w:tr>
        <w:trPr>
          <w:trHeight w:val="33"/>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125,948,076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126,918,869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121,435,267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113,105,094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103,767,365</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Cash dividends paid per common share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0.85</w:t>
            </w:r>
          </w:p>
        </w:tc>
      </w:tr>
    </w:tbl>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021"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0" w:type="dxa"/>
            <w:vAlign w:val="bottom"/>
            <w:gridSpan w:val="4"/>
          </w:tcPr>
          <w:p>
            <w:pPr>
              <w:ind w:left="100"/>
              <w:spacing w:after="0"/>
              <w:rPr>
                <w:sz w:val="20"/>
                <w:szCs w:val="20"/>
                <w:color w:val="auto"/>
              </w:rPr>
            </w:pPr>
            <w:r>
              <w:rPr>
                <w:rFonts w:ascii="Arial" w:cs="Arial" w:eastAsia="Arial" w:hAnsi="Arial"/>
                <w:sz w:val="16"/>
                <w:szCs w:val="16"/>
                <w:b w:val="1"/>
                <w:bCs w:val="1"/>
                <w:color w:val="auto"/>
                <w:w w:val="99"/>
              </w:rPr>
              <w:t>As of December 31,</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r>
      <w:tr>
        <w:trPr>
          <w:trHeight w:val="33"/>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Sheet Data</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7,091,446</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6,071,407</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4,381,987</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3,977,140</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3,223,477</w:t>
            </w: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9"/>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Total notes payable, notes payable to trusts, exchangeable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senior notes and revolving lines of credit, net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4,306,223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3,535,621</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2,349,764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1,946,647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1,577,599</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351,274</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283,527</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174,558</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173,425</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53,524</w:t>
            </w: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2,244,892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2,089,077</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1,737,425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1,758,470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1,491,807</w:t>
            </w:r>
          </w:p>
        </w:tc>
      </w:tr>
      <w:tr>
        <w:trPr>
          <w:trHeight w:val="223"/>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Other Data</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6"/>
        </w:trPr>
        <w:tc>
          <w:tcPr>
            <w:tcW w:w="4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539,263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367,329</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337,581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271,259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215,879</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(1,032,035)</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(1,625,664)</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(564,948)</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(366,976)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(606,938)</w:t>
            </w: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460,831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1,286,471</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148,307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191,655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395,360</w:t>
            </w:r>
          </w:p>
        </w:tc>
      </w:tr>
      <w:tr>
        <w:trPr>
          <w:trHeight w:val="33"/>
        </w:trPr>
        <w:tc>
          <w:tcPr>
            <w:tcW w:w="4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30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60" w:firstLine="432"/>
        <w:spacing w:after="0" w:line="275" w:lineRule="auto"/>
        <w:rPr>
          <w:sz w:val="20"/>
          <w:szCs w:val="20"/>
          <w:color w:val="auto"/>
        </w:rPr>
      </w:pPr>
      <w:r>
        <w:rPr>
          <w:rFonts w:ascii="Arial" w:cs="Arial" w:eastAsia="Arial" w:hAnsi="Arial"/>
          <w:sz w:val="17"/>
          <w:szCs w:val="17"/>
          <w:i w:val="1"/>
          <w:iCs w:val="1"/>
          <w:color w:val="auto"/>
        </w:rPr>
        <w:t>The following discussion should be read in conjunction with the financial statements and notes thereto appearing elsewhere in this report. We make statements in this section that are forward-looking statements within the meaning of the federal securities laws. For a complete discussion of forward-looking statements, see the section in this Form 10-K entitled “Statements Regarding Forward-Looking Information.” Certain risk factors may cause actual results, performance or achievements to differ materially from those expressed or implied by the following discussion. For a discussion of such risk factors, see the section in this Form 10-K entitled “Risk Factors.” Amounts in thousands, except share and per share data.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32"/>
        <w:spacing w:after="0" w:line="307" w:lineRule="auto"/>
        <w:rPr>
          <w:sz w:val="20"/>
          <w:szCs w:val="20"/>
          <w:color w:val="auto"/>
        </w:rPr>
      </w:pPr>
      <w:r>
        <w:rPr>
          <w:rFonts w:ascii="Arial" w:cs="Arial" w:eastAsia="Arial" w:hAnsi="Arial"/>
          <w:sz w:val="17"/>
          <w:szCs w:val="17"/>
          <w:color w:val="auto"/>
        </w:rPr>
        <w:t>We are a fully integrated, self-administered and self-managed real estate investment trust, or REIT, formed to continue the business commenced in 1977 by Extra Space Storage LLC and its subsidiaries to own, operate, manage, acquire, develop and redevelop professionally managed stores.</w:t>
      </w:r>
    </w:p>
    <w:p>
      <w:pPr>
        <w:spacing w:after="0" w:line="147" w:lineRule="exact"/>
        <w:rPr>
          <w:sz w:val="20"/>
          <w:szCs w:val="20"/>
          <w:color w:val="auto"/>
        </w:rPr>
      </w:pPr>
    </w:p>
    <w:p>
      <w:pPr>
        <w:jc w:val="both"/>
        <w:ind w:right="260" w:firstLine="432"/>
        <w:spacing w:after="0" w:line="279" w:lineRule="auto"/>
        <w:rPr>
          <w:sz w:val="20"/>
          <w:szCs w:val="20"/>
          <w:color w:val="auto"/>
        </w:rPr>
      </w:pPr>
      <w:r>
        <w:rPr>
          <w:rFonts w:ascii="Arial" w:cs="Arial" w:eastAsia="Arial" w:hAnsi="Arial"/>
          <w:sz w:val="17"/>
          <w:szCs w:val="17"/>
          <w:color w:val="auto"/>
        </w:rPr>
        <w:t>At December 31, 2016, we owned, had ownership interests in, or managed 1,427 operating stores in 38 states, Washington, D.C. and Puerto Rico. Of these 1,427 operating stores, we owned 836, we held joint venture interests in 180 stores, and our taxable REIT subsidiary, Extra Space Management, Inc., operated an additional 411 stores that are owned by third parties. These operating stores contain approximately 107 million square feet of rentable space in approximately 960,000 units and currently serve a customer base of approximately 850,000 tenants.</w:t>
      </w:r>
    </w:p>
    <w:p>
      <w:pPr>
        <w:spacing w:after="0" w:line="170" w:lineRule="exact"/>
        <w:rPr>
          <w:sz w:val="20"/>
          <w:szCs w:val="20"/>
          <w:color w:val="auto"/>
        </w:rPr>
      </w:pPr>
    </w:p>
    <w:p>
      <w:pPr>
        <w:ind w:right="880" w:firstLine="432"/>
        <w:spacing w:after="0" w:line="290" w:lineRule="auto"/>
        <w:rPr>
          <w:sz w:val="20"/>
          <w:szCs w:val="20"/>
          <w:color w:val="auto"/>
        </w:rPr>
      </w:pPr>
      <w:r>
        <w:rPr>
          <w:rFonts w:ascii="Arial" w:cs="Arial" w:eastAsia="Arial" w:hAnsi="Arial"/>
          <w:sz w:val="16"/>
          <w:szCs w:val="16"/>
          <w:color w:val="auto"/>
        </w:rPr>
        <w:t>Our stores are generally situated in convenient, highly visible locations clustered around large population centers such as Atlanta, Baltimore/Washington, D.C., Boston, Chicago, Dallas, Houston, Las Vegas, Los Angeles, Miami, New York City, Orlando, Philadelphia, Phoenix,</w:t>
      </w:r>
    </w:p>
    <w:p>
      <w:pPr>
        <w:spacing w:after="0" w:line="1"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color w:val="auto"/>
        </w:rPr>
        <w:t>St. Petersburg/Tampa and San Francisco/Oakland. These areas all enjoy above average population growth and income levels. The clustering of our assets around these population centers enables us to reduce our operating costs through economies of scale. We consider a store to be in the lease-up stage after it has been issued a certificate of occupancy, but before it has achieved stabilization. We consider a store to be stabilized once it has achieved either an 80% occupancy rate for a full year measured as of January 1 of the current year, or has been open for three years prior to the January 1 of the current year.</w:t>
      </w:r>
    </w:p>
    <w:p>
      <w:pPr>
        <w:spacing w:after="0" w:line="160" w:lineRule="exact"/>
        <w:rPr>
          <w:sz w:val="20"/>
          <w:szCs w:val="20"/>
          <w:color w:val="auto"/>
        </w:rPr>
      </w:pPr>
    </w:p>
    <w:p>
      <w:pPr>
        <w:jc w:val="both"/>
        <w:ind w:right="320" w:firstLine="432"/>
        <w:spacing w:after="0" w:line="263" w:lineRule="auto"/>
        <w:rPr>
          <w:sz w:val="20"/>
          <w:szCs w:val="20"/>
          <w:color w:val="auto"/>
        </w:rPr>
      </w:pPr>
      <w:r>
        <w:rPr>
          <w:rFonts w:ascii="Arial" w:cs="Arial" w:eastAsia="Arial" w:hAnsi="Arial"/>
          <w:sz w:val="18"/>
          <w:szCs w:val="18"/>
          <w:color w:val="auto"/>
        </w:rPr>
        <w:t>To maximize the performance of our stores, we employ industry-leading revenue management systems. Developed by our management team, these systems enable us to analyze, set and adjust rental rates in real time across our portfolio in order to respond to changing market conditions. We believe our systems and processes allow us to more proactively manage revenues.</w:t>
      </w:r>
    </w:p>
    <w:p>
      <w:pPr>
        <w:spacing w:after="0" w:line="18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derive substantially all of our revenues from rents received from tenants under leases at each of our wholly-owned stores, from management fees on the stores we manage for joint-venture partners and unaffiliated third parties, and from our tenant reinsurance program. Our management fee is generally equal to approximately 6.0% of cash collected from total revenues generated by the managed stores. We also receive an asset management fee of 0.5% of the total asset value from one of our joint ventures.</w:t>
      </w:r>
    </w:p>
    <w:p>
      <w:pPr>
        <w:spacing w:after="0" w:line="186"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operate in competitive markets, often where consumers have multiple stores from which to choose. Competition has impacted, and will continue to impact, our store results. We experience seasonal fluctuations in occupancy levels, with occupancy levels generally higher in the summer months due to increased moving activity. Our operating results depend materially on our ability to lease available self-storage units, to actively manage unit rental rates, and on the ability of our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975" w:right="239" w:bottom="1440" w:gutter="0" w:footer="0" w:header="0"/>
        </w:sectPr>
      </w:pPr>
    </w:p>
    <w:bookmarkStart w:id="24" w:name="page25"/>
    <w:bookmarkEnd w:id="24"/>
    <w:p>
      <w:pPr>
        <w:ind w:right="120"/>
        <w:spacing w:after="0" w:line="341" w:lineRule="auto"/>
        <w:rPr>
          <w:sz w:val="20"/>
          <w:szCs w:val="20"/>
          <w:color w:val="auto"/>
        </w:rPr>
      </w:pPr>
      <w:r>
        <w:rPr>
          <w:rFonts w:ascii="Arial" w:cs="Arial" w:eastAsia="Arial" w:hAnsi="Arial"/>
          <w:sz w:val="16"/>
          <w:szCs w:val="16"/>
          <w:color w:val="auto"/>
        </w:rPr>
        <w:t>tenants to make required rental payments. We believe that we are able to respond quickly and effectively to changes in local, regional and national economic conditions by adjusting rental rates through the combination of our revenue management team and our industry-leading technology systems.</w:t>
      </w:r>
    </w:p>
    <w:p>
      <w:pPr>
        <w:spacing w:after="0" w:line="125"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We continue to evaluate a range of new initiatives and opportunities in order to enable us to maximize stockholder value. Our strategies to maximize stockholder value include the following:</w:t>
      </w:r>
    </w:p>
    <w:p>
      <w:pPr>
        <w:spacing w:after="0" w:line="75" w:lineRule="exact"/>
        <w:rPr>
          <w:sz w:val="20"/>
          <w:szCs w:val="20"/>
          <w:color w:val="auto"/>
        </w:rPr>
      </w:pPr>
    </w:p>
    <w:p>
      <w:pPr>
        <w:ind w:left="540" w:right="140" w:hanging="316"/>
        <w:spacing w:after="0" w:line="256"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Maximize the performance of our stores through strategic, efficient and proactive management. </w:t>
      </w:r>
      <w:r>
        <w:rPr>
          <w:rFonts w:ascii="Arial" w:cs="Arial" w:eastAsia="Arial" w:hAnsi="Arial"/>
          <w:sz w:val="18"/>
          <w:szCs w:val="18"/>
          <w:color w:val="auto"/>
        </w:rPr>
        <w:t>We pursue revenue-generating and expense-minimizing opportunities in our operations. Our revenue management team seeks to maximize revenue by responding to changing market conditions through our advanced technology system’s ability to provide real-time, interactive rental rate and discount management. Our size allows us greater ability than the majority of our competitors to implement more effective online marketing programs, which we believe will attract more customers to our stores at a lower net cost.</w:t>
      </w:r>
    </w:p>
    <w:p>
      <w:pPr>
        <w:spacing w:after="0" w:line="29" w:lineRule="exact"/>
        <w:rPr>
          <w:rFonts w:ascii="Arial" w:cs="Arial" w:eastAsia="Arial" w:hAnsi="Arial"/>
          <w:sz w:val="18"/>
          <w:szCs w:val="18"/>
          <w:color w:val="auto"/>
        </w:rPr>
      </w:pPr>
    </w:p>
    <w:p>
      <w:pPr>
        <w:ind w:left="540" w:right="80" w:hanging="316"/>
        <w:spacing w:after="0" w:line="295"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Acquire self-storage stores. </w:t>
      </w:r>
      <w:r>
        <w:rPr>
          <w:rFonts w:ascii="Arial" w:cs="Arial" w:eastAsia="Arial" w:hAnsi="Arial"/>
          <w:sz w:val="16"/>
          <w:szCs w:val="16"/>
          <w:color w:val="auto"/>
        </w:rPr>
        <w:t>Our acquisitions team continues to pursue the acquisition of multi-store portfolios and single stores that we believe can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stockholder value. We have established a reputation as a reliable, ethical buyer, which we believe enhances our ability to negotiate and close acquisitions. In addition, we believe our status as an UPREIT enables flexibility when structuring deals. We continue to review available acquisitions. As interest rates increase, our expectation is that capitalization rates will also increase and that prices will begin to decrease. We remain a disciplined buyer and only execute acquisitions that we believe will strengthen our portfolio and increase stockholder value.</w:t>
      </w:r>
    </w:p>
    <w:p>
      <w:pPr>
        <w:spacing w:after="0" w:line="2" w:lineRule="exact"/>
        <w:rPr>
          <w:rFonts w:ascii="Arial" w:cs="Arial" w:eastAsia="Arial" w:hAnsi="Arial"/>
          <w:sz w:val="16"/>
          <w:szCs w:val="16"/>
          <w:color w:val="auto"/>
        </w:rPr>
      </w:pPr>
    </w:p>
    <w:p>
      <w:pPr>
        <w:ind w:left="540" w:right="120" w:hanging="316"/>
        <w:spacing w:after="0" w:line="259"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management business. </w:t>
      </w:r>
      <w:r>
        <w:rPr>
          <w:rFonts w:ascii="Arial" w:cs="Arial" w:eastAsia="Arial" w:hAnsi="Arial"/>
          <w:sz w:val="18"/>
          <w:szCs w:val="18"/>
          <w:color w:val="auto"/>
        </w:rPr>
        <w:t>Our management business enables us to generate increased revenues through management fees and expand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geographic footprint. We believe this expanded footprint enables us to reduce our operating costs through economies of scale. In addition, we see our management business as a future acquisition pipeline. We pursue strategic relationships with owners whose stores would enhance our portfolio in the event an opportunity arises to acquire such stores.</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Our financial statements have been prepared in accordance with U.S. generally accepted accounting principles. The preparation of these financial statements requires us to make estimates and assumptions that affect the reported amount of assets and liabilities at the date of the financial statements and the reported amount of revenues and expenses during the reporting period. On an ongoing basis, we evaluate our estimates and assumptions, including those that impact our most critical accounting policies. We base our estimates and assumptions on historical experience and on various other factors that we believe are reasonable under the circumstances. A summary of significant accounting policies is also provided in</w:t>
      </w:r>
    </w:p>
    <w:p>
      <w:pPr>
        <w:spacing w:after="0" w:line="2"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the notes to our consolidated financial statements (see Note 2 to our consolidated financial statements). Actual results may differ from these estimates. We believe the following are our most critical accounting policies:</w:t>
      </w:r>
    </w:p>
    <w:p>
      <w:pPr>
        <w:spacing w:after="0" w:line="181" w:lineRule="exact"/>
        <w:rPr>
          <w:sz w:val="20"/>
          <w:szCs w:val="20"/>
          <w:color w:val="auto"/>
        </w:rPr>
      </w:pPr>
    </w:p>
    <w:p>
      <w:pPr>
        <w:ind w:right="120" w:firstLine="432"/>
        <w:spacing w:after="0" w:line="281" w:lineRule="auto"/>
        <w:rPr>
          <w:sz w:val="20"/>
          <w:szCs w:val="20"/>
          <w:color w:val="auto"/>
        </w:rPr>
      </w:pPr>
      <w:r>
        <w:rPr>
          <w:rFonts w:ascii="Arial" w:cs="Arial" w:eastAsia="Arial" w:hAnsi="Arial"/>
          <w:sz w:val="18"/>
          <w:szCs w:val="18"/>
          <w:b w:val="1"/>
          <w:bCs w:val="1"/>
          <w:color w:val="auto"/>
        </w:rPr>
        <w:t xml:space="preserve">CONSOLIDATION: </w:t>
      </w:r>
      <w:r>
        <w:rPr>
          <w:rFonts w:ascii="Arial" w:cs="Arial" w:eastAsia="Arial" w:hAnsi="Arial"/>
          <w:sz w:val="18"/>
          <w:szCs w:val="18"/>
          <w:color w:val="auto"/>
        </w:rPr>
        <w:t>Arrangements that are not controlled through voting or similar rights are accounted for as variable interest entities (“VIEs”). An</w:t>
      </w:r>
      <w:r>
        <w:rPr>
          <w:rFonts w:ascii="Arial" w:cs="Arial" w:eastAsia="Arial" w:hAnsi="Arial"/>
          <w:sz w:val="18"/>
          <w:szCs w:val="18"/>
          <w:b w:val="1"/>
          <w:bCs w:val="1"/>
          <w:color w:val="auto"/>
        </w:rPr>
        <w:t xml:space="preserve"> </w:t>
      </w:r>
      <w:r>
        <w:rPr>
          <w:rFonts w:ascii="Arial" w:cs="Arial" w:eastAsia="Arial" w:hAnsi="Arial"/>
          <w:sz w:val="18"/>
          <w:szCs w:val="18"/>
          <w:color w:val="auto"/>
        </w:rPr>
        <w:t>enterprise is required to consolidate a VIE if it is the primary beneficiary of the VIE.</w:t>
      </w:r>
    </w:p>
    <w:p>
      <w:pPr>
        <w:spacing w:after="0" w:line="167" w:lineRule="exact"/>
        <w:rPr>
          <w:sz w:val="20"/>
          <w:szCs w:val="20"/>
          <w:color w:val="auto"/>
        </w:rPr>
      </w:pPr>
    </w:p>
    <w:p>
      <w:pPr>
        <w:ind w:right="260" w:firstLine="432"/>
        <w:spacing w:after="0" w:line="255" w:lineRule="auto"/>
        <w:rPr>
          <w:sz w:val="20"/>
          <w:szCs w:val="20"/>
          <w:color w:val="auto"/>
        </w:rPr>
      </w:pPr>
      <w:r>
        <w:rPr>
          <w:rFonts w:ascii="Arial" w:cs="Arial" w:eastAsia="Arial" w:hAnsi="Arial"/>
          <w:sz w:val="18"/>
          <w:szCs w:val="18"/>
          <w:color w:val="auto"/>
        </w:rPr>
        <w:t>A VIE is created when (i) the equity investment at risk is not sufficient to permit the entity to finance its activities without additional subordinated financial support from other parties, or (ii) the entity’s equity holders as a group either: (a) lack the power, through voting or similar rights, to direct the activities of the entity that most significantly impact the entity’s economic performance, (b) are not obligated to absorb expected losses of the entity if they occur, or (c) do not have the right to receive expected residual returns of the entity if they occur. If an entity is deemed to be a VIE, the enterprise that is deemed to have a variable interest, or combination of variable interests, that provides the enterprise with a controlling financial interest in the VIE is considered the primary beneficiary and must consolidate the VIE.</w:t>
      </w:r>
    </w:p>
    <w:p>
      <w:pPr>
        <w:spacing w:after="0" w:line="19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have concluded that under certain circumstances when we enter into arrangements for the formation of joint ventures, a VIE may be created under condition (i) or (ii)(b) or (ii)(c) of the previous paragraph. For each VIE created, we have performed a qualitative analysis, including considering which party, if any, has the power to direct the activities most significant to the economic performance of each VIE and whether that party has the obligation to absorb losses of the VIE or the right to receive benefits from the VIE that could be significant to the VIE. If we are determined to be the primary beneficiary of the VIE, the assets, liabilities and operations of the VIE are consolidated with our financial statements. As of December 31, 2016, we had no consolidated VIEs. Additionally, our Operating Partnership has notes payable to three trusts that are VIEs under condition (ii)(a) above. Since the Operating Partnership is not the primary beneficiary of the trusts, these VIEs are not consolidated.</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015" w:right="259" w:bottom="1440" w:gutter="0" w:footer="0" w:header="0"/>
        </w:sectPr>
      </w:pPr>
    </w:p>
    <w:bookmarkStart w:id="25" w:name="page26"/>
    <w:bookmarkEnd w:id="25"/>
    <w:p>
      <w:pPr>
        <w:ind w:right="200" w:firstLine="432"/>
        <w:spacing w:after="0" w:line="266" w:lineRule="auto"/>
        <w:rPr>
          <w:sz w:val="20"/>
          <w:szCs w:val="20"/>
          <w:color w:val="auto"/>
        </w:rPr>
      </w:pPr>
      <w:r>
        <w:rPr>
          <w:rFonts w:ascii="Arial" w:cs="Arial" w:eastAsia="Arial" w:hAnsi="Arial"/>
          <w:sz w:val="18"/>
          <w:szCs w:val="18"/>
          <w:b w:val="1"/>
          <w:bCs w:val="1"/>
          <w:color w:val="auto"/>
        </w:rPr>
        <w:t xml:space="preserve">REAL ESTATE ASSETS: </w:t>
      </w:r>
      <w:r>
        <w:rPr>
          <w:rFonts w:ascii="Arial" w:cs="Arial" w:eastAsia="Arial" w:hAnsi="Arial"/>
          <w:sz w:val="18"/>
          <w:szCs w:val="18"/>
          <w:color w:val="auto"/>
        </w:rPr>
        <w:t>Real estate assets are stated at cost, less accumulated depreciation. Direct and allowable internal costs associated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construction, renovation, and improvement of real estate assets are capitalized. Interest, property taxes, and other costs associated with development incurred during the construction period are capitalized.</w:t>
      </w:r>
    </w:p>
    <w:p>
      <w:pPr>
        <w:spacing w:after="0" w:line="179" w:lineRule="exact"/>
        <w:rPr>
          <w:sz w:val="20"/>
          <w:szCs w:val="20"/>
          <w:color w:val="auto"/>
        </w:rPr>
      </w:pPr>
    </w:p>
    <w:p>
      <w:pPr>
        <w:jc w:val="both"/>
        <w:ind w:right="60" w:firstLine="432"/>
        <w:spacing w:after="0" w:line="263" w:lineRule="auto"/>
        <w:rPr>
          <w:sz w:val="20"/>
          <w:szCs w:val="20"/>
          <w:color w:val="auto"/>
        </w:rPr>
      </w:pPr>
      <w:r>
        <w:rPr>
          <w:rFonts w:ascii="Arial" w:cs="Arial" w:eastAsia="Arial" w:hAnsi="Arial"/>
          <w:sz w:val="18"/>
          <w:szCs w:val="18"/>
          <w:color w:val="auto"/>
        </w:rPr>
        <w:t>Expenditures for maintenance and repairs are charged to expense as incurred. Major replacements and betterments that improve or extend the life of the asset are capitalized and depreciated over their estimated useful lives. Depreciation is computed using the straight-line method over the estimated useful lives of the buildings and improvements, which are generally between 5 and 39 years.</w:t>
      </w:r>
    </w:p>
    <w:p>
      <w:pPr>
        <w:spacing w:after="0" w:line="183"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 connection with our acquisition of operating stores, the purchase price is allocated to the tangible and intangible assets and liabilities acquired based on their fair values, which are estimated using significant unobservable inputs. The value of the tangible assets, consisting of land and buildings, is determined as if vacant. Intangible assets, which represent the value of existing tenant relationships, are recorded at their fair values based on the avoided cost to replace the current leases. We measure the value of tenant relationships based on the rent lost due to the amount of time required to replace existing customers, which is based on our historical experience with turnover in our facilities. Debt assumed as part of an acquisition is recorded at fair value based on current interest rates compared to contractual rates. Acquisition-related transaction costs are expensed as incurred.</w:t>
      </w:r>
    </w:p>
    <w:p>
      <w:pPr>
        <w:spacing w:after="0" w:line="177"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Stores purchased at the time of certificate of occupancy issuance are considered asset acquisitions. As such, the purchase price is allocated to the land and buildings acquired based on their fair values. Any debt assumed as part of the acquisition is recorded at fair value based on current interest rates compared to contractual rates. Acquisition-related transactions costs are capitalized as part of the purchase price.</w:t>
      </w:r>
    </w:p>
    <w:p>
      <w:pPr>
        <w:spacing w:after="0" w:line="165"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Intangible lease rights include: (1) purchase price amounts allocated to leases on three stores that cannot be classified as ground or building leases; these rights are amortized to expense over the term of the leases; and (2) intangibles related to ground leases on eight stores where the ground leases were assumed by us at rates that were different than the current market rates for similar leases. The value associated with these assumed leases were recorded as intangibles, which will be amortized over the lease terms.</w:t>
      </w:r>
    </w:p>
    <w:p>
      <w:pPr>
        <w:spacing w:after="0" w:line="182" w:lineRule="exact"/>
        <w:rPr>
          <w:sz w:val="20"/>
          <w:szCs w:val="20"/>
          <w:color w:val="auto"/>
        </w:rPr>
      </w:pPr>
    </w:p>
    <w:p>
      <w:pPr>
        <w:ind w:right="140" w:firstLine="432"/>
        <w:spacing w:after="0" w:line="258" w:lineRule="auto"/>
        <w:rPr>
          <w:sz w:val="20"/>
          <w:szCs w:val="20"/>
          <w:color w:val="auto"/>
        </w:rPr>
      </w:pPr>
      <w:r>
        <w:rPr>
          <w:rFonts w:ascii="Arial" w:cs="Arial" w:eastAsia="Arial" w:hAnsi="Arial"/>
          <w:sz w:val="18"/>
          <w:szCs w:val="18"/>
          <w:b w:val="1"/>
          <w:bCs w:val="1"/>
          <w:color w:val="auto"/>
        </w:rPr>
        <w:t xml:space="preserve">EVALUATION OF ASSET IMPAIRMENT: </w:t>
      </w:r>
      <w:r>
        <w:rPr>
          <w:rFonts w:ascii="Arial" w:cs="Arial" w:eastAsia="Arial" w:hAnsi="Arial"/>
          <w:sz w:val="18"/>
          <w:szCs w:val="18"/>
          <w:color w:val="auto"/>
        </w:rPr>
        <w:t>Long lived assets held for use are evaluated for impairment when events or circumstances indicate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there may be impairment. We review each store at least annually to determine if any such events or circumstances have occurred or exist. We focus on stores where occupancy and/or rental income have decreased by a significant amount. For these stores, we determine whether the decrease is temporary or permanent and whether the store will likely recover the lost occupancy and/or revenue in the short term. In addition, we review stores in the lease-up stage and compare actual operating results to original projections.</w:t>
      </w:r>
    </w:p>
    <w:p>
      <w:pPr>
        <w:spacing w:after="0" w:line="186"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When we determine that an event that may indicate impairment has occurred, we compare the carrying value of the related long-lived assets to the undiscounted future net operating cash flows attributable to the assets. An impairment loss is recorded if the net carrying value of the assets exceeds the undiscounted future net operating cash flows attributable to the assets. The impairment loss recognized equals the excess of net carrying value over the related fair value of the assets.</w:t>
      </w:r>
    </w:p>
    <w:p>
      <w:pPr>
        <w:spacing w:after="0" w:line="186"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When real estate assets are identified as held for sale, we discontinue depreciating the assets and estimate the fair value of the assets, net of selling costs. If the estimated fair value, net of selling costs, of the assets that have been identified as held for sale is less than the net carrying value of the assets, we would recognize a loss on the disposal group classified as held for sale. The operations of assets held for sale or sold during the period are presented as part of normal operations for all periods presented.</w:t>
      </w:r>
    </w:p>
    <w:p>
      <w:pPr>
        <w:spacing w:after="0" w:line="182" w:lineRule="exact"/>
        <w:rPr>
          <w:sz w:val="20"/>
          <w:szCs w:val="20"/>
          <w:color w:val="auto"/>
        </w:rPr>
      </w:pPr>
    </w:p>
    <w:p>
      <w:pPr>
        <w:jc w:val="both"/>
        <w:ind w:right="100" w:firstLine="432"/>
        <w:spacing w:after="0" w:line="266" w:lineRule="auto"/>
        <w:rPr>
          <w:sz w:val="20"/>
          <w:szCs w:val="20"/>
          <w:color w:val="auto"/>
        </w:rPr>
      </w:pPr>
      <w:r>
        <w:rPr>
          <w:rFonts w:ascii="Arial" w:cs="Arial" w:eastAsia="Arial" w:hAnsi="Arial"/>
          <w:sz w:val="18"/>
          <w:szCs w:val="18"/>
          <w:b w:val="1"/>
          <w:bCs w:val="1"/>
          <w:color w:val="auto"/>
        </w:rPr>
        <w:t xml:space="preserve">INVESTMENTS IN UNCONSOLIDATED REAL ESTATE VENTURES: </w:t>
      </w:r>
      <w:r>
        <w:rPr>
          <w:rFonts w:ascii="Arial" w:cs="Arial" w:eastAsia="Arial" w:hAnsi="Arial"/>
          <w:sz w:val="18"/>
          <w:szCs w:val="18"/>
          <w:color w:val="auto"/>
        </w:rPr>
        <w:t>Our investments in real estate joint ventures where we have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influence but not control, and joint ventures which are VIEs in which we are not the primary beneficiary, are recorded under the equity method of accounting on the accompanying consolidated financial statements.</w:t>
      </w:r>
    </w:p>
    <w:p>
      <w:pPr>
        <w:spacing w:after="0" w:line="17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Under the equity method, our investment in real estate ventures is stated at cost and adjusted for our share of net earnings or losses and reduced by distributions. Equity in earnings of real estate ventures is generally recognized based on our ownership interest in the earnings of each of the unconsolidated real estate ventures. For the purposes of presentation in the statement of cash flows, we follow the “look through” approach for classification of distributions from joint ventures. Under this approach, distributions are reported under operating cash flow unless the facts and circumstances of a specific distribution clearly indicate that it is a return of capital (e.g., a liquidating dividend or distribution of the proceeds from the joint venture’s sale of assets) in which case it is reported as an investing activity.</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011" w:right="239" w:bottom="1440" w:gutter="0" w:footer="0" w:header="0"/>
        </w:sectPr>
      </w:pPr>
    </w:p>
    <w:bookmarkStart w:id="26" w:name="page27"/>
    <w:bookmarkEnd w:id="26"/>
    <w:p>
      <w:pPr>
        <w:ind w:right="100" w:firstLine="432"/>
        <w:spacing w:after="0" w:line="301" w:lineRule="auto"/>
        <w:rPr>
          <w:sz w:val="20"/>
          <w:szCs w:val="20"/>
          <w:color w:val="auto"/>
        </w:rPr>
      </w:pPr>
      <w:r>
        <w:rPr>
          <w:rFonts w:ascii="Arial" w:cs="Arial" w:eastAsia="Arial" w:hAnsi="Arial"/>
          <w:sz w:val="16"/>
          <w:szCs w:val="16"/>
          <w:color w:val="auto"/>
        </w:rPr>
        <w:t>Our management assesses annually whether there are any indicators that the value of our investments in unconsolidated real estate ventures may be impaired and when events or circumstances indicate that there may be impairment. An investment is impaired if management’s estimate of the fair value of the investment, using significant unobservable inputs, is less than its carrying value. To the extent impairment has occurred and is considered to be other than temporary, the loss is measured as the excess of the carrying amount of the investment over the fair value of the investment.</w:t>
      </w:r>
    </w:p>
    <w:p>
      <w:pPr>
        <w:spacing w:after="0" w:line="152" w:lineRule="exact"/>
        <w:rPr>
          <w:sz w:val="20"/>
          <w:szCs w:val="20"/>
          <w:color w:val="auto"/>
        </w:rPr>
      </w:pPr>
    </w:p>
    <w:p>
      <w:pPr>
        <w:ind w:right="260" w:firstLine="432"/>
        <w:spacing w:after="0" w:line="260" w:lineRule="auto"/>
        <w:rPr>
          <w:sz w:val="20"/>
          <w:szCs w:val="20"/>
          <w:color w:val="auto"/>
        </w:rPr>
      </w:pPr>
      <w:r>
        <w:rPr>
          <w:rFonts w:ascii="Arial" w:cs="Arial" w:eastAsia="Arial" w:hAnsi="Arial"/>
          <w:sz w:val="18"/>
          <w:szCs w:val="18"/>
          <w:b w:val="1"/>
          <w:bCs w:val="1"/>
          <w:color w:val="auto"/>
        </w:rPr>
        <w:t xml:space="preserve">DERIVATIVE INSTRUMENTS AND HEDGING ACTIVITIES: </w:t>
      </w:r>
      <w:r>
        <w:rPr>
          <w:rFonts w:ascii="Arial" w:cs="Arial" w:eastAsia="Arial" w:hAnsi="Arial"/>
          <w:sz w:val="18"/>
          <w:szCs w:val="18"/>
          <w:color w:val="auto"/>
        </w:rPr>
        <w:t>The accounting for changes in the fair value of derivatives depends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intended use of the derivative and the resulting designation. Derivatives used to hedge the exposure to changes in the fair value of an asset, liability or firm commitment attributable to a particular risk, are considered fair value hedges. Derivatives used to hedge the exposure to variability in expected future cash flows, or other types of forecasted transactions, are considered cash flow hedges.</w:t>
      </w:r>
    </w:p>
    <w:p>
      <w:pPr>
        <w:spacing w:after="0" w:line="186"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For derivatives designated as fair value hedges, changes in the fair value of the derivative and the hedged item related to the hedged risk are recognized in earnings. For derivatives designated as cash flow hedges, the effective portion of changes in the fair value of the derivative is initially reported in other comprehensive income, outside of earnings and subsequently reclassified to earnings when the hedged transaction affects earnings.</w:t>
      </w:r>
    </w:p>
    <w:p>
      <w:pPr>
        <w:spacing w:after="0" w:line="161" w:lineRule="exact"/>
        <w:rPr>
          <w:sz w:val="20"/>
          <w:szCs w:val="20"/>
          <w:color w:val="auto"/>
        </w:rPr>
      </w:pPr>
    </w:p>
    <w:p>
      <w:pPr>
        <w:ind w:right="100" w:firstLine="432"/>
        <w:spacing w:after="0" w:line="274" w:lineRule="auto"/>
        <w:rPr>
          <w:sz w:val="20"/>
          <w:szCs w:val="20"/>
          <w:color w:val="auto"/>
        </w:rPr>
      </w:pPr>
      <w:r>
        <w:rPr>
          <w:rFonts w:ascii="Arial" w:cs="Arial" w:eastAsia="Arial" w:hAnsi="Arial"/>
          <w:sz w:val="17"/>
          <w:szCs w:val="17"/>
          <w:b w:val="1"/>
          <w:bCs w:val="1"/>
          <w:color w:val="auto"/>
        </w:rPr>
        <w:t xml:space="preserve">REVENUE AND EXPENSE RECOGNITION: </w:t>
      </w:r>
      <w:r>
        <w:rPr>
          <w:rFonts w:ascii="Arial" w:cs="Arial" w:eastAsia="Arial" w:hAnsi="Arial"/>
          <w:sz w:val="17"/>
          <w:szCs w:val="17"/>
          <w:color w:val="auto"/>
        </w:rPr>
        <w:t>Rental revenues are recognized as earned based upon amounts that are currently due from tenants.</w:t>
      </w:r>
      <w:r>
        <w:rPr>
          <w:rFonts w:ascii="Arial" w:cs="Arial" w:eastAsia="Arial" w:hAnsi="Arial"/>
          <w:sz w:val="17"/>
          <w:szCs w:val="17"/>
          <w:b w:val="1"/>
          <w:bCs w:val="1"/>
          <w:color w:val="auto"/>
        </w:rPr>
        <w:t xml:space="preserve"> </w:t>
      </w:r>
      <w:r>
        <w:rPr>
          <w:rFonts w:ascii="Arial" w:cs="Arial" w:eastAsia="Arial" w:hAnsi="Arial"/>
          <w:sz w:val="17"/>
          <w:szCs w:val="17"/>
          <w:color w:val="auto"/>
        </w:rPr>
        <w:t>Leases are generally on month-to-month terms. Prepaid rents are recognized on a straight-line basis over the term of the leases. Promotional discounts are recognized as a reduction to rental income over the promotional period. Late charges, administrative fees, merchandise sales and truck rentals are recognized in income when earned. Management fee revenues are recognized monthly as services are performed and in accordance with the terms of the related management agreements. Equity in earnings of real estate entities is recognized based on our ownership interest in the earnings of each of the unconsolidated real estate entities. Interest income is recognized as earned.</w:t>
      </w:r>
    </w:p>
    <w:p>
      <w:pPr>
        <w:spacing w:after="0" w:line="176"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Property expenses, including utilities, property taxes, repairs and maintenance and other costs to manage the facilities are recognized as incurred. We accrue for property tax expense based upon invoice amounts, estimates and historical trends. If these estimates are incorrect, the timing of expense recognition could be affected.</w:t>
      </w:r>
    </w:p>
    <w:p>
      <w:pPr>
        <w:spacing w:after="0" w:line="183"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Tenant reinsurance premiums are recognized as revenue over the period of insurance coverage. We record an unpaid claims liability at the end of each period based on existing unpaid claims and historical claims payment history. The unpaid claims liability represents an estimate of the ultimate cost to settle all unpaid claims as of each period end, including both reported but unpaid claims and claims that may have been incurred but have not been reported. We use a third party claims administrator to adjust all tenant reinsurance claims received. The administrator evaluates each claim to determine the ultimate claim loss and includes an estimate for claims that may have been incurred but not reported. Annually, a third party actuary evaluates the adequacy of the unpaid claims liability. Prior year claim reserves are adjusted as experience develops or new information becomes known. The impact of such adjustments is included in the current period operations. The unpaid claims liability is not discounted to its present value. Each tenant chooses the amount of insurance coverage they want through the tenant reinsurance program. Tenants can purchase policies in amounts of two thousand dollars to ten thousand dollars of insurance coverage in exchange for a monthly fee. Our exposure per claim is limited by the maximum amount of coverage chosen by each tenant. We purchase reinsurance for losses exceeding a set amount on any one event. We do not currently have any amounts recoverable under the reinsurance arrangements.</w:t>
      </w:r>
    </w:p>
    <w:p>
      <w:pPr>
        <w:spacing w:after="0" w:line="162" w:lineRule="exact"/>
        <w:rPr>
          <w:sz w:val="20"/>
          <w:szCs w:val="20"/>
          <w:color w:val="auto"/>
        </w:rPr>
      </w:pPr>
    </w:p>
    <w:p>
      <w:pPr>
        <w:ind w:right="80" w:firstLine="432"/>
        <w:spacing w:after="0" w:line="294"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We have elected to be treated as a REIT under Sections 856 through 860 of the Internal Revenue Code. In order to maintain our</w:t>
      </w:r>
      <w:r>
        <w:rPr>
          <w:rFonts w:ascii="Arial" w:cs="Arial" w:eastAsia="Arial" w:hAnsi="Arial"/>
          <w:sz w:val="16"/>
          <w:szCs w:val="16"/>
          <w:b w:val="1"/>
          <w:bCs w:val="1"/>
          <w:color w:val="auto"/>
        </w:rPr>
        <w:t xml:space="preserve"> </w:t>
      </w:r>
      <w:r>
        <w:rPr>
          <w:rFonts w:ascii="Arial" w:cs="Arial" w:eastAsia="Arial" w:hAnsi="Arial"/>
          <w:sz w:val="16"/>
          <w:szCs w:val="16"/>
          <w:color w:val="auto"/>
        </w:rPr>
        <w:t>qualification as a REIT, among other things, we are required to distribute at least 90% of our REIT taxable income to our stockholders and meet certain tests regarding the nature of our income and assets. As a REIT, we are not subject to federal income tax with respect to that portion of our income which meets certain criteria and is distributed annually to our stockholders. We plan to continue to operate so that we meet the requirements for taxation as a REIT. Many of these requirements, however, are highly technical and complex. If we were to fail to meet these requirements, we would be subject to federal income tax. We are subject to certain state and local taxes. Provision for such taxes has been included in income tax expense in our consolidated statements of operations.</w:t>
      </w:r>
    </w:p>
    <w:p>
      <w:pPr>
        <w:spacing w:after="0" w:line="163"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We have elected to treat one of our corporate subsidiaries, Extra Space Management, Inc., as a taxable REIT subsidiary (“TRS”). In general, our TRS may perform additional services for tenants and generally may engage in any real estate or non-real estate related business. A TRS is subject to corporate federal income tax. Deferred tax assets and liabilities are determined based on differences between financial reporting and tax bases of assets and liabilities. Interest and penalties relating to uncertain tax positions will be recognized in income tax expense when incurred.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015" w:right="239" w:bottom="1440" w:gutter="0" w:footer="0" w:header="0"/>
        </w:sectPr>
      </w:pPr>
    </w:p>
    <w:bookmarkStart w:id="27" w:name="page28"/>
    <w:bookmarkEnd w:id="27"/>
    <w:p>
      <w:pPr>
        <w:ind w:right="560"/>
        <w:spacing w:after="0" w:line="281" w:lineRule="auto"/>
        <w:rPr>
          <w:sz w:val="20"/>
          <w:szCs w:val="20"/>
          <w:color w:val="auto"/>
        </w:rPr>
      </w:pPr>
      <w:r>
        <w:rPr>
          <w:rFonts w:ascii="Arial" w:cs="Arial" w:eastAsia="Arial" w:hAnsi="Arial"/>
          <w:sz w:val="18"/>
          <w:szCs w:val="18"/>
          <w:b w:val="1"/>
          <w:bCs w:val="1"/>
          <w:color w:val="auto"/>
        </w:rPr>
        <w:t xml:space="preserve">RECENT ACCOUNT PRONOUNCEMENTS: </w:t>
      </w:r>
      <w:r>
        <w:rPr>
          <w:rFonts w:ascii="Arial" w:cs="Arial" w:eastAsia="Arial" w:hAnsi="Arial"/>
          <w:sz w:val="18"/>
          <w:szCs w:val="18"/>
          <w:color w:val="auto"/>
        </w:rPr>
        <w:t>For a discussion of recent accounting pronouncements affecting our business, see Item 8,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and Supplementary Data–Recently Issued Accounting Standards.”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2016 to the Year Ended December 31,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100" w:firstLine="405"/>
        <w:spacing w:after="0" w:line="286" w:lineRule="auto"/>
        <w:rPr>
          <w:sz w:val="20"/>
          <w:szCs w:val="20"/>
          <w:color w:val="auto"/>
        </w:rPr>
      </w:pPr>
      <w:r>
        <w:rPr>
          <w:rFonts w:ascii="Arial" w:cs="Arial" w:eastAsia="Arial" w:hAnsi="Arial"/>
          <w:sz w:val="17"/>
          <w:szCs w:val="17"/>
          <w:color w:val="auto"/>
        </w:rPr>
        <w:t>Results for the year ended December 31, 2016 included the operations of 1,016 stores (836 wholly-owned, one in a consolidated joint venture, and 179 in joint ventures accounted for using the equity method) compared to the results for the year ended December 31, 2015, which included the operations of 999 stores (746 wholly-owned, one in a consolidated joint venture, and 252 in joint ventures accounted for using the equity method).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information on revenues earned for the years indicated:</w:t>
      </w:r>
    </w:p>
    <w:p>
      <w:pPr>
        <w:spacing w:after="0" w:line="338" w:lineRule="exact"/>
        <w:rPr>
          <w:sz w:val="20"/>
          <w:szCs w:val="20"/>
          <w:color w:val="auto"/>
        </w:rPr>
      </w:pPr>
    </w:p>
    <w:p>
      <w:pPr>
        <w:ind w:left="560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3234055</wp:posOffset>
            </wp:positionH>
            <wp:positionV relativeFrom="paragraph">
              <wp:posOffset>23495</wp:posOffset>
            </wp:positionV>
            <wp:extent cx="19532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5326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54"/>
              <w:spacing w:after="0"/>
              <w:rPr>
                <w:sz w:val="20"/>
                <w:szCs w:val="20"/>
                <w:color w:val="auto"/>
              </w:rPr>
            </w:pPr>
            <w:r>
              <w:rPr>
                <w:rFonts w:ascii="Arial" w:cs="Arial" w:eastAsia="Arial" w:hAnsi="Arial"/>
                <w:sz w:val="14"/>
                <w:szCs w:val="14"/>
                <w:b w:val="1"/>
                <w:bCs w:val="1"/>
                <w:color w:val="auto"/>
              </w:rPr>
              <w:t>% Change</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r>
      <w:tr>
        <w:trPr>
          <w:trHeight w:val="27"/>
        </w:trPr>
        <w:tc>
          <w:tcPr>
            <w:tcW w:w="5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rental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864,742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676,138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188,604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Tenant reinsurance</w:t>
            </w: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87,291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71,971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15,320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7"/>
        </w:trPr>
        <w:tc>
          <w:tcPr>
            <w:tcW w:w="5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fees and other income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39,842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34,161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5,681</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36"/>
        </w:trPr>
        <w:tc>
          <w:tcPr>
            <w:tcW w:w="510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991,875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782,270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209,605</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w:t>
            </w:r>
          </w:p>
        </w:tc>
      </w:tr>
      <w:tr>
        <w:trPr>
          <w:trHeight w:val="27"/>
        </w:trPr>
        <w:tc>
          <w:tcPr>
            <w:tcW w:w="5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5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b w:val="1"/>
          <w:bCs w:val="1"/>
          <w:color w:val="auto"/>
        </w:rPr>
        <w:t>Property Rental—</w:t>
      </w:r>
      <w:r>
        <w:rPr>
          <w:rFonts w:ascii="Arial" w:cs="Arial" w:eastAsia="Arial" w:hAnsi="Arial"/>
          <w:sz w:val="17"/>
          <w:szCs w:val="17"/>
          <w:color w:val="auto"/>
        </w:rPr>
        <w:t>The increase in property rental revenues for the year ended December 31, 2016 was primarily the result of an increase of $144,985</w:t>
      </w:r>
      <w:r>
        <w:rPr>
          <w:rFonts w:ascii="Arial" w:cs="Arial" w:eastAsia="Arial" w:hAnsi="Arial"/>
          <w:sz w:val="17"/>
          <w:szCs w:val="17"/>
          <w:b w:val="1"/>
          <w:bCs w:val="1"/>
          <w:color w:val="auto"/>
        </w:rPr>
        <w:t xml:space="preserve"> </w:t>
      </w:r>
      <w:r>
        <w:rPr>
          <w:rFonts w:ascii="Arial" w:cs="Arial" w:eastAsia="Arial" w:hAnsi="Arial"/>
          <w:sz w:val="17"/>
          <w:szCs w:val="17"/>
          <w:color w:val="auto"/>
        </w:rPr>
        <w:t>associated with acquisitions completed in 2016 and 2015. We acquired 99 stores during the year ended December 31, 2016 and 171 stores during the year ended December 31, 2015. Property rental revenue also increased by $42,171 during the year ended December 31, 2016 as a result of increases in rental rates to new and existing customers at our stabilized stores. Revenues at our lease-up stores increased by $3,439 for the year ended December 31, 2016 due primarily to increases in occupancy. The achieved rental rate to new tenants on wholly owned properties for the year ended December 31, 2016 increased an average of approximately 7.0% over the prior year. These increases were offset by decreases in property revenue of $1,991 for the year ended December 31, 2016 related to the sales of stores during 2016.</w:t>
      </w:r>
    </w:p>
    <w:p>
      <w:pPr>
        <w:spacing w:after="0" w:line="176" w:lineRule="exact"/>
        <w:rPr>
          <w:sz w:val="20"/>
          <w:szCs w:val="20"/>
          <w:color w:val="auto"/>
        </w:rPr>
      </w:pPr>
    </w:p>
    <w:p>
      <w:pPr>
        <w:ind w:right="300" w:firstLine="432"/>
        <w:spacing w:after="0" w:line="281" w:lineRule="auto"/>
        <w:rPr>
          <w:sz w:val="20"/>
          <w:szCs w:val="20"/>
          <w:color w:val="auto"/>
        </w:rPr>
      </w:pPr>
      <w:r>
        <w:rPr>
          <w:rFonts w:ascii="Arial" w:cs="Arial" w:eastAsia="Arial" w:hAnsi="Arial"/>
          <w:sz w:val="18"/>
          <w:szCs w:val="18"/>
          <w:b w:val="1"/>
          <w:bCs w:val="1"/>
          <w:color w:val="auto"/>
        </w:rPr>
        <w:t>Tenant Reinsurance</w:t>
      </w:r>
      <w:r>
        <w:rPr>
          <w:rFonts w:ascii="Arial" w:cs="Arial" w:eastAsia="Arial" w:hAnsi="Arial"/>
          <w:sz w:val="18"/>
          <w:szCs w:val="18"/>
          <w:color w:val="auto"/>
        </w:rPr>
        <w:t>—The increase in tenant reinsurance revenues was due primarily to the increase in stores operated. We operated 1,427 stores at</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2016, compared to 1,347 stores at December 31, 2015.</w:t>
      </w:r>
    </w:p>
    <w:p>
      <w:pPr>
        <w:spacing w:after="0" w:line="163" w:lineRule="exact"/>
        <w:rPr>
          <w:sz w:val="20"/>
          <w:szCs w:val="20"/>
          <w:color w:val="auto"/>
        </w:rPr>
      </w:pPr>
    </w:p>
    <w:p>
      <w:pPr>
        <w:ind w:right="20" w:firstLine="432"/>
        <w:spacing w:after="0" w:line="256" w:lineRule="auto"/>
        <w:rPr>
          <w:sz w:val="20"/>
          <w:szCs w:val="20"/>
          <w:color w:val="auto"/>
        </w:rPr>
      </w:pPr>
      <w:r>
        <w:rPr>
          <w:rFonts w:ascii="Arial" w:cs="Arial" w:eastAsia="Arial" w:hAnsi="Arial"/>
          <w:sz w:val="18"/>
          <w:szCs w:val="18"/>
          <w:b w:val="1"/>
          <w:bCs w:val="1"/>
          <w:color w:val="auto"/>
        </w:rPr>
        <w:t>Management Fees and Other Income</w:t>
      </w:r>
      <w:r>
        <w:rPr>
          <w:rFonts w:ascii="Arial" w:cs="Arial" w:eastAsia="Arial" w:hAnsi="Arial"/>
          <w:sz w:val="18"/>
          <w:szCs w:val="18"/>
          <w:color w:val="auto"/>
        </w:rPr>
        <w:t>—Our TRS manages stores owned by our joint ventures and third parties. Management fees generally represent</w:t>
      </w:r>
      <w:r>
        <w:rPr>
          <w:rFonts w:ascii="Arial" w:cs="Arial" w:eastAsia="Arial" w:hAnsi="Arial"/>
          <w:sz w:val="18"/>
          <w:szCs w:val="18"/>
          <w:b w:val="1"/>
          <w:bCs w:val="1"/>
          <w:color w:val="auto"/>
        </w:rPr>
        <w:t xml:space="preserve"> </w:t>
      </w:r>
      <w:r>
        <w:rPr>
          <w:rFonts w:ascii="Arial" w:cs="Arial" w:eastAsia="Arial" w:hAnsi="Arial"/>
          <w:sz w:val="18"/>
          <w:szCs w:val="18"/>
          <w:color w:val="auto"/>
        </w:rPr>
        <w:t>6.0% of cash collected from stores owned by third parties and unconsolidated joint ventures. We also earn an asset management fee from the Storage Portfolio I (“SPI”) joint venture, equal to 0.50% multiplied by the total asset value, provided certain conditions are met. The increase in management fees is due primarily to an increase in the revenues at the stores we managed. At December 31, 2016, we managed 591 stores for third parties and non-consolidated joint ventures, compared to 601 stores at December 31, 2015. The decrease in the number of stores managed is due primarily to our acquisition of 40 stores from our joint ventures during 2016.</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19"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information on expenses for the years indicated:</w:t>
      </w:r>
    </w:p>
    <w:p>
      <w:pPr>
        <w:spacing w:after="0" w:line="338" w:lineRule="exact"/>
        <w:rPr>
          <w:sz w:val="20"/>
          <w:szCs w:val="20"/>
          <w:color w:val="auto"/>
        </w:rPr>
      </w:pPr>
    </w:p>
    <w:p>
      <w:pPr>
        <w:ind w:left="556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23495</wp:posOffset>
            </wp:positionV>
            <wp:extent cx="19443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4437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600" w:type="dxa"/>
            <w:vAlign w:val="bottom"/>
          </w:tcPr>
          <w:p>
            <w:pPr>
              <w:jc w:val="right"/>
              <w:ind w:right="393"/>
              <w:spacing w:after="0"/>
              <w:rPr>
                <w:sz w:val="20"/>
                <w:szCs w:val="20"/>
                <w:color w:val="auto"/>
              </w:rPr>
            </w:pPr>
            <w:r>
              <w:rPr>
                <w:rFonts w:ascii="Arial" w:cs="Arial" w:eastAsia="Arial" w:hAnsi="Arial"/>
                <w:sz w:val="14"/>
                <w:szCs w:val="14"/>
                <w:b w:val="1"/>
                <w:bCs w:val="1"/>
                <w:color w:val="auto"/>
              </w:rPr>
              <w:t>% Change</w:t>
            </w:r>
          </w:p>
        </w:tc>
      </w:tr>
      <w:tr>
        <w:trPr>
          <w:trHeight w:val="229"/>
        </w:trPr>
        <w:tc>
          <w:tcPr>
            <w:tcW w:w="506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r>
      <w:tr>
        <w:trPr>
          <w:trHeight w:val="40"/>
        </w:trPr>
        <w:tc>
          <w:tcPr>
            <w:tcW w:w="50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operations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250,005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203,965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46,040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22.6 %</w:t>
            </w: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Tenant reinsurance</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15,555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13,033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2,522</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19.4 %</w:t>
            </w: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related costs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69,401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(57,290)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w:t>
            </w: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81,806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67,758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14,048</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20.7 %</w:t>
            </w: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182,560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133,457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49,103</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36.8 %</w:t>
            </w:r>
          </w:p>
        </w:tc>
      </w:tr>
      <w:tr>
        <w:trPr>
          <w:trHeight w:val="236"/>
        </w:trPr>
        <w:tc>
          <w:tcPr>
            <w:tcW w:w="5060" w:type="dxa"/>
            <w:vAlign w:val="bottom"/>
          </w:tcPr>
          <w:p>
            <w:pPr>
              <w:ind w:left="700"/>
              <w:spacing w:after="0"/>
              <w:rPr>
                <w:sz w:val="20"/>
                <w:szCs w:val="20"/>
                <w:color w:val="auto"/>
              </w:rPr>
            </w:pPr>
            <w:r>
              <w:rPr>
                <w:rFonts w:ascii="Arial" w:cs="Arial" w:eastAsia="Arial" w:hAnsi="Arial"/>
                <w:sz w:val="18"/>
                <w:szCs w:val="18"/>
                <w:color w:val="auto"/>
              </w:rPr>
              <w:t>Total expenses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542,037</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487,614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54,423</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11.2 %</w:t>
            </w:r>
          </w:p>
        </w:tc>
      </w:tr>
      <w:tr>
        <w:trPr>
          <w:trHeight w:val="27"/>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240" w:firstLine="432"/>
        <w:spacing w:after="0" w:line="347" w:lineRule="auto"/>
        <w:rPr>
          <w:sz w:val="20"/>
          <w:szCs w:val="20"/>
          <w:color w:val="auto"/>
        </w:rPr>
      </w:pPr>
      <w:r>
        <w:rPr>
          <w:rFonts w:ascii="Arial" w:cs="Arial" w:eastAsia="Arial" w:hAnsi="Arial"/>
          <w:sz w:val="16"/>
          <w:szCs w:val="16"/>
          <w:b w:val="1"/>
          <w:bCs w:val="1"/>
          <w:color w:val="auto"/>
        </w:rPr>
        <w:t>Property Operations</w:t>
      </w:r>
      <w:r>
        <w:rPr>
          <w:rFonts w:ascii="Arial" w:cs="Arial" w:eastAsia="Arial" w:hAnsi="Arial"/>
          <w:sz w:val="16"/>
          <w:szCs w:val="16"/>
          <w:color w:val="auto"/>
        </w:rPr>
        <w:t>—The increase in property operations expense consists primarily of an increase of $45,055 related to acquisitions completed in</w:t>
      </w:r>
      <w:r>
        <w:rPr>
          <w:rFonts w:ascii="Arial" w:cs="Arial" w:eastAsia="Arial" w:hAnsi="Arial"/>
          <w:sz w:val="16"/>
          <w:szCs w:val="16"/>
          <w:b w:val="1"/>
          <w:bCs w:val="1"/>
          <w:color w:val="auto"/>
        </w:rPr>
        <w:t xml:space="preserve"> </w:t>
      </w:r>
      <w:r>
        <w:rPr>
          <w:rFonts w:ascii="Arial" w:cs="Arial" w:eastAsia="Arial" w:hAnsi="Arial"/>
          <w:sz w:val="16"/>
          <w:szCs w:val="16"/>
          <w:color w:val="auto"/>
        </w:rPr>
        <w:t>2016 and 2015. We acquired 99 operating stores during the year ended December 31, 2016 and 171 stores during the year ended December 31, 2015.</w:t>
      </w:r>
    </w:p>
    <w:p>
      <w:pPr>
        <w:spacing w:after="0" w:line="115" w:lineRule="exact"/>
        <w:rPr>
          <w:sz w:val="20"/>
          <w:szCs w:val="20"/>
          <w:color w:val="auto"/>
        </w:rPr>
      </w:pPr>
    </w:p>
    <w:p>
      <w:pPr>
        <w:jc w:val="both"/>
        <w:ind w:right="180" w:firstLine="432"/>
        <w:spacing w:after="0" w:line="266" w:lineRule="auto"/>
        <w:rPr>
          <w:sz w:val="20"/>
          <w:szCs w:val="20"/>
          <w:color w:val="auto"/>
        </w:rPr>
      </w:pPr>
      <w:r>
        <w:rPr>
          <w:rFonts w:ascii="Arial" w:cs="Arial" w:eastAsia="Arial" w:hAnsi="Arial"/>
          <w:sz w:val="18"/>
          <w:szCs w:val="18"/>
          <w:b w:val="1"/>
          <w:bCs w:val="1"/>
          <w:color w:val="auto"/>
        </w:rPr>
        <w:t>Tenant Reinsurance</w:t>
      </w:r>
      <w:r>
        <w:rPr>
          <w:rFonts w:ascii="Arial" w:cs="Arial" w:eastAsia="Arial" w:hAnsi="Arial"/>
          <w:sz w:val="18"/>
          <w:szCs w:val="18"/>
          <w:color w:val="auto"/>
        </w:rPr>
        <w:t>—Tenant reinsurance expense represents the costs that are incurred to provide tenant reinsurance. The change is due primarily to</w:t>
      </w:r>
      <w:r>
        <w:rPr>
          <w:rFonts w:ascii="Arial" w:cs="Arial" w:eastAsia="Arial" w:hAnsi="Arial"/>
          <w:sz w:val="18"/>
          <w:szCs w:val="18"/>
          <w:b w:val="1"/>
          <w:bCs w:val="1"/>
          <w:color w:val="auto"/>
        </w:rPr>
        <w:t xml:space="preserve"> </w:t>
      </w:r>
      <w:r>
        <w:rPr>
          <w:rFonts w:ascii="Arial" w:cs="Arial" w:eastAsia="Arial" w:hAnsi="Arial"/>
          <w:sz w:val="18"/>
          <w:szCs w:val="18"/>
          <w:color w:val="auto"/>
        </w:rPr>
        <w:t>the increase in the number of stores we owned and/or managed. At December 31, 2016, we owned and/or managed 1,427 stores compared to 1,347 stores at December 31, 2015.</w:t>
      </w:r>
    </w:p>
    <w:p>
      <w:pPr>
        <w:spacing w:after="0" w:line="17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b w:val="1"/>
          <w:bCs w:val="1"/>
          <w:color w:val="auto"/>
        </w:rPr>
        <w:t>Acquisition Related Costs and Other—</w:t>
      </w:r>
      <w:r>
        <w:rPr>
          <w:rFonts w:ascii="Arial" w:cs="Arial" w:eastAsia="Arial" w:hAnsi="Arial"/>
          <w:sz w:val="18"/>
          <w:szCs w:val="18"/>
          <w:color w:val="auto"/>
        </w:rPr>
        <w:t>These costs relate primarily to acquisition activities during the periods indicated. The decrease in these</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for the year ended December 31, 2016 compared to the prior year was due to a decrease in the number of acquisitions. We acquired 99 properties during the year ended December 31, 2016 compared to 171 during the prior year. Included in the acquisitions completed in 2015 was the acquisition of SmartStop Self Storage Inc. ("SmartStop") on October 1, 2015. As part of this acquisition, we recorded an expense of $38,360 related to defeasance costs and prepayment penalties incurred related to the repayment of SmartStop's existing debt as of the acquisition date. We incurred $8,053 of professional fess/closing costs, $6,338 of severance-related costs, $1,327 of other payroll-related costs and $9,043 of other acquisition related costs as a result of the acquisition of SmartStop, for a total of $63,121.</w:t>
      </w:r>
    </w:p>
    <w:p>
      <w:pPr>
        <w:spacing w:after="0" w:line="18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b w:val="1"/>
          <w:bCs w:val="1"/>
          <w:color w:val="auto"/>
        </w:rPr>
        <w:t>General and Administrative—</w:t>
      </w:r>
      <w:r>
        <w:rPr>
          <w:rFonts w:ascii="Arial" w:cs="Arial" w:eastAsia="Arial" w:hAnsi="Arial"/>
          <w:sz w:val="18"/>
          <w:szCs w:val="18"/>
          <w:color w:val="auto"/>
        </w:rPr>
        <w:t>General and administrative expenses primarily include all expenses not directly related to our stores,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payroll, travel and professional fees. These expenses are recognized as incurred. General and administrative expenses for the year ended December 31, 2016 increased when compared to the same periods in the prior year primarily due to the overall cost associated with the management of additional stores. At December 31, 2016, we owned and/or managed 1,427 stores compared to 1,347 stores at December 31, 2015. Additionally, during 2016, we accrued a $4,000 expense related to the potential settlement of a legal action. We did not observe any material trends in specific payroll, travel or other expenses that contributed significantly to the increase in general and administrative expenses apart from the increase due to the management of additional stores.</w:t>
      </w:r>
    </w:p>
    <w:p>
      <w:pPr>
        <w:spacing w:after="0" w:line="187" w:lineRule="exact"/>
        <w:rPr>
          <w:sz w:val="20"/>
          <w:szCs w:val="20"/>
          <w:color w:val="auto"/>
        </w:rPr>
      </w:pPr>
    </w:p>
    <w:p>
      <w:pPr>
        <w:ind w:right="600" w:firstLine="432"/>
        <w:spacing w:after="0" w:line="312" w:lineRule="auto"/>
        <w:rPr>
          <w:sz w:val="20"/>
          <w:szCs w:val="20"/>
          <w:color w:val="auto"/>
        </w:rPr>
      </w:pPr>
      <w:r>
        <w:rPr>
          <w:rFonts w:ascii="Arial" w:cs="Arial" w:eastAsia="Arial" w:hAnsi="Arial"/>
          <w:sz w:val="17"/>
          <w:szCs w:val="17"/>
          <w:b w:val="1"/>
          <w:bCs w:val="1"/>
          <w:color w:val="auto"/>
        </w:rPr>
        <w:t>Depreciation and Amortization</w:t>
      </w:r>
      <w:r>
        <w:rPr>
          <w:rFonts w:ascii="Arial" w:cs="Arial" w:eastAsia="Arial" w:hAnsi="Arial"/>
          <w:sz w:val="17"/>
          <w:szCs w:val="17"/>
          <w:color w:val="auto"/>
        </w:rPr>
        <w:t>—Depreciation and amortization expense increased as a result of the acquisition of new stores. We acquired 99</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stores during the year ended December 31, 2016, and 171 operating stores during the year ended December 31, 2015.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012"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Other Income and Expenses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information on other revenues and expenses for the years indicated:</w:t>
      </w:r>
    </w:p>
    <w:p>
      <w:pPr>
        <w:spacing w:after="0" w:line="230" w:lineRule="exact"/>
        <w:rPr>
          <w:sz w:val="20"/>
          <w:szCs w:val="20"/>
          <w:color w:val="auto"/>
        </w:rPr>
      </w:pPr>
    </w:p>
    <w:p>
      <w:pPr>
        <w:ind w:left="698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4408170</wp:posOffset>
            </wp:positionH>
            <wp:positionV relativeFrom="paragraph">
              <wp:posOffset>23495</wp:posOffset>
            </wp:positionV>
            <wp:extent cx="13531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8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120" w:type="dxa"/>
            <w:vAlign w:val="bottom"/>
          </w:tcPr>
          <w:p>
            <w:pPr>
              <w:jc w:val="right"/>
              <w:ind w:right="160"/>
              <w:spacing w:after="0"/>
              <w:rPr>
                <w:sz w:val="20"/>
                <w:szCs w:val="20"/>
                <w:color w:val="auto"/>
              </w:rPr>
            </w:pPr>
            <w:r>
              <w:rPr>
                <w:rFonts w:ascii="Arial" w:cs="Arial" w:eastAsia="Arial" w:hAnsi="Arial"/>
                <w:sz w:val="14"/>
                <w:szCs w:val="14"/>
                <w:b w:val="1"/>
                <w:bCs w:val="1"/>
                <w:color w:val="auto"/>
              </w:rPr>
              <w:t>% Change</w:t>
            </w:r>
          </w:p>
        </w:tc>
      </w:tr>
      <w:tr>
        <w:trPr>
          <w:trHeight w:val="229"/>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Other income and expenses:</w:t>
            </w: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0"/>
        </w:trPr>
        <w:tc>
          <w:tcPr>
            <w:tcW w:w="6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Gain on real estate transactions, earnout from prior acquisition and sale of other 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6,964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464.0 %</w:t>
            </w:r>
          </w:p>
        </w:tc>
      </w:tr>
      <w:tr>
        <w:trPr>
          <w:trHeight w:val="243"/>
        </w:trPr>
        <w:tc>
          <w:tcPr>
            <w:tcW w:w="69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(133,479)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(95,682)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(37,797)</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39.5 %</w:t>
            </w: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8"/>
        </w:trPr>
        <w:tc>
          <w:tcPr>
            <w:tcW w:w="69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Non-cash interest expense related to amortization of discount on equity component of</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9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exchangeable senior notes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(1,670)</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50.5 %</w:t>
            </w:r>
          </w:p>
        </w:tc>
      </w:tr>
      <w:tr>
        <w:trPr>
          <w:trHeight w:val="243"/>
        </w:trPr>
        <w:tc>
          <w:tcPr>
            <w:tcW w:w="694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6,148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3,461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2,687</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77.6 %</w:t>
            </w: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Interest income on note receivable from Preferred Operating Partnership unit holder</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43"/>
        </w:trPr>
        <w:tc>
          <w:tcPr>
            <w:tcW w:w="6940" w:type="dxa"/>
            <w:vAlign w:val="bottom"/>
          </w:tcPr>
          <w:p>
            <w:pPr>
              <w:ind w:left="380"/>
              <w:spacing w:after="0"/>
              <w:rPr>
                <w:sz w:val="20"/>
                <w:szCs w:val="20"/>
                <w:color w:val="auto"/>
              </w:rPr>
            </w:pPr>
            <w:r>
              <w:rPr>
                <w:rFonts w:ascii="Arial" w:cs="Arial" w:eastAsia="Arial" w:hAnsi="Arial"/>
                <w:sz w:val="18"/>
                <w:szCs w:val="18"/>
                <w:color w:val="auto"/>
              </w:rPr>
              <w:t>Equity in earnings of unconsolidated real estate ventures</w:t>
            </w:r>
          </w:p>
        </w:tc>
        <w:tc>
          <w:tcPr>
            <w:tcW w:w="220" w:type="dxa"/>
            <w:vAlign w:val="bottom"/>
          </w:tcPr>
          <w:p>
            <w:pPr>
              <w:spacing w:after="0"/>
              <w:rPr>
                <w:sz w:val="21"/>
                <w:szCs w:val="21"/>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12,895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12,351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544</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4.4 %</w:t>
            </w: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8"/>
        </w:trPr>
        <w:tc>
          <w:tcPr>
            <w:tcW w:w="69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9"/>
              </w:rPr>
              <w:t>Equity in earnings of unconsolidated real estate ventures - gain on sale of real estate assets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9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and purchase of joint venture partners' interests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69,199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66,342</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2,322.1 %</w:t>
            </w:r>
          </w:p>
        </w:tc>
      </w:tr>
      <w:tr>
        <w:trPr>
          <w:trHeight w:val="243"/>
        </w:trPr>
        <w:tc>
          <w:tcPr>
            <w:tcW w:w="6940" w:type="dxa"/>
            <w:vAlign w:val="bottom"/>
          </w:tcPr>
          <w:p>
            <w:pPr>
              <w:ind w:left="38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(15,847)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(11,148)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(4,699)</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42.2 %</w:t>
            </w:r>
          </w:p>
        </w:tc>
      </w:tr>
      <w:tr>
        <w:trPr>
          <w:trHeight w:val="27"/>
        </w:trPr>
        <w:tc>
          <w:tcPr>
            <w:tcW w:w="6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69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(52,749)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32,371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right="60" w:firstLine="405"/>
        <w:spacing w:after="0" w:line="260" w:lineRule="auto"/>
        <w:rPr>
          <w:sz w:val="20"/>
          <w:szCs w:val="20"/>
          <w:color w:val="auto"/>
        </w:rPr>
      </w:pPr>
      <w:r>
        <w:rPr>
          <w:rFonts w:ascii="Arial" w:cs="Arial" w:eastAsia="Arial" w:hAnsi="Arial"/>
          <w:sz w:val="18"/>
          <w:szCs w:val="18"/>
          <w:b w:val="1"/>
          <w:bCs w:val="1"/>
          <w:color w:val="auto"/>
        </w:rPr>
        <w:t xml:space="preserve">Gain on Real Estate Transactions, Earnout from Prior Acquisition and Sale of Other Assets— </w:t>
      </w:r>
      <w:r>
        <w:rPr>
          <w:rFonts w:ascii="Arial" w:cs="Arial" w:eastAsia="Arial" w:hAnsi="Arial"/>
          <w:sz w:val="18"/>
          <w:szCs w:val="18"/>
          <w:color w:val="auto"/>
        </w:rPr>
        <w:t>During the year ended December 31, 2016,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transactions, we sold a total of nine stores located in Indiana, Ohio and Texas. We received a total of $22,002 in cash and 85,452 of our OP Units valued at $7,689 in exchange for these stores. The Operating Partnership has canceled the OP Units received. We recognized a total gain of $11,358 related to these dispositions.</w:t>
      </w:r>
    </w:p>
    <w:p>
      <w:pPr>
        <w:spacing w:after="0" w:line="186"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During 2014, we acquired a portfolio of five stores. As part of this acquisition, we agreed to make an additional cash payment to the sellers if the acquired stores exceeded a specified amount of net operating income for the years ending December 31, 2015 and 2016. At the acquisition date, we recorded an estimated liability related to this provision. As the operating income of these stores during the earnout period was higher than originally estimated, an additional payment was due to the sellers of $4,284, which was recorded as a loss during 2016.</w:t>
      </w:r>
    </w:p>
    <w:p>
      <w:pPr>
        <w:spacing w:after="0" w:line="186"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2011, we acquired a single store in Florida. As part of the acquisition, we agreed to make an additional cash payment to the sellers if the acquired store exceeded a specified amount of net rental income for the period of 12 consecutive months ending June 30, 2015. During 2014, we recorded a liability of $2,500 as an estimate of the payment that would become due. The $400 gain recorded during 2015 represents the adjustment needed to true up the existing liability to the amount owed to the sellers as of June 30, 2015.</w:t>
      </w:r>
    </w:p>
    <w:p>
      <w:pPr>
        <w:spacing w:after="0" w:line="186" w:lineRule="exact"/>
        <w:rPr>
          <w:sz w:val="20"/>
          <w:szCs w:val="20"/>
          <w:color w:val="auto"/>
        </w:rPr>
      </w:pPr>
    </w:p>
    <w:p>
      <w:pPr>
        <w:jc w:val="both"/>
        <w:ind w:right="260" w:firstLine="405"/>
        <w:spacing w:after="0" w:line="277" w:lineRule="auto"/>
        <w:rPr>
          <w:sz w:val="20"/>
          <w:szCs w:val="20"/>
          <w:color w:val="auto"/>
        </w:rPr>
      </w:pPr>
      <w:r>
        <w:rPr>
          <w:rFonts w:ascii="Arial" w:cs="Arial" w:eastAsia="Arial" w:hAnsi="Arial"/>
          <w:sz w:val="18"/>
          <w:szCs w:val="18"/>
          <w:color w:val="auto"/>
        </w:rPr>
        <w:t>During 2015, we determined that one of our acquisitions was purchased at below its market value, and therefore recorded a $1,101 gain at the time of the acquisition, which represents the excess of the fair value of the store acquired over the consideration paid.</w:t>
      </w:r>
    </w:p>
    <w:p>
      <w:pPr>
        <w:spacing w:after="0" w:line="166" w:lineRule="exact"/>
        <w:rPr>
          <w:sz w:val="20"/>
          <w:szCs w:val="20"/>
          <w:color w:val="auto"/>
        </w:rPr>
      </w:pPr>
    </w:p>
    <w:p>
      <w:pPr>
        <w:jc w:val="both"/>
        <w:ind w:right="260" w:firstLine="405"/>
        <w:spacing w:after="0" w:line="266" w:lineRule="auto"/>
        <w:rPr>
          <w:sz w:val="20"/>
          <w:szCs w:val="20"/>
          <w:color w:val="auto"/>
        </w:rPr>
      </w:pPr>
      <w:r>
        <w:rPr>
          <w:rFonts w:ascii="Arial" w:cs="Arial" w:eastAsia="Arial" w:hAnsi="Arial"/>
          <w:sz w:val="18"/>
          <w:szCs w:val="18"/>
          <w:b w:val="1"/>
          <w:bCs w:val="1"/>
          <w:color w:val="auto"/>
        </w:rPr>
        <w:t>Interest Expense—</w:t>
      </w:r>
      <w:r>
        <w:rPr>
          <w:rFonts w:ascii="Arial" w:cs="Arial" w:eastAsia="Arial" w:hAnsi="Arial"/>
          <w:sz w:val="18"/>
          <w:szCs w:val="18"/>
          <w:color w:val="auto"/>
        </w:rPr>
        <w:t>The increase in interest expense during the year ended December 31, 2016 was primarily the result of higher debt balances when</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prior year. The total face value of our debt, including our lines of credit, was $4,363,697 at December 31, 2016 compared to $3,598,254 at December 31, 2015.</w:t>
      </w:r>
    </w:p>
    <w:p>
      <w:pPr>
        <w:spacing w:after="0" w:line="175"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b w:val="1"/>
          <w:bCs w:val="1"/>
          <w:color w:val="auto"/>
        </w:rPr>
        <w:t>Non-cash Interest Expense Related to Amortization of Discount on Equity Component of Exchangeable Senior Notes—</w:t>
      </w:r>
      <w:r>
        <w:rPr>
          <w:rFonts w:ascii="Arial" w:cs="Arial" w:eastAsia="Arial" w:hAnsi="Arial"/>
          <w:sz w:val="18"/>
          <w:szCs w:val="18"/>
          <w:color w:val="auto"/>
        </w:rPr>
        <w:t>Represents the</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of the discounts related to the equity components of the exchangeable senior notes issued by our Operating Partnership. Our Operating Partnership has issued and outstanding 2.375% Exchangeable Senior Notes due 2033 (the "2013 Notes") and 3.125% Exchangeable Senior Notes due 2035 (the "2015 Notes.") The 2013 Notes and the 2015 Notes both have an effective interest rate of 4.0% relative to the carrying amount of the liability. The increase for the year ended December 31, 2016 when compared to the same period in the prior year is due to the issuance of $575,000 principal amount of the 2015 Notes in September 2015 and related discount of $22,597.</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19" w:right="239" w:bottom="1440" w:gutter="0" w:footer="0" w:header="0"/>
        </w:sectPr>
      </w:pPr>
    </w:p>
    <w:bookmarkStart w:id="30" w:name="page31"/>
    <w:bookmarkEnd w:id="30"/>
    <w:p>
      <w:pPr>
        <w:ind w:right="140" w:firstLine="405"/>
        <w:spacing w:after="0" w:line="258" w:lineRule="auto"/>
        <w:rPr>
          <w:sz w:val="20"/>
          <w:szCs w:val="20"/>
          <w:color w:val="auto"/>
        </w:rPr>
      </w:pPr>
      <w:r>
        <w:rPr>
          <w:rFonts w:ascii="Arial" w:cs="Arial" w:eastAsia="Arial" w:hAnsi="Arial"/>
          <w:sz w:val="18"/>
          <w:szCs w:val="18"/>
          <w:b w:val="1"/>
          <w:bCs w:val="1"/>
          <w:color w:val="auto"/>
        </w:rPr>
        <w:t>Interest Income—</w:t>
      </w:r>
      <w:r>
        <w:rPr>
          <w:rFonts w:ascii="Arial" w:cs="Arial" w:eastAsia="Arial" w:hAnsi="Arial"/>
          <w:sz w:val="18"/>
          <w:szCs w:val="18"/>
          <w:color w:val="auto"/>
        </w:rPr>
        <w:t>Interest income represents amounts earned on cash and cash equivalents deposited with financial institutions and interest earned on</w:t>
      </w:r>
      <w:r>
        <w:rPr>
          <w:rFonts w:ascii="Arial" w:cs="Arial" w:eastAsia="Arial" w:hAnsi="Arial"/>
          <w:sz w:val="18"/>
          <w:szCs w:val="18"/>
          <w:b w:val="1"/>
          <w:bCs w:val="1"/>
          <w:color w:val="auto"/>
        </w:rPr>
        <w:t xml:space="preserve"> </w:t>
      </w:r>
      <w:r>
        <w:rPr>
          <w:rFonts w:ascii="Arial" w:cs="Arial" w:eastAsia="Arial" w:hAnsi="Arial"/>
          <w:sz w:val="18"/>
          <w:szCs w:val="18"/>
          <w:color w:val="auto"/>
        </w:rPr>
        <w:t>notes receivable. The increase for the year ended December 31, 2016 is related primarily to the increase in the average notes receivable balances outstanding when compared to the prior year. The majority of the increase in interest income related to the $84,331 of notes receivable issued in conjunction with the acquisition of SmartStop in October 2015. These notes have a 7.0% interest rate which increases to 9.0% in February 2017. As of December 31, 2016, the remaining principal balance was $52,201.</w:t>
      </w:r>
    </w:p>
    <w:p>
      <w:pPr>
        <w:spacing w:after="0" w:line="182" w:lineRule="exact"/>
        <w:rPr>
          <w:sz w:val="20"/>
          <w:szCs w:val="20"/>
          <w:color w:val="auto"/>
        </w:rPr>
      </w:pPr>
    </w:p>
    <w:p>
      <w:pPr>
        <w:ind w:right="160" w:firstLine="432"/>
        <w:spacing w:after="0" w:line="281" w:lineRule="auto"/>
        <w:rPr>
          <w:sz w:val="20"/>
          <w:szCs w:val="20"/>
          <w:color w:val="auto"/>
        </w:rPr>
      </w:pPr>
      <w:r>
        <w:rPr>
          <w:rFonts w:ascii="Arial" w:cs="Arial" w:eastAsia="Arial" w:hAnsi="Arial"/>
          <w:sz w:val="18"/>
          <w:szCs w:val="18"/>
          <w:b w:val="1"/>
          <w:bCs w:val="1"/>
          <w:color w:val="auto"/>
        </w:rPr>
        <w:t>Interest Income on Note Receivable from Preferred Operating Partnership Unit Holder</w:t>
      </w:r>
      <w:r>
        <w:rPr>
          <w:rFonts w:ascii="Arial" w:cs="Arial" w:eastAsia="Arial" w:hAnsi="Arial"/>
          <w:sz w:val="18"/>
          <w:szCs w:val="18"/>
          <w:color w:val="auto"/>
        </w:rPr>
        <w:t>—Represents interest on a $100,000 loan to the holder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Operating Partnership’s Series A Participating Redeemable Preferred Units (the “Series A Units”).</w:t>
      </w:r>
    </w:p>
    <w:p>
      <w:pPr>
        <w:spacing w:after="0" w:line="163"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b w:val="1"/>
          <w:bCs w:val="1"/>
          <w:color w:val="auto"/>
        </w:rPr>
        <w:t>Equity in Earnings of Unconsolidated Real Estate Ventures—</w:t>
      </w:r>
      <w:r>
        <w:rPr>
          <w:rFonts w:ascii="Arial" w:cs="Arial" w:eastAsia="Arial" w:hAnsi="Arial"/>
          <w:sz w:val="18"/>
          <w:szCs w:val="18"/>
          <w:color w:val="auto"/>
        </w:rPr>
        <w:t>Equity in earnings of unconsolidated real estate ventures represents the income earned</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our ownership interests in unconsolidated joint ventures. The increase for the year ended December 31, 2016 compared to the same period in the prior year was primarily the result of an increase in our ownership interest from 2.0% to approximately 4.0% in the ESS PRISA LLC ("PRISA") joint venture and from 2.0% to approximately 4.4% in the ESS PRISA II LLC ("PRISA II") joint venture, as well as an increase in revenue at the stores owned by our joint ventures. These increases were offset by an overall decrease in the number of stores owned by our joint ventures, primarily due to our acquisition of 40 of these stores as noted below.</w:t>
      </w:r>
    </w:p>
    <w:p>
      <w:pPr>
        <w:spacing w:after="0" w:line="190" w:lineRule="exact"/>
        <w:rPr>
          <w:sz w:val="20"/>
          <w:szCs w:val="20"/>
          <w:color w:val="auto"/>
        </w:rPr>
      </w:pPr>
    </w:p>
    <w:p>
      <w:pPr>
        <w:ind w:right="280" w:firstLine="405"/>
        <w:spacing w:after="0" w:line="296" w:lineRule="auto"/>
        <w:rPr>
          <w:sz w:val="20"/>
          <w:szCs w:val="20"/>
          <w:color w:val="auto"/>
        </w:rPr>
      </w:pPr>
      <w:r>
        <w:rPr>
          <w:rFonts w:ascii="Arial" w:cs="Arial" w:eastAsia="Arial" w:hAnsi="Arial"/>
          <w:sz w:val="16"/>
          <w:szCs w:val="16"/>
          <w:color w:val="auto"/>
        </w:rPr>
        <w:t>On April 25, 2016, we and affiliates of Prudential Financial, Inc. ("Prudential") entered into the “Second Amendment to Amended and Restated Operating Agreement of ESS PRISA LLC” and the “First Amendment to Amended and Restated Operating Agreement of ESS PRISA II LLC” (the “Amendments”). The Amendments are deemed effective as of April 1, 2016. Under the Amendments, we gave up any future rights to receive distributions from these joint ventures at the higher “excess profit participation” percentage of 17.0% in exchange for a higher equity ownership percentage. Our equity ownership in ESS PRISA LLC increased from 2.0% to 4.0%, and our equity ownership in ESS PRISA II LLC increased from 2.0% to 4.4%.</w:t>
      </w:r>
    </w:p>
    <w:p>
      <w:pPr>
        <w:spacing w:after="0" w:line="156"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b w:val="1"/>
          <w:bCs w:val="1"/>
          <w:color w:val="auto"/>
        </w:rPr>
        <w:t>Equity in Earnings of Unconsolidated Real Estate Ventures—Gain on Sale of Real Estate Assets and Purchase of Joint Venture Partners’ Interests—</w:t>
      </w:r>
      <w:r>
        <w:rPr>
          <w:rFonts w:ascii="Arial" w:cs="Arial" w:eastAsia="Arial" w:hAnsi="Arial"/>
          <w:sz w:val="17"/>
          <w:szCs w:val="17"/>
          <w:color w:val="auto"/>
        </w:rPr>
        <w:t>On November 17, 2016, we acquired 11 stores from our ESS WCOT LLC joint venture ("WCOT") in a step acquisition. We owned 5.0% of</w:t>
      </w:r>
      <w:r>
        <w:rPr>
          <w:rFonts w:ascii="Arial" w:cs="Arial" w:eastAsia="Arial" w:hAnsi="Arial"/>
          <w:sz w:val="17"/>
          <w:szCs w:val="17"/>
          <w:b w:val="1"/>
          <w:bCs w:val="1"/>
          <w:color w:val="auto"/>
        </w:rPr>
        <w:t xml:space="preserve"> </w:t>
      </w:r>
      <w:r>
        <w:rPr>
          <w:rFonts w:ascii="Arial" w:cs="Arial" w:eastAsia="Arial" w:hAnsi="Arial"/>
          <w:sz w:val="17"/>
          <w:szCs w:val="17"/>
          <w:color w:val="auto"/>
        </w:rPr>
        <w:t>WCOT, with the other 95.0% owned by affiliates of Prudential. WCOT created a new subsidiary, Extra Space Storage 132 LLC ("ESS 132"), and transferred 11 stores into ESS 132. WCOT then distributed ESS 132 to Prudential and us on a pro rata basis. This distribution was accounted for as a spinoff, and was therefore recorded at the net carrying amount of the properties of $68,814 . Immediately after the distribution, we acquired Prudential's 95.0% interest in ESS 132 for $153,304, resulting in 100% ownership of ESS 132 and the related 11 stores. Based on the purchase price of Prudential's share of ESS 132, we determined that the fair value of our investment in ESS 132 immediately prior to the acquisition of Prudential's share was $8,119, and we recorded a gain of $4,651 as a result of re-measuring to fair value our existing equity interest in ESS 132.</w:t>
      </w:r>
    </w:p>
    <w:p>
      <w:pPr>
        <w:spacing w:after="0" w:line="181"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On September 16, 2016, we acquired 23 stores from PRISA II in a step acquisition. We owned 4.4% of PRISA II, with the other 95.6% owned by affiliates of Prudential. PRISA II created a new subsidiary, Extra Space Properties 131 LLC ("ESP 131"), and transferred 23 stores into ESP 131. PRISA II then distributed ESP 131 to Prudential and us on a pro rata basis. This distribution was accounted for as a spinoff, and was therefore recorded at the net carrying amount of the properties of $4,326. Immediately after the distribution, we acquired Prudential's 95.6% interest in ESP 131 for $238,679, resulting in 100% ownership of ESP 131 and the related 23 stores. Based on the purchase price of Prudential's share of ESP 131, we determined that the fair value of our investment in ESP 131 immediately prior to the acquisition of Prudential's share was $10,988, and we recorded a gain of $6,778 as a result of re-measuring to fair value our existing equity interest in ESP 131. Subsequent to these transactions, PRISA II owned 42 stores. We then sold our remaining interest in PRISA II to Prudential for $34,758 in cash. As a result of this sale, we recognized a gain of $30,846.</w:t>
      </w:r>
    </w:p>
    <w:p>
      <w:pPr>
        <w:spacing w:after="0" w:line="177" w:lineRule="exact"/>
        <w:rPr>
          <w:sz w:val="20"/>
          <w:szCs w:val="20"/>
          <w:color w:val="auto"/>
        </w:rPr>
      </w:pPr>
    </w:p>
    <w:p>
      <w:pPr>
        <w:ind w:right="220" w:firstLine="405"/>
        <w:spacing w:after="0" w:line="290" w:lineRule="auto"/>
        <w:rPr>
          <w:sz w:val="20"/>
          <w:szCs w:val="20"/>
          <w:color w:val="auto"/>
        </w:rPr>
      </w:pPr>
      <w:r>
        <w:rPr>
          <w:rFonts w:ascii="Arial" w:cs="Arial" w:eastAsia="Arial" w:hAnsi="Arial"/>
          <w:sz w:val="16"/>
          <w:szCs w:val="16"/>
          <w:color w:val="auto"/>
        </w:rPr>
        <w:t>On February 2, 2016, we acquired six stores from our VRS Self Storage LLC joint venture (“VRS”) in a step acquisition. We owned 45.0% of VRS, with the other 55.0% owned by Prudential. VRS created a new subsidiary, Extra Space Properties 122 LLC (“ESP 122”) and transferred six stores into ESP</w:t>
      </w:r>
    </w:p>
    <w:p>
      <w:pPr>
        <w:spacing w:after="0" w:line="1" w:lineRule="exact"/>
        <w:rPr>
          <w:sz w:val="20"/>
          <w:szCs w:val="20"/>
          <w:color w:val="auto"/>
        </w:rPr>
      </w:pPr>
    </w:p>
    <w:p>
      <w:pPr>
        <w:ind w:right="40" w:firstLine="8"/>
        <w:spacing w:after="0" w:line="252" w:lineRule="auto"/>
        <w:tabs>
          <w:tab w:leader="none" w:pos="359" w:val="left"/>
        </w:tabs>
        <w:numPr>
          <w:ilvl w:val="0"/>
          <w:numId w:val="17"/>
        </w:numPr>
        <w:rPr>
          <w:rFonts w:ascii="Arial" w:cs="Arial" w:eastAsia="Arial" w:hAnsi="Arial"/>
          <w:sz w:val="18"/>
          <w:szCs w:val="18"/>
          <w:color w:val="auto"/>
        </w:rPr>
      </w:pPr>
      <w:r>
        <w:rPr>
          <w:rFonts w:ascii="Arial" w:cs="Arial" w:eastAsia="Arial" w:hAnsi="Arial"/>
          <w:sz w:val="18"/>
          <w:szCs w:val="18"/>
          <w:color w:val="auto"/>
        </w:rPr>
        <w:t>VRS then distributed ESP 122 to Prudential and us on a pro rata basis. This distribution was accounted for as a spinoff, and was therefore recorded at the net carrying amount of the properties of $17,261, Immediately after the distribution, we acquired Prudential’s 55.0% interest in ESP 122 for $53,940, resulting in 100% ownership of ESP 122 and the related six stores. Based on the purchase price of Prudential’s share of ESP 122, we determined that the fair value of our investment in ESP 122 immediately prior to the acquisition of Prudential’s share was $44,184, and we recorded a gain of $26,923 as a result of re-measuring to fair value our existing equity interest in ESP 122.</w:t>
      </w:r>
    </w:p>
    <w:p>
      <w:pPr>
        <w:spacing w:after="0" w:line="194"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In March 2015, one of our joint ventures sold a store located in New York to a third party and recognized a gain of $60,495. We recognized our 2.0% share of this gain, or $1,228.</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96" w:right="239" w:bottom="1440" w:gutter="0" w:footer="0" w:header="0"/>
        </w:sectPr>
      </w:pPr>
    </w:p>
    <w:bookmarkStart w:id="31" w:name="page32"/>
    <w:bookmarkEnd w:id="31"/>
    <w:p>
      <w:pPr>
        <w:ind w:right="300" w:firstLine="405"/>
        <w:spacing w:after="0" w:line="259" w:lineRule="auto"/>
        <w:rPr>
          <w:sz w:val="20"/>
          <w:szCs w:val="20"/>
          <w:color w:val="auto"/>
        </w:rPr>
      </w:pPr>
      <w:r>
        <w:rPr>
          <w:rFonts w:ascii="Arial" w:cs="Arial" w:eastAsia="Arial" w:hAnsi="Arial"/>
          <w:sz w:val="18"/>
          <w:szCs w:val="18"/>
          <w:color w:val="auto"/>
        </w:rPr>
        <w:t>In March 2015 we acquired a joint venture partner’s 82.4% equity interest in an existing joint venture which had one store. We previously held the remaining 17.6% equity interest in this joint venture. Prior to the acquisition, we accounted for our equity interest in this joint venture as an equity-method investment. We recognized a non-cash gain of $1,629 as a result of re-measuring the fair value of our equity interest in this joint venture held before the acquisition.</w:t>
      </w:r>
    </w:p>
    <w:p>
      <w:pPr>
        <w:spacing w:after="0" w:line="182" w:lineRule="exact"/>
        <w:rPr>
          <w:sz w:val="20"/>
          <w:szCs w:val="20"/>
          <w:color w:val="auto"/>
        </w:rPr>
      </w:pPr>
    </w:p>
    <w:p>
      <w:pPr>
        <w:ind w:right="420" w:firstLine="405"/>
        <w:spacing w:after="0" w:line="281" w:lineRule="auto"/>
        <w:rPr>
          <w:sz w:val="20"/>
          <w:szCs w:val="20"/>
          <w:color w:val="auto"/>
        </w:rPr>
      </w:pPr>
      <w:r>
        <w:rPr>
          <w:rFonts w:ascii="Arial" w:cs="Arial" w:eastAsia="Arial" w:hAnsi="Arial"/>
          <w:sz w:val="18"/>
          <w:szCs w:val="18"/>
          <w:b w:val="1"/>
          <w:bCs w:val="1"/>
          <w:color w:val="auto"/>
        </w:rPr>
        <w:t>Income Tax Expense</w:t>
      </w:r>
      <w:r>
        <w:rPr>
          <w:rFonts w:ascii="Arial" w:cs="Arial" w:eastAsia="Arial" w:hAnsi="Arial"/>
          <w:sz w:val="18"/>
          <w:szCs w:val="18"/>
          <w:color w:val="auto"/>
        </w:rPr>
        <w:t>—Income tax expense is the result of income earned by our TRS which includes income from our management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reinsurance activities.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Allocated to Noncontrolling Interests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information on net income allocated to noncontrolling interests for the years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260" w:type="dxa"/>
            <w:vAlign w:val="bottom"/>
            <w:gridSpan w:val="6"/>
          </w:tcPr>
          <w:p>
            <w:pPr>
              <w:ind w:left="40"/>
              <w:spacing w:after="0"/>
              <w:rPr>
                <w:sz w:val="20"/>
                <w:szCs w:val="20"/>
                <w:color w:val="auto"/>
              </w:rPr>
            </w:pPr>
            <w:r>
              <w:rPr>
                <w:rFonts w:ascii="Arial" w:cs="Arial" w:eastAsia="Arial" w:hAnsi="Arial"/>
                <w:sz w:val="14"/>
                <w:szCs w:val="14"/>
                <w:b w:val="1"/>
                <w:bCs w:val="1"/>
                <w:color w:val="auto"/>
                <w:w w:val="98"/>
              </w:rPr>
              <w:t>For the Year Ended December 31,</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63"/>
        </w:trPr>
        <w:tc>
          <w:tcPr>
            <w:tcW w:w="69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060" w:type="dxa"/>
            <w:vAlign w:val="bottom"/>
          </w:tcPr>
          <w:p>
            <w:pPr>
              <w:jc w:val="right"/>
              <w:ind w:right="121"/>
              <w:spacing w:after="0"/>
              <w:rPr>
                <w:sz w:val="20"/>
                <w:szCs w:val="20"/>
                <w:color w:val="auto"/>
              </w:rPr>
            </w:pPr>
            <w:r>
              <w:rPr>
                <w:rFonts w:ascii="Arial" w:cs="Arial" w:eastAsia="Arial" w:hAnsi="Arial"/>
                <w:sz w:val="14"/>
                <w:szCs w:val="14"/>
                <w:b w:val="1"/>
                <w:bCs w:val="1"/>
                <w:color w:val="auto"/>
              </w:rPr>
              <w:t>% Change</w:t>
            </w:r>
          </w:p>
        </w:tc>
      </w:tr>
      <w:tr>
        <w:trPr>
          <w:trHeight w:val="229"/>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Net income allocated to noncontrolling interests:</w:t>
            </w: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40"/>
        </w:trPr>
        <w:tc>
          <w:tcPr>
            <w:tcW w:w="6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allocated to Preferred Operating Partnership noncontrolling interests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w:t>
            </w: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Net income allocated to Operating Partnership and other noncontrolling interests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(16,262)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(8,344)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(7,918)</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94.9%</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6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income allocated to noncontrolling interests: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(10,900)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40" w:firstLine="405"/>
        <w:spacing w:after="0" w:line="294" w:lineRule="auto"/>
        <w:rPr>
          <w:sz w:val="20"/>
          <w:szCs w:val="20"/>
          <w:color w:val="auto"/>
        </w:rPr>
      </w:pPr>
      <w:r>
        <w:rPr>
          <w:rFonts w:ascii="Arial" w:cs="Arial" w:eastAsia="Arial" w:hAnsi="Arial"/>
          <w:sz w:val="16"/>
          <w:szCs w:val="16"/>
          <w:b w:val="1"/>
          <w:bCs w:val="1"/>
          <w:color w:val="auto"/>
        </w:rPr>
        <w:t>Net Income Allocated to Preferred Operating Partnership Noncontrolling Interests—</w:t>
      </w:r>
      <w:r>
        <w:rPr>
          <w:rFonts w:ascii="Arial" w:cs="Arial" w:eastAsia="Arial" w:hAnsi="Arial"/>
          <w:sz w:val="16"/>
          <w:szCs w:val="16"/>
          <w:color w:val="auto"/>
        </w:rPr>
        <w:t>Income allocated to the Preferred Operating Partnership</w:t>
      </w:r>
      <w:r>
        <w:rPr>
          <w:rFonts w:ascii="Arial" w:cs="Arial" w:eastAsia="Arial" w:hAnsi="Arial"/>
          <w:sz w:val="16"/>
          <w:szCs w:val="16"/>
          <w:b w:val="1"/>
          <w:bCs w:val="1"/>
          <w:color w:val="auto"/>
        </w:rPr>
        <w:t xml:space="preserve"> </w:t>
      </w:r>
      <w:r>
        <w:rPr>
          <w:rFonts w:ascii="Arial" w:cs="Arial" w:eastAsia="Arial" w:hAnsi="Arial"/>
          <w:sz w:val="16"/>
          <w:szCs w:val="16"/>
          <w:color w:val="auto"/>
        </w:rPr>
        <w:t>noncontrolling interests for the year ended December 31, 2016 represents the fixed distributions paid to the preferred unit holders as follows: the Series A Redeemable Preferred Units (“Series A Units”) receive distributions at an annual rate of 5.0%, plus approximately 0.70% of net income after the allocation of the fixed distributions, the Series B Redeemable Preferred Units (“Series B Units”) receive distributions at an annual rate of 6.0%, the Series C Convertible Redeemable Preferred Units (“Series C Units”) receive, from issuance until the fifth anniversary of issuance, an annual rate of $0.18 plus the then-payable quarterly distribution per OP Unit, and the Series D Redeemable Preferred Units (“Series D Units”) receive distributions at an annual rate of 5.0%.</w:t>
      </w:r>
    </w:p>
    <w:p>
      <w:pPr>
        <w:spacing w:after="0" w:line="159" w:lineRule="exact"/>
        <w:rPr>
          <w:sz w:val="20"/>
          <w:szCs w:val="20"/>
          <w:color w:val="auto"/>
        </w:rPr>
      </w:pPr>
    </w:p>
    <w:p>
      <w:pPr>
        <w:ind w:right="60" w:firstLine="405"/>
        <w:spacing w:after="0" w:line="266" w:lineRule="auto"/>
        <w:rPr>
          <w:sz w:val="20"/>
          <w:szCs w:val="20"/>
          <w:color w:val="auto"/>
        </w:rPr>
      </w:pPr>
      <w:r>
        <w:rPr>
          <w:rFonts w:ascii="Arial" w:cs="Arial" w:eastAsia="Arial" w:hAnsi="Arial"/>
          <w:sz w:val="18"/>
          <w:szCs w:val="18"/>
          <w:b w:val="1"/>
          <w:bCs w:val="1"/>
          <w:color w:val="auto"/>
        </w:rPr>
        <w:t>Net Income Allocated to Operating Partnership and Other Noncontrolling Interests—</w:t>
      </w:r>
      <w:r>
        <w:rPr>
          <w:rFonts w:ascii="Arial" w:cs="Arial" w:eastAsia="Arial" w:hAnsi="Arial"/>
          <w:sz w:val="18"/>
          <w:szCs w:val="18"/>
          <w:color w:val="auto"/>
        </w:rPr>
        <w:t>Income allocated to the Operating Partnership represents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4.2% and 4.2% of net income after the allocation of the fixed distribution paid to the Preferred Operating Partnership unit holders for the years ended December 31, 2016 and 2015, respectively.</w:t>
      </w:r>
    </w:p>
    <w:p>
      <w:pPr>
        <w:spacing w:after="0" w:line="287" w:lineRule="exact"/>
        <w:rPr>
          <w:sz w:val="20"/>
          <w:szCs w:val="20"/>
          <w:color w:val="auto"/>
        </w:rPr>
      </w:pPr>
    </w:p>
    <w:p>
      <w:pPr>
        <w:ind w:right="4840"/>
        <w:spacing w:after="0" w:line="375" w:lineRule="auto"/>
        <w:rPr>
          <w:sz w:val="20"/>
          <w:szCs w:val="20"/>
          <w:color w:val="auto"/>
        </w:rPr>
      </w:pPr>
      <w:r>
        <w:rPr>
          <w:rFonts w:ascii="Arial" w:cs="Arial" w:eastAsia="Arial" w:hAnsi="Arial"/>
          <w:sz w:val="18"/>
          <w:szCs w:val="18"/>
          <w:b w:val="1"/>
          <w:bCs w:val="1"/>
          <w:i w:val="1"/>
          <w:iCs w:val="1"/>
          <w:color w:val="auto"/>
        </w:rPr>
        <w:t xml:space="preserve">Comparison of the Year Ended December 31, 2015 to the Year Ended December 31, 2014 </w:t>
      </w:r>
      <w:r>
        <w:rPr>
          <w:rFonts w:ascii="Arial" w:cs="Arial" w:eastAsia="Arial" w:hAnsi="Arial"/>
          <w:sz w:val="18"/>
          <w:szCs w:val="18"/>
          <w:b w:val="1"/>
          <w:bCs w:val="1"/>
          <w:color w:val="auto"/>
        </w:rPr>
        <w:t>Overview</w:t>
      </w:r>
    </w:p>
    <w:p>
      <w:pPr>
        <w:spacing w:after="0" w:line="1" w:lineRule="exact"/>
        <w:rPr>
          <w:sz w:val="20"/>
          <w:szCs w:val="20"/>
          <w:color w:val="auto"/>
        </w:rPr>
      </w:pPr>
    </w:p>
    <w:p>
      <w:pPr>
        <w:jc w:val="both"/>
        <w:ind w:right="180" w:firstLine="432"/>
        <w:spacing w:after="0" w:line="286" w:lineRule="auto"/>
        <w:rPr>
          <w:sz w:val="20"/>
          <w:szCs w:val="20"/>
          <w:color w:val="auto"/>
        </w:rPr>
      </w:pPr>
      <w:r>
        <w:rPr>
          <w:rFonts w:ascii="Arial" w:cs="Arial" w:eastAsia="Arial" w:hAnsi="Arial"/>
          <w:sz w:val="17"/>
          <w:szCs w:val="17"/>
          <w:color w:val="auto"/>
        </w:rPr>
        <w:t>Results for the year ended December 31, 2015, included the operations of 999 stores (747 of which were consolidated and 252 of which were in joint ventures accounted for using the equity method) compared to the results for the year ended December 31, 2014, which included the operations of 828 stores (576 of which were consolidated and 252 of which were in joint ventures accounted for using the equity method).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information on revenues earned for the years indicated:</w:t>
      </w:r>
    </w:p>
    <w:p>
      <w:pPr>
        <w:spacing w:after="0" w:line="162"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For the Year Ended</w:t>
      </w:r>
    </w:p>
    <w:p>
      <w:pPr>
        <w:spacing w:after="0" w:line="3"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3234055</wp:posOffset>
            </wp:positionH>
            <wp:positionV relativeFrom="paragraph">
              <wp:posOffset>13335</wp:posOffset>
            </wp:positionV>
            <wp:extent cx="19532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53260" cy="8255"/>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54"/>
              <w:spacing w:after="0"/>
              <w:rPr>
                <w:sz w:val="20"/>
                <w:szCs w:val="20"/>
                <w:color w:val="auto"/>
              </w:rPr>
            </w:pPr>
            <w:r>
              <w:rPr>
                <w:rFonts w:ascii="Arial" w:cs="Arial" w:eastAsia="Arial" w:hAnsi="Arial"/>
                <w:sz w:val="14"/>
                <w:szCs w:val="14"/>
                <w:b w:val="1"/>
                <w:bCs w:val="1"/>
                <w:color w:val="auto"/>
              </w:rPr>
              <w:t>% Change</w:t>
            </w:r>
          </w:p>
        </w:tc>
      </w:tr>
      <w:tr>
        <w:trPr>
          <w:trHeight w:val="229"/>
        </w:trPr>
        <w:tc>
          <w:tcPr>
            <w:tcW w:w="51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40"/>
        </w:trPr>
        <w:tc>
          <w:tcPr>
            <w:tcW w:w="5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rental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676,138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559,868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116,270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Tenant reinsurance</w:t>
            </w: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71,971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59,072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12,899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7"/>
        </w:trPr>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fees and other income</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34,161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28,215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5,946</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36"/>
        </w:trPr>
        <w:tc>
          <w:tcPr>
            <w:tcW w:w="5100" w:type="dxa"/>
            <w:vAlign w:val="bottom"/>
          </w:tcPr>
          <w:p>
            <w:pPr>
              <w:ind w:left="70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782,270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647,155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135,115</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r>
      <w:tr>
        <w:trPr>
          <w:trHeight w:val="27"/>
        </w:trPr>
        <w:tc>
          <w:tcPr>
            <w:tcW w:w="5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5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439"/>
        </w:trPr>
        <w:tc>
          <w:tcPr>
            <w:tcW w:w="5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69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1015" w:right="239" w:bottom="1440" w:gutter="0" w:footer="0" w:header="0"/>
        </w:sectPr>
      </w:pPr>
    </w:p>
    <w:bookmarkStart w:id="32" w:name="page33"/>
    <w:bookmarkEnd w:id="32"/>
    <w:p>
      <w:pPr>
        <w:ind w:right="120" w:firstLine="432"/>
        <w:spacing w:after="0" w:line="274" w:lineRule="auto"/>
        <w:rPr>
          <w:sz w:val="20"/>
          <w:szCs w:val="20"/>
          <w:color w:val="auto"/>
        </w:rPr>
      </w:pPr>
      <w:r>
        <w:rPr>
          <w:rFonts w:ascii="Arial" w:cs="Arial" w:eastAsia="Arial" w:hAnsi="Arial"/>
          <w:sz w:val="17"/>
          <w:szCs w:val="17"/>
          <w:b w:val="1"/>
          <w:bCs w:val="1"/>
          <w:color w:val="auto"/>
        </w:rPr>
        <w:t>Property Rental</w:t>
      </w:r>
      <w:r>
        <w:rPr>
          <w:rFonts w:ascii="Arial" w:cs="Arial" w:eastAsia="Arial" w:hAnsi="Arial"/>
          <w:sz w:val="17"/>
          <w:szCs w:val="17"/>
          <w:color w:val="auto"/>
        </w:rPr>
        <w:t>—The change in property rental revenues consists primarily of an increase of $69,622 associated with acquisitions completed in 2015</w:t>
      </w:r>
      <w:r>
        <w:rPr>
          <w:rFonts w:ascii="Arial" w:cs="Arial" w:eastAsia="Arial" w:hAnsi="Arial"/>
          <w:sz w:val="17"/>
          <w:szCs w:val="17"/>
          <w:b w:val="1"/>
          <w:bCs w:val="1"/>
          <w:color w:val="auto"/>
        </w:rPr>
        <w:t xml:space="preserve"> </w:t>
      </w:r>
      <w:r>
        <w:rPr>
          <w:rFonts w:ascii="Arial" w:cs="Arial" w:eastAsia="Arial" w:hAnsi="Arial"/>
          <w:sz w:val="17"/>
          <w:szCs w:val="17"/>
          <w:color w:val="auto"/>
        </w:rPr>
        <w:t>and 2014. We acquired 171 operating stores during 2015 and 51 stores during 2014. In addition, revenues increased by $47,560 as a result of increases in occupancy and rental rates to new and existing customers at our stabilized stores. We saw no significant increase in overall customer renewal rates and our average length of stay was approximately 13.7 months. For existing customers we generally seek to increase rental rates approximately 7% to 10% at least annually. Rental rates to new tenants increased by approximately 8.9% over the prior year. Occupancy at our stabilized stores increased to 91.1% at December 31, 2015, as compared to 89.6% at December 31, 2014.</w:t>
      </w:r>
    </w:p>
    <w:p>
      <w:pPr>
        <w:spacing w:after="0" w:line="172" w:lineRule="exact"/>
        <w:rPr>
          <w:sz w:val="20"/>
          <w:szCs w:val="20"/>
          <w:color w:val="auto"/>
        </w:rPr>
      </w:pPr>
    </w:p>
    <w:p>
      <w:pPr>
        <w:ind w:right="120" w:firstLine="432"/>
        <w:spacing w:after="0" w:line="266" w:lineRule="auto"/>
        <w:rPr>
          <w:sz w:val="20"/>
          <w:szCs w:val="20"/>
          <w:color w:val="auto"/>
        </w:rPr>
      </w:pPr>
      <w:r>
        <w:rPr>
          <w:rFonts w:ascii="Arial" w:cs="Arial" w:eastAsia="Arial" w:hAnsi="Arial"/>
          <w:sz w:val="18"/>
          <w:szCs w:val="18"/>
          <w:b w:val="1"/>
          <w:bCs w:val="1"/>
          <w:color w:val="auto"/>
        </w:rPr>
        <w:t>Tenant Reinsurance</w:t>
      </w:r>
      <w:r>
        <w:rPr>
          <w:rFonts w:ascii="Arial" w:cs="Arial" w:eastAsia="Arial" w:hAnsi="Arial"/>
          <w:sz w:val="18"/>
          <w:szCs w:val="18"/>
          <w:color w:val="auto"/>
        </w:rPr>
        <w:t>—The increase in tenant reinsurance revenues was partially due to the increase in overall customer participation to approximately</w:t>
      </w:r>
      <w:r>
        <w:rPr>
          <w:rFonts w:ascii="Arial" w:cs="Arial" w:eastAsia="Arial" w:hAnsi="Arial"/>
          <w:sz w:val="18"/>
          <w:szCs w:val="18"/>
          <w:b w:val="1"/>
          <w:bCs w:val="1"/>
          <w:color w:val="auto"/>
        </w:rPr>
        <w:t xml:space="preserve"> </w:t>
      </w:r>
      <w:r>
        <w:rPr>
          <w:rFonts w:ascii="Arial" w:cs="Arial" w:eastAsia="Arial" w:hAnsi="Arial"/>
          <w:sz w:val="18"/>
          <w:szCs w:val="18"/>
          <w:color w:val="auto"/>
        </w:rPr>
        <w:t>72.8% at December 31, 2015, compared to approximately 70.7% at December 31, 2014. In addition, we operated 1,347 stores at December 31, 2015, compared to 1,088 stores at December 31, 2014.</w:t>
      </w:r>
    </w:p>
    <w:p>
      <w:pPr>
        <w:spacing w:after="0" w:line="175" w:lineRule="exact"/>
        <w:rPr>
          <w:sz w:val="20"/>
          <w:szCs w:val="20"/>
          <w:color w:val="auto"/>
        </w:rPr>
      </w:pPr>
    </w:p>
    <w:p>
      <w:pPr>
        <w:ind w:right="20" w:firstLine="432"/>
        <w:spacing w:after="0" w:line="303" w:lineRule="auto"/>
        <w:rPr>
          <w:sz w:val="20"/>
          <w:szCs w:val="20"/>
          <w:color w:val="auto"/>
        </w:rPr>
      </w:pPr>
      <w:r>
        <w:rPr>
          <w:rFonts w:ascii="Arial" w:cs="Arial" w:eastAsia="Arial" w:hAnsi="Arial"/>
          <w:sz w:val="16"/>
          <w:szCs w:val="16"/>
          <w:b w:val="1"/>
          <w:bCs w:val="1"/>
          <w:color w:val="auto"/>
        </w:rPr>
        <w:t>Management Fees and Other Income</w:t>
      </w:r>
      <w:r>
        <w:rPr>
          <w:rFonts w:ascii="Arial" w:cs="Arial" w:eastAsia="Arial" w:hAnsi="Arial"/>
          <w:sz w:val="16"/>
          <w:szCs w:val="16"/>
          <w:color w:val="auto"/>
        </w:rPr>
        <w:t>—Our TRS manages stores owned by our joint ventures and third parties. Management fees generally represent</w:t>
      </w:r>
      <w:r>
        <w:rPr>
          <w:rFonts w:ascii="Arial" w:cs="Arial" w:eastAsia="Arial" w:hAnsi="Arial"/>
          <w:sz w:val="16"/>
          <w:szCs w:val="16"/>
          <w:b w:val="1"/>
          <w:bCs w:val="1"/>
          <w:color w:val="auto"/>
        </w:rPr>
        <w:t xml:space="preserve"> </w:t>
      </w:r>
      <w:r>
        <w:rPr>
          <w:rFonts w:ascii="Arial" w:cs="Arial" w:eastAsia="Arial" w:hAnsi="Arial"/>
          <w:sz w:val="16"/>
          <w:szCs w:val="16"/>
          <w:color w:val="auto"/>
        </w:rPr>
        <w:t>6.0% of cash collected from stores owned by third parties and unconsolidated joint ventures. We also earn an asset management fee from the Storage Portfolio I (“SPI”) joint venture, equal to 0.50% multiplied by the total asset value, provided certain conditions are met. The increase in management fees is due to an increase in the number of properties managed. At December 31, 2015, we managed 348 stores, compared to 260 stores at December 31, 2014.</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information on expenses for the years indicated:</w:t>
      </w:r>
    </w:p>
    <w:p>
      <w:pPr>
        <w:spacing w:after="0" w:line="162"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For the Year Ended</w:t>
      </w:r>
    </w:p>
    <w:p>
      <w:pPr>
        <w:spacing w:after="0" w:line="3"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3234055</wp:posOffset>
            </wp:positionH>
            <wp:positionV relativeFrom="paragraph">
              <wp:posOffset>13335</wp:posOffset>
            </wp:positionV>
            <wp:extent cx="19532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53260" cy="8255"/>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53"/>
              <w:spacing w:after="0"/>
              <w:rPr>
                <w:sz w:val="20"/>
                <w:szCs w:val="20"/>
                <w:color w:val="auto"/>
              </w:rPr>
            </w:pPr>
            <w:r>
              <w:rPr>
                <w:rFonts w:ascii="Arial" w:cs="Arial" w:eastAsia="Arial" w:hAnsi="Arial"/>
                <w:sz w:val="14"/>
                <w:szCs w:val="14"/>
                <w:b w:val="1"/>
                <w:bCs w:val="1"/>
                <w:color w:val="auto"/>
              </w:rPr>
              <w:t>% Change</w:t>
            </w:r>
          </w:p>
        </w:tc>
      </w:tr>
      <w:tr>
        <w:trPr>
          <w:trHeight w:val="229"/>
        </w:trPr>
        <w:tc>
          <w:tcPr>
            <w:tcW w:w="51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40"/>
        </w:trPr>
        <w:tc>
          <w:tcPr>
            <w:tcW w:w="5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203,965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172,416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31,549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Tenant reinsurance</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13,033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10,427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5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related costs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69,401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59,575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606.3%</w:t>
            </w: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67,758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60,942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6,816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
        </w:trPr>
        <w:tc>
          <w:tcPr>
            <w:tcW w:w="5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133,457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115,076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18,381</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36"/>
        </w:trPr>
        <w:tc>
          <w:tcPr>
            <w:tcW w:w="5100" w:type="dxa"/>
            <w:vAlign w:val="bottom"/>
          </w:tcPr>
          <w:p>
            <w:pPr>
              <w:ind w:left="700"/>
              <w:spacing w:after="0"/>
              <w:rPr>
                <w:sz w:val="20"/>
                <w:szCs w:val="20"/>
                <w:color w:val="auto"/>
              </w:rPr>
            </w:pPr>
            <w:r>
              <w:rPr>
                <w:rFonts w:ascii="Arial" w:cs="Arial" w:eastAsia="Arial" w:hAnsi="Arial"/>
                <w:sz w:val="18"/>
                <w:szCs w:val="18"/>
                <w:color w:val="auto"/>
              </w:rPr>
              <w:t>Total expenses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487,614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368,687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118,927</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w:t>
            </w:r>
          </w:p>
        </w:tc>
      </w:tr>
      <w:tr>
        <w:trPr>
          <w:trHeight w:val="27"/>
        </w:trPr>
        <w:tc>
          <w:tcPr>
            <w:tcW w:w="5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5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240" w:firstLine="432"/>
        <w:spacing w:after="0" w:line="347" w:lineRule="auto"/>
        <w:rPr>
          <w:sz w:val="20"/>
          <w:szCs w:val="20"/>
          <w:color w:val="auto"/>
        </w:rPr>
      </w:pPr>
      <w:r>
        <w:rPr>
          <w:rFonts w:ascii="Arial" w:cs="Arial" w:eastAsia="Arial" w:hAnsi="Arial"/>
          <w:sz w:val="16"/>
          <w:szCs w:val="16"/>
          <w:b w:val="1"/>
          <w:bCs w:val="1"/>
          <w:color w:val="auto"/>
        </w:rPr>
        <w:t>Property Operations</w:t>
      </w:r>
      <w:r>
        <w:rPr>
          <w:rFonts w:ascii="Arial" w:cs="Arial" w:eastAsia="Arial" w:hAnsi="Arial"/>
          <w:sz w:val="16"/>
          <w:szCs w:val="16"/>
          <w:color w:val="auto"/>
        </w:rPr>
        <w:t>—The increase in property operations expense consists primarily of an increase of $26,236 related to acquisitions completed in</w:t>
      </w:r>
      <w:r>
        <w:rPr>
          <w:rFonts w:ascii="Arial" w:cs="Arial" w:eastAsia="Arial" w:hAnsi="Arial"/>
          <w:sz w:val="16"/>
          <w:szCs w:val="16"/>
          <w:b w:val="1"/>
          <w:bCs w:val="1"/>
          <w:color w:val="auto"/>
        </w:rPr>
        <w:t xml:space="preserve"> </w:t>
      </w:r>
      <w:r>
        <w:rPr>
          <w:rFonts w:ascii="Arial" w:cs="Arial" w:eastAsia="Arial" w:hAnsi="Arial"/>
          <w:sz w:val="16"/>
          <w:szCs w:val="16"/>
          <w:color w:val="auto"/>
        </w:rPr>
        <w:t>2015 and 2014. We acquired 171 operating stores during the year ended December 31, 2015 and 51 stores during the year ended December 31, 2014.</w:t>
      </w:r>
    </w:p>
    <w:p>
      <w:pPr>
        <w:spacing w:after="0" w:line="115" w:lineRule="exact"/>
        <w:rPr>
          <w:sz w:val="20"/>
          <w:szCs w:val="20"/>
          <w:color w:val="auto"/>
        </w:rPr>
      </w:pPr>
    </w:p>
    <w:p>
      <w:pPr>
        <w:jc w:val="both"/>
        <w:ind w:right="180" w:firstLine="432"/>
        <w:spacing w:after="0" w:line="260" w:lineRule="auto"/>
        <w:rPr>
          <w:sz w:val="20"/>
          <w:szCs w:val="20"/>
          <w:color w:val="auto"/>
        </w:rPr>
      </w:pPr>
      <w:r>
        <w:rPr>
          <w:rFonts w:ascii="Arial" w:cs="Arial" w:eastAsia="Arial" w:hAnsi="Arial"/>
          <w:sz w:val="18"/>
          <w:szCs w:val="18"/>
          <w:b w:val="1"/>
          <w:bCs w:val="1"/>
          <w:color w:val="auto"/>
        </w:rPr>
        <w:t>Tenant Reinsurance</w:t>
      </w:r>
      <w:r>
        <w:rPr>
          <w:rFonts w:ascii="Arial" w:cs="Arial" w:eastAsia="Arial" w:hAnsi="Arial"/>
          <w:sz w:val="18"/>
          <w:szCs w:val="18"/>
          <w:color w:val="auto"/>
        </w:rPr>
        <w:t>—Tenant reinsurance expense represents the costs that are incurred to provide tenant reinsurance. The change is due primarily to</w:t>
      </w:r>
      <w:r>
        <w:rPr>
          <w:rFonts w:ascii="Arial" w:cs="Arial" w:eastAsia="Arial" w:hAnsi="Arial"/>
          <w:sz w:val="18"/>
          <w:szCs w:val="18"/>
          <w:b w:val="1"/>
          <w:bCs w:val="1"/>
          <w:color w:val="auto"/>
        </w:rPr>
        <w:t xml:space="preserve"> </w:t>
      </w:r>
      <w:r>
        <w:rPr>
          <w:rFonts w:ascii="Arial" w:cs="Arial" w:eastAsia="Arial" w:hAnsi="Arial"/>
          <w:sz w:val="18"/>
          <w:szCs w:val="18"/>
          <w:color w:val="auto"/>
        </w:rPr>
        <w:t>the increase in the number of stores we owned and/or managed. At December 31, 2015, we owned and/or managed 1,347 stores compared to 1,088 stores at December 31, 2014. In addition, there was an increase in overall customer participation to approximately 72.8% at December 31, 2015 from approximately 70.7% at December 31, 2014.</w:t>
      </w:r>
    </w:p>
    <w:p>
      <w:pPr>
        <w:spacing w:after="0" w:line="182" w:lineRule="exact"/>
        <w:rPr>
          <w:sz w:val="20"/>
          <w:szCs w:val="20"/>
          <w:color w:val="auto"/>
        </w:rPr>
      </w:pPr>
    </w:p>
    <w:p>
      <w:pPr>
        <w:ind w:right="60" w:firstLine="432"/>
        <w:spacing w:after="0" w:line="256" w:lineRule="auto"/>
        <w:rPr>
          <w:sz w:val="20"/>
          <w:szCs w:val="20"/>
          <w:color w:val="auto"/>
        </w:rPr>
      </w:pPr>
      <w:r>
        <w:rPr>
          <w:rFonts w:ascii="Arial" w:cs="Arial" w:eastAsia="Arial" w:hAnsi="Arial"/>
          <w:sz w:val="18"/>
          <w:szCs w:val="18"/>
          <w:b w:val="1"/>
          <w:bCs w:val="1"/>
          <w:color w:val="auto"/>
        </w:rPr>
        <w:t>Acquisition Related Costs</w:t>
      </w:r>
      <w:r>
        <w:rPr>
          <w:rFonts w:ascii="Arial" w:cs="Arial" w:eastAsia="Arial" w:hAnsi="Arial"/>
          <w:sz w:val="18"/>
          <w:szCs w:val="18"/>
          <w:color w:val="auto"/>
        </w:rPr>
        <w:t>—These costs relate to acquisition activities during the periods indicated. The increase for the year ended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2015 when compared to the prior year was related primarily to the acquisition of SmartStop on October 1, 2015. As part of this acquisition, we recorded an expense of $38,360 related to defeasance costs and prepayment penalties incurred related to the repayment of SmartStop’s existing debt as of the acquisition date. We incurred $8,053 of professional fees/closing costs, $6,338 of severance-related costs, $1,327 of other payroll-related costs and $9,043 of other acquisition related costs as a result of the acquisition of SmartStop, for a total of $63,121. Additionally, we acquired 49 other properties during the year ended December 31, 2015.</w:t>
      </w:r>
    </w:p>
    <w:p>
      <w:pPr>
        <w:spacing w:after="0" w:line="186" w:lineRule="exact"/>
        <w:rPr>
          <w:sz w:val="20"/>
          <w:szCs w:val="20"/>
          <w:color w:val="auto"/>
        </w:rPr>
      </w:pPr>
    </w:p>
    <w:p>
      <w:pPr>
        <w:ind w:right="40" w:firstLine="432"/>
        <w:spacing w:after="0" w:line="303" w:lineRule="auto"/>
        <w:rPr>
          <w:sz w:val="20"/>
          <w:szCs w:val="20"/>
          <w:color w:val="auto"/>
        </w:rPr>
      </w:pPr>
      <w:r>
        <w:rPr>
          <w:rFonts w:ascii="Arial" w:cs="Arial" w:eastAsia="Arial" w:hAnsi="Arial"/>
          <w:sz w:val="16"/>
          <w:szCs w:val="16"/>
          <w:b w:val="1"/>
          <w:bCs w:val="1"/>
          <w:color w:val="auto"/>
        </w:rPr>
        <w:t>General and Administrative</w:t>
      </w:r>
      <w:r>
        <w:rPr>
          <w:rFonts w:ascii="Arial" w:cs="Arial" w:eastAsia="Arial" w:hAnsi="Arial"/>
          <w:sz w:val="16"/>
          <w:szCs w:val="16"/>
          <w:color w:val="auto"/>
        </w:rPr>
        <w:t>—General and administrative expenses primarily include all expenses not related to our stores, including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payroll, travel and professional fees. The expenses are recognized as incurred. General and administrative expense increased over the prior year primarily as a result of the costs related to the management of additional stores. During the year ended December 31, 2015, we acquired 171 stores, 161 of which we did not previously manage. During the year ended December 31, 2014, we acquired 51 stores, 30 of which we did not previously manage. We did not observe 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011" w:right="239" w:bottom="1440" w:gutter="0" w:footer="0" w:header="0"/>
        </w:sectPr>
      </w:pPr>
    </w:p>
    <w:bookmarkStart w:id="33" w:name="page34"/>
    <w:bookmarkEnd w:id="33"/>
    <w:p>
      <w:pPr>
        <w:ind w:right="160"/>
        <w:spacing w:after="0" w:line="277" w:lineRule="auto"/>
        <w:rPr>
          <w:sz w:val="20"/>
          <w:szCs w:val="20"/>
          <w:color w:val="auto"/>
        </w:rPr>
      </w:pPr>
      <w:r>
        <w:rPr>
          <w:rFonts w:ascii="Arial" w:cs="Arial" w:eastAsia="Arial" w:hAnsi="Arial"/>
          <w:sz w:val="18"/>
          <w:szCs w:val="18"/>
          <w:color w:val="auto"/>
        </w:rPr>
        <w:t>material trends specific to payroll, travel or other expense that contributed significantly to the increase in general and administrative expenses apart from the increase due to the management of additional stores.</w:t>
      </w:r>
    </w:p>
    <w:p>
      <w:pPr>
        <w:spacing w:after="0" w:line="166" w:lineRule="exact"/>
        <w:rPr>
          <w:sz w:val="20"/>
          <w:szCs w:val="20"/>
          <w:color w:val="auto"/>
        </w:rPr>
      </w:pPr>
    </w:p>
    <w:p>
      <w:pPr>
        <w:ind w:right="500" w:firstLine="432"/>
        <w:spacing w:after="0" w:line="312" w:lineRule="auto"/>
        <w:rPr>
          <w:sz w:val="20"/>
          <w:szCs w:val="20"/>
          <w:color w:val="auto"/>
        </w:rPr>
      </w:pPr>
      <w:r>
        <w:rPr>
          <w:rFonts w:ascii="Arial" w:cs="Arial" w:eastAsia="Arial" w:hAnsi="Arial"/>
          <w:sz w:val="17"/>
          <w:szCs w:val="17"/>
          <w:b w:val="1"/>
          <w:bCs w:val="1"/>
          <w:color w:val="auto"/>
        </w:rPr>
        <w:t>Depreciation and Amortization</w:t>
      </w:r>
      <w:r>
        <w:rPr>
          <w:rFonts w:ascii="Arial" w:cs="Arial" w:eastAsia="Arial" w:hAnsi="Arial"/>
          <w:sz w:val="17"/>
          <w:szCs w:val="17"/>
          <w:color w:val="auto"/>
        </w:rPr>
        <w:t>—Depreciation and amortization expense increased as a result of the acquisition of new stores. We acquired 171</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stores during the year ended December 31, 2015, and 51 operating stores during the year ended December 31, 2014.</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information on other revenues and expenses for the years indicated:</w:t>
      </w:r>
    </w:p>
    <w:p>
      <w:pPr>
        <w:spacing w:after="0" w:line="162"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For the Year Ended</w:t>
      </w:r>
    </w:p>
    <w:p>
      <w:pPr>
        <w:spacing w:after="0" w:line="3"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13335</wp:posOffset>
            </wp:positionV>
            <wp:extent cx="19443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44370" cy="8255"/>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600" w:type="dxa"/>
            <w:vAlign w:val="bottom"/>
          </w:tcPr>
          <w:p>
            <w:pPr>
              <w:jc w:val="right"/>
              <w:ind w:right="392"/>
              <w:spacing w:after="0"/>
              <w:rPr>
                <w:sz w:val="20"/>
                <w:szCs w:val="20"/>
                <w:color w:val="auto"/>
              </w:rPr>
            </w:pPr>
            <w:r>
              <w:rPr>
                <w:rFonts w:ascii="Arial" w:cs="Arial" w:eastAsia="Arial" w:hAnsi="Arial"/>
                <w:sz w:val="14"/>
                <w:szCs w:val="14"/>
                <w:b w:val="1"/>
                <w:bCs w:val="1"/>
                <w:color w:val="auto"/>
              </w:rPr>
              <w:t>% Change</w:t>
            </w:r>
          </w:p>
        </w:tc>
      </w:tr>
      <w:tr>
        <w:trPr>
          <w:trHeight w:val="229"/>
        </w:trPr>
        <w:tc>
          <w:tcPr>
            <w:tcW w:w="5060" w:type="dxa"/>
            <w:vAlign w:val="bottom"/>
          </w:tcPr>
          <w:p>
            <w:pPr>
              <w:ind w:left="40"/>
              <w:spacing w:after="0"/>
              <w:rPr>
                <w:sz w:val="20"/>
                <w:szCs w:val="20"/>
                <w:color w:val="auto"/>
              </w:rPr>
            </w:pPr>
            <w:r>
              <w:rPr>
                <w:rFonts w:ascii="Arial" w:cs="Arial" w:eastAsia="Arial" w:hAnsi="Arial"/>
                <w:sz w:val="18"/>
                <w:szCs w:val="18"/>
                <w:b w:val="1"/>
                <w:bCs w:val="1"/>
                <w:color w:val="auto"/>
              </w:rPr>
              <w:t>Other income and expenses:</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r>
      <w:tr>
        <w:trPr>
          <w:trHeight w:val="40"/>
        </w:trPr>
        <w:tc>
          <w:tcPr>
            <w:tcW w:w="50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28"/>
        </w:trPr>
        <w:tc>
          <w:tcPr>
            <w:tcW w:w="5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Gain (loss) on real estate transactions, earnout from prior</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7"/>
        </w:trPr>
        <w:tc>
          <w:tcPr>
            <w:tcW w:w="50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acquisitions and sale of other assets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11,786</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Property casualty loss, net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1,724</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17.6 %</w:t>
            </w:r>
          </w:p>
        </w:tc>
      </w:tr>
      <w:tr>
        <w:trPr>
          <w:trHeight w:val="228"/>
        </w:trPr>
        <w:tc>
          <w:tcPr>
            <w:tcW w:w="5060" w:type="dxa"/>
            <w:vAlign w:val="bottom"/>
          </w:tcPr>
          <w:p>
            <w:pPr>
              <w:ind w:left="380"/>
              <w:spacing w:after="0"/>
              <w:rPr>
                <w:sz w:val="20"/>
                <w:szCs w:val="20"/>
                <w:color w:val="auto"/>
              </w:rPr>
            </w:pPr>
            <w:r>
              <w:rPr>
                <w:rFonts w:ascii="Arial" w:cs="Arial" w:eastAsia="Arial" w:hAnsi="Arial"/>
                <w:sz w:val="18"/>
                <w:szCs w:val="18"/>
                <w:color w:val="auto"/>
                <w:w w:val="90"/>
              </w:rPr>
              <w:t>Non-cash interest expense related to amortization of discount on</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5060" w:type="dxa"/>
            <w:vAlign w:val="bottom"/>
          </w:tcPr>
          <w:p>
            <w:pPr>
              <w:ind w:left="540"/>
              <w:spacing w:after="0"/>
              <w:rPr>
                <w:sz w:val="20"/>
                <w:szCs w:val="20"/>
                <w:color w:val="auto"/>
              </w:rPr>
            </w:pPr>
            <w:r>
              <w:rPr>
                <w:rFonts w:ascii="Arial" w:cs="Arial" w:eastAsia="Arial" w:hAnsi="Arial"/>
                <w:sz w:val="18"/>
                <w:szCs w:val="18"/>
                <w:color w:val="auto"/>
              </w:rPr>
              <w:t>equity component of exchangeable senior notes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23.4 %</w:t>
            </w: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115.4 %</w:t>
            </w:r>
          </w:p>
        </w:tc>
      </w:tr>
      <w:tr>
        <w:trPr>
          <w:trHeight w:val="228"/>
        </w:trPr>
        <w:tc>
          <w:tcPr>
            <w:tcW w:w="5060" w:type="dxa"/>
            <w:vAlign w:val="bottom"/>
          </w:tcPr>
          <w:p>
            <w:pPr>
              <w:ind w:left="380"/>
              <w:spacing w:after="0"/>
              <w:rPr>
                <w:sz w:val="20"/>
                <w:szCs w:val="20"/>
                <w:color w:val="auto"/>
              </w:rPr>
            </w:pPr>
            <w:r>
              <w:rPr>
                <w:rFonts w:ascii="Arial" w:cs="Arial" w:eastAsia="Arial" w:hAnsi="Arial"/>
                <w:sz w:val="18"/>
                <w:szCs w:val="18"/>
                <w:color w:val="auto"/>
                <w:w w:val="97"/>
              </w:rPr>
              <w:t>Interest income on note receivable from Preferred Operating</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5060" w:type="dxa"/>
            <w:vAlign w:val="bottom"/>
          </w:tcPr>
          <w:p>
            <w:pPr>
              <w:ind w:left="540"/>
              <w:spacing w:after="0"/>
              <w:rPr>
                <w:sz w:val="20"/>
                <w:szCs w:val="20"/>
                <w:color w:val="auto"/>
              </w:rPr>
            </w:pPr>
            <w:r>
              <w:rPr>
                <w:rFonts w:ascii="Arial" w:cs="Arial" w:eastAsia="Arial" w:hAnsi="Arial"/>
                <w:sz w:val="18"/>
                <w:szCs w:val="18"/>
                <w:color w:val="auto"/>
              </w:rPr>
              <w:t>Partnership unit holder</w:t>
            </w:r>
          </w:p>
        </w:tc>
        <w:tc>
          <w:tcPr>
            <w:tcW w:w="3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4,850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4,850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earnings of unconsolidated real estate ventures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17.2 %</w:t>
            </w:r>
          </w:p>
        </w:tc>
      </w:tr>
      <w:tr>
        <w:trPr>
          <w:trHeight w:val="228"/>
        </w:trPr>
        <w:tc>
          <w:tcPr>
            <w:tcW w:w="5060" w:type="dxa"/>
            <w:vAlign w:val="bottom"/>
          </w:tcPr>
          <w:p>
            <w:pPr>
              <w:ind w:left="380"/>
              <w:spacing w:after="0"/>
              <w:rPr>
                <w:sz w:val="20"/>
                <w:szCs w:val="20"/>
                <w:color w:val="auto"/>
              </w:rPr>
            </w:pPr>
            <w:r>
              <w:rPr>
                <w:rFonts w:ascii="Arial" w:cs="Arial" w:eastAsia="Arial" w:hAnsi="Arial"/>
                <w:sz w:val="18"/>
                <w:szCs w:val="18"/>
                <w:color w:val="auto"/>
                <w:w w:val="92"/>
              </w:rPr>
              <w:t>Equity in earnings of unconsolidated real estate ventures—gain</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16"/>
        </w:trPr>
        <w:tc>
          <w:tcPr>
            <w:tcW w:w="5060" w:type="dxa"/>
            <w:vAlign w:val="bottom"/>
          </w:tcPr>
          <w:p>
            <w:pPr>
              <w:ind w:left="540"/>
              <w:spacing w:after="0"/>
              <w:rPr>
                <w:sz w:val="20"/>
                <w:szCs w:val="20"/>
                <w:color w:val="auto"/>
              </w:rPr>
            </w:pPr>
            <w:r>
              <w:rPr>
                <w:rFonts w:ascii="Arial" w:cs="Arial" w:eastAsia="Arial" w:hAnsi="Arial"/>
                <w:sz w:val="18"/>
                <w:szCs w:val="18"/>
                <w:color w:val="auto"/>
                <w:w w:val="97"/>
              </w:rPr>
              <w:t>on sale of real estate assets and purchase of joint venture</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5060" w:type="dxa"/>
            <w:vAlign w:val="bottom"/>
          </w:tcPr>
          <w:p>
            <w:pPr>
              <w:ind w:left="540"/>
              <w:spacing w:after="0"/>
              <w:rPr>
                <w:sz w:val="20"/>
                <w:szCs w:val="20"/>
                <w:color w:val="auto"/>
              </w:rPr>
            </w:pPr>
            <w:r>
              <w:rPr>
                <w:rFonts w:ascii="Arial" w:cs="Arial" w:eastAsia="Arial" w:hAnsi="Arial"/>
                <w:sz w:val="18"/>
                <w:szCs w:val="18"/>
                <w:color w:val="auto"/>
              </w:rPr>
              <w:t>partners’ interests</w:t>
            </w:r>
          </w:p>
        </w:tc>
        <w:tc>
          <w:tcPr>
            <w:tcW w:w="3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2,857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4,022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47.3 %</w:t>
            </w:r>
          </w:p>
        </w:tc>
      </w:tr>
      <w:tr>
        <w:trPr>
          <w:trHeight w:val="236"/>
        </w:trPr>
        <w:tc>
          <w:tcPr>
            <w:tcW w:w="5060" w:type="dxa"/>
            <w:vAlign w:val="bottom"/>
          </w:tcPr>
          <w:p>
            <w:pPr>
              <w:ind w:left="700"/>
              <w:spacing w:after="0"/>
              <w:rPr>
                <w:sz w:val="20"/>
                <w:szCs w:val="20"/>
                <w:color w:val="auto"/>
              </w:rPr>
            </w:pPr>
            <w:r>
              <w:rPr>
                <w:rFonts w:ascii="Arial" w:cs="Arial" w:eastAsia="Arial" w:hAnsi="Arial"/>
                <w:sz w:val="18"/>
                <w:szCs w:val="18"/>
                <w:color w:val="auto"/>
              </w:rPr>
              <w:t>Total other expense, net</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(85,120)</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(82,572)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(2,548)</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3.1 %</w:t>
            </w:r>
          </w:p>
        </w:tc>
      </w:tr>
      <w:tr>
        <w:trPr>
          <w:trHeight w:val="27"/>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40" w:firstLine="432"/>
        <w:spacing w:after="0" w:line="292" w:lineRule="auto"/>
        <w:rPr>
          <w:sz w:val="20"/>
          <w:szCs w:val="20"/>
          <w:color w:val="auto"/>
        </w:rPr>
      </w:pPr>
      <w:r>
        <w:rPr>
          <w:rFonts w:ascii="Arial" w:cs="Arial" w:eastAsia="Arial" w:hAnsi="Arial"/>
          <w:sz w:val="16"/>
          <w:szCs w:val="16"/>
          <w:b w:val="1"/>
          <w:bCs w:val="1"/>
          <w:color w:val="auto"/>
        </w:rPr>
        <w:t>Gain (Loss) on Real Estate Transactions, Earnout from Prior Acquisitions and Sale of Other Assets—</w:t>
      </w:r>
      <w:r>
        <w:rPr>
          <w:rFonts w:ascii="Arial" w:cs="Arial" w:eastAsia="Arial" w:hAnsi="Arial"/>
          <w:sz w:val="16"/>
          <w:szCs w:val="16"/>
          <w:color w:val="auto"/>
        </w:rPr>
        <w:t>During 2011, we acquired a store located in</w:t>
      </w:r>
      <w:r>
        <w:rPr>
          <w:rFonts w:ascii="Arial" w:cs="Arial" w:eastAsia="Arial" w:hAnsi="Arial"/>
          <w:sz w:val="16"/>
          <w:szCs w:val="16"/>
          <w:b w:val="1"/>
          <w:bCs w:val="1"/>
          <w:color w:val="auto"/>
        </w:rPr>
        <w:t xml:space="preserve"> </w:t>
      </w:r>
      <w:r>
        <w:rPr>
          <w:rFonts w:ascii="Arial" w:cs="Arial" w:eastAsia="Arial" w:hAnsi="Arial"/>
          <w:sz w:val="16"/>
          <w:szCs w:val="16"/>
          <w:color w:val="auto"/>
        </w:rPr>
        <w:t>Florida. As part of this acquisition, we agreed to make an additional cash payment to the sellers if the acquired store exceeded a specified amount of net rental income for any twelve-month period prior to June 30, 2015. At the acquisition date, $133 was recorded as the estimated amount that would be due, and we believed that it was unlikely that any significant additional payment would be made as a result of this earnout provision. Because the rental growth of the stores trended significantly higher than expected, we recorded additional liability of $2,500. This amount is included in gain (loss) on sale of real estate and earnout from prior acquisitions on our consolidated statements of operations for the year ended December 31, 2014. The $400 gain recorded during the year ended December 31, 2015 represents the adjustment needed to true up the existing liability to the amount owed to the sellers as of June 30, 2015.</w:t>
      </w:r>
    </w:p>
    <w:p>
      <w:pPr>
        <w:spacing w:after="0" w:line="164"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During the year ended December 31, 2015, we determined that one of our acquisitions was purchased at below its market value, and we therefore recorded a $1,101 gain, which represents the excess of the fair value of the store acquired over the consideration paid.</w:t>
      </w:r>
    </w:p>
    <w:p>
      <w:pPr>
        <w:spacing w:after="0" w:line="170" w:lineRule="exact"/>
        <w:rPr>
          <w:sz w:val="20"/>
          <w:szCs w:val="20"/>
          <w:color w:val="auto"/>
        </w:rPr>
      </w:pPr>
    </w:p>
    <w:p>
      <w:pPr>
        <w:ind w:right="80" w:firstLine="432"/>
        <w:spacing w:after="0" w:line="256" w:lineRule="auto"/>
        <w:rPr>
          <w:sz w:val="20"/>
          <w:szCs w:val="20"/>
          <w:color w:val="auto"/>
        </w:rPr>
      </w:pPr>
      <w:r>
        <w:rPr>
          <w:rFonts w:ascii="Arial" w:cs="Arial" w:eastAsia="Arial" w:hAnsi="Arial"/>
          <w:sz w:val="18"/>
          <w:szCs w:val="18"/>
          <w:color w:val="auto"/>
        </w:rPr>
        <w:t>During 2012, we acquired a portfolio of ten stores. As part of this acquisition, we agreed to make an additional cash payment to the sellers if the acquired stores exceeded a specified amount of net rental income two years after the acquisition date. At the acquisition date, we believed that it was unlikely that any significant payment would be made as a result of this earnout provision. The rental growth of the stores was significantly higher than expected, resulting in a payment to the sellers of $7,785. This amount is included in gain (loss) on sale of real estate and earnout from prior acquisitions on our consolidated statements of operations for the year ended December 31, 2014.</w:t>
      </w:r>
    </w:p>
    <w:p>
      <w:pPr>
        <w:spacing w:after="0" w:line="187" w:lineRule="exact"/>
        <w:rPr>
          <w:sz w:val="20"/>
          <w:szCs w:val="20"/>
          <w:color w:val="auto"/>
        </w:rPr>
      </w:pPr>
    </w:p>
    <w:p>
      <w:pPr>
        <w:ind w:right="300" w:firstLine="432"/>
        <w:spacing w:after="0" w:line="281" w:lineRule="auto"/>
        <w:rPr>
          <w:sz w:val="20"/>
          <w:szCs w:val="20"/>
          <w:color w:val="auto"/>
        </w:rPr>
      </w:pPr>
      <w:r>
        <w:rPr>
          <w:rFonts w:ascii="Arial" w:cs="Arial" w:eastAsia="Arial" w:hAnsi="Arial"/>
          <w:sz w:val="18"/>
          <w:szCs w:val="18"/>
          <w:b w:val="1"/>
          <w:bCs w:val="1"/>
          <w:color w:val="auto"/>
        </w:rPr>
        <w:t>Property Casualty Loss, Net</w:t>
      </w:r>
      <w:r>
        <w:rPr>
          <w:rFonts w:ascii="Arial" w:cs="Arial" w:eastAsia="Arial" w:hAnsi="Arial"/>
          <w:sz w:val="18"/>
          <w:szCs w:val="18"/>
          <w:color w:val="auto"/>
        </w:rPr>
        <w:t>—In October 2014, a store located in Venice, California, was damaged by a fire. As a result, we recorded a loss, net of</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recoveries, of $1,724.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016" w:right="239" w:bottom="1440" w:gutter="0" w:footer="0" w:header="0"/>
        </w:sectPr>
      </w:pPr>
    </w:p>
    <w:bookmarkStart w:id="34" w:name="page35"/>
    <w:bookmarkEnd w:id="34"/>
    <w:p>
      <w:pPr>
        <w:ind w:right="20" w:firstLine="432"/>
        <w:spacing w:after="0" w:line="288" w:lineRule="auto"/>
        <w:rPr>
          <w:sz w:val="20"/>
          <w:szCs w:val="20"/>
          <w:color w:val="auto"/>
        </w:rPr>
      </w:pPr>
      <w:r>
        <w:rPr>
          <w:rFonts w:ascii="Arial" w:cs="Arial" w:eastAsia="Arial" w:hAnsi="Arial"/>
          <w:sz w:val="17"/>
          <w:szCs w:val="17"/>
          <w:b w:val="1"/>
          <w:bCs w:val="1"/>
          <w:color w:val="auto"/>
        </w:rPr>
        <w:t>Interest Expense</w:t>
      </w:r>
      <w:r>
        <w:rPr>
          <w:rFonts w:ascii="Arial" w:cs="Arial" w:eastAsia="Arial" w:hAnsi="Arial"/>
          <w:sz w:val="17"/>
          <w:szCs w:val="17"/>
          <w:color w:val="auto"/>
        </w:rPr>
        <w:t>—Interest expense increased due to the increase in total amount of debt outstanding. This increase was partially offset by a decrease in</w:t>
      </w:r>
      <w:r>
        <w:rPr>
          <w:rFonts w:ascii="Arial" w:cs="Arial" w:eastAsia="Arial" w:hAnsi="Arial"/>
          <w:sz w:val="17"/>
          <w:szCs w:val="17"/>
          <w:b w:val="1"/>
          <w:bCs w:val="1"/>
          <w:color w:val="auto"/>
        </w:rPr>
        <w:t xml:space="preserve"> </w:t>
      </w:r>
      <w:r>
        <w:rPr>
          <w:rFonts w:ascii="Arial" w:cs="Arial" w:eastAsia="Arial" w:hAnsi="Arial"/>
          <w:sz w:val="17"/>
          <w:szCs w:val="17"/>
          <w:color w:val="auto"/>
        </w:rPr>
        <w:t>the average interest rate. At December 31, 2015, our total face value of debt was $3,598,254, compared to a total face value of debt of $2,379,657 at December 31, 2014. The average interest rate was 3.1% as of December 31, 2015, compared to 3.4% as of December 31, 2014.</w:t>
      </w:r>
    </w:p>
    <w:p>
      <w:pPr>
        <w:spacing w:after="0" w:line="160" w:lineRule="exact"/>
        <w:rPr>
          <w:sz w:val="20"/>
          <w:szCs w:val="20"/>
          <w:color w:val="auto"/>
        </w:rPr>
      </w:pPr>
    </w:p>
    <w:p>
      <w:pPr>
        <w:ind w:right="160" w:firstLine="432"/>
        <w:spacing w:after="0" w:line="280" w:lineRule="auto"/>
        <w:rPr>
          <w:sz w:val="20"/>
          <w:szCs w:val="20"/>
          <w:color w:val="auto"/>
        </w:rPr>
      </w:pPr>
      <w:r>
        <w:rPr>
          <w:rFonts w:ascii="Arial" w:cs="Arial" w:eastAsia="Arial" w:hAnsi="Arial"/>
          <w:sz w:val="17"/>
          <w:szCs w:val="17"/>
          <w:b w:val="1"/>
          <w:bCs w:val="1"/>
          <w:color w:val="auto"/>
        </w:rPr>
        <w:t>Non-cash Interest Expense Related to Amortization of Discount on Equity Component of Exchangeable Senior Notes</w:t>
      </w:r>
      <w:r>
        <w:rPr>
          <w:rFonts w:ascii="Arial" w:cs="Arial" w:eastAsia="Arial" w:hAnsi="Arial"/>
          <w:sz w:val="17"/>
          <w:szCs w:val="17"/>
          <w:color w:val="auto"/>
        </w:rPr>
        <w:t>—Represents the</w:t>
      </w:r>
      <w:r>
        <w:rPr>
          <w:rFonts w:ascii="Arial" w:cs="Arial" w:eastAsia="Arial" w:hAnsi="Arial"/>
          <w:sz w:val="17"/>
          <w:szCs w:val="17"/>
          <w:b w:val="1"/>
          <w:bCs w:val="1"/>
          <w:color w:val="auto"/>
        </w:rPr>
        <w:t xml:space="preserve"> </w:t>
      </w:r>
      <w:r>
        <w:rPr>
          <w:rFonts w:ascii="Arial" w:cs="Arial" w:eastAsia="Arial" w:hAnsi="Arial"/>
          <w:sz w:val="17"/>
          <w:szCs w:val="17"/>
          <w:color w:val="auto"/>
        </w:rPr>
        <w:t>amortization of the discount related to the equity component of the exchangeable senior notes issued by our Operating Partnership. In June 2013, our Operating Partnership issued $250,000 of its 2013 Notes. In September 2015, our Operating Partnership issued $575,000 of its 2015 Notes, and repurchased $164,636 principal amount of the 2013 Notes. Both the 2013 Notes and the 2015 Notes have effective interest rates of 4.0%.</w:t>
      </w:r>
    </w:p>
    <w:p>
      <w:pPr>
        <w:spacing w:after="0" w:line="167" w:lineRule="exact"/>
        <w:rPr>
          <w:sz w:val="20"/>
          <w:szCs w:val="20"/>
          <w:color w:val="auto"/>
        </w:rPr>
      </w:pPr>
    </w:p>
    <w:p>
      <w:pPr>
        <w:ind w:right="160" w:firstLine="432"/>
        <w:spacing w:after="0" w:line="303" w:lineRule="auto"/>
        <w:rPr>
          <w:sz w:val="20"/>
          <w:szCs w:val="20"/>
          <w:color w:val="auto"/>
        </w:rPr>
      </w:pPr>
      <w:r>
        <w:rPr>
          <w:rFonts w:ascii="Arial" w:cs="Arial" w:eastAsia="Arial" w:hAnsi="Arial"/>
          <w:sz w:val="16"/>
          <w:szCs w:val="16"/>
          <w:b w:val="1"/>
          <w:bCs w:val="1"/>
          <w:color w:val="auto"/>
        </w:rPr>
        <w:t>Interest Income</w:t>
      </w:r>
      <w:r>
        <w:rPr>
          <w:rFonts w:ascii="Arial" w:cs="Arial" w:eastAsia="Arial" w:hAnsi="Arial"/>
          <w:sz w:val="16"/>
          <w:szCs w:val="16"/>
          <w:color w:val="auto"/>
        </w:rPr>
        <w:t>—Interest income represents amounts earned on cash and cash equivalents deposited with financial institutions and interest earned on</w:t>
      </w:r>
      <w:r>
        <w:rPr>
          <w:rFonts w:ascii="Arial" w:cs="Arial" w:eastAsia="Arial" w:hAnsi="Arial"/>
          <w:sz w:val="16"/>
          <w:szCs w:val="16"/>
          <w:b w:val="1"/>
          <w:bCs w:val="1"/>
          <w:color w:val="auto"/>
        </w:rPr>
        <w:t xml:space="preserve"> </w:t>
      </w:r>
      <w:r>
        <w:rPr>
          <w:rFonts w:ascii="Arial" w:cs="Arial" w:eastAsia="Arial" w:hAnsi="Arial"/>
          <w:sz w:val="16"/>
          <w:szCs w:val="16"/>
          <w:color w:val="auto"/>
        </w:rPr>
        <w:t>notes receivable. The increase relates primarily to the increase in the average balance of notes receivable when compared to the prior year and an increase in our average cash balance. As part of the SmartStop acquisition on October 1, 2015, we issued an $84,331 note receivable that accrues interest at 7.0% annually. We recorded approximately $1,476 of interest income related to this note receivable during the year ended December 31, 2015.</w:t>
      </w:r>
    </w:p>
    <w:p>
      <w:pPr>
        <w:spacing w:after="0" w:line="150" w:lineRule="exact"/>
        <w:rPr>
          <w:sz w:val="20"/>
          <w:szCs w:val="20"/>
          <w:color w:val="auto"/>
        </w:rPr>
      </w:pPr>
    </w:p>
    <w:p>
      <w:pPr>
        <w:ind w:right="160" w:firstLine="432"/>
        <w:spacing w:after="0" w:line="281" w:lineRule="auto"/>
        <w:rPr>
          <w:sz w:val="20"/>
          <w:szCs w:val="20"/>
          <w:color w:val="auto"/>
        </w:rPr>
      </w:pPr>
      <w:r>
        <w:rPr>
          <w:rFonts w:ascii="Arial" w:cs="Arial" w:eastAsia="Arial" w:hAnsi="Arial"/>
          <w:sz w:val="18"/>
          <w:szCs w:val="18"/>
          <w:b w:val="1"/>
          <w:bCs w:val="1"/>
          <w:color w:val="auto"/>
        </w:rPr>
        <w:t>Interest Income on Note Receivable from Preferred Operating Partnership Unit Holder</w:t>
      </w:r>
      <w:r>
        <w:rPr>
          <w:rFonts w:ascii="Arial" w:cs="Arial" w:eastAsia="Arial" w:hAnsi="Arial"/>
          <w:sz w:val="18"/>
          <w:szCs w:val="18"/>
          <w:color w:val="auto"/>
        </w:rPr>
        <w:t>—Represents interest on a $100,000 loan to the holder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Series A Units.</w:t>
      </w:r>
    </w:p>
    <w:p>
      <w:pPr>
        <w:spacing w:after="0" w:line="163" w:lineRule="exact"/>
        <w:rPr>
          <w:sz w:val="20"/>
          <w:szCs w:val="20"/>
          <w:color w:val="auto"/>
        </w:rPr>
      </w:pPr>
    </w:p>
    <w:p>
      <w:pPr>
        <w:jc w:val="both"/>
        <w:ind w:right="60" w:firstLine="432"/>
        <w:spacing w:after="0" w:line="266" w:lineRule="auto"/>
        <w:rPr>
          <w:sz w:val="20"/>
          <w:szCs w:val="20"/>
          <w:color w:val="auto"/>
        </w:rPr>
      </w:pPr>
      <w:r>
        <w:rPr>
          <w:rFonts w:ascii="Arial" w:cs="Arial" w:eastAsia="Arial" w:hAnsi="Arial"/>
          <w:sz w:val="18"/>
          <w:szCs w:val="18"/>
          <w:b w:val="1"/>
          <w:bCs w:val="1"/>
          <w:color w:val="auto"/>
        </w:rPr>
        <w:t>Equity in Earnings of Unconsolidated Real Estate Ventures</w:t>
      </w:r>
      <w:r>
        <w:rPr>
          <w:rFonts w:ascii="Arial" w:cs="Arial" w:eastAsia="Arial" w:hAnsi="Arial"/>
          <w:sz w:val="18"/>
          <w:szCs w:val="18"/>
          <w:color w:val="auto"/>
        </w:rPr>
        <w:t>—Equity in earnings of unconsolidated real estate ventures represents the income earned</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our ownership interests in unconsolidated joint ventures. The increase in equity in earnings for the year ended December 31, 2015 was due primarily to increases in revenue at the stores owned by the joint ventures.</w:t>
      </w:r>
    </w:p>
    <w:p>
      <w:pPr>
        <w:spacing w:after="0" w:line="175" w:lineRule="exact"/>
        <w:rPr>
          <w:sz w:val="20"/>
          <w:szCs w:val="20"/>
          <w:color w:val="auto"/>
        </w:rPr>
      </w:pPr>
    </w:p>
    <w:p>
      <w:pPr>
        <w:ind w:firstLine="432"/>
        <w:spacing w:after="0" w:line="274" w:lineRule="auto"/>
        <w:rPr>
          <w:sz w:val="20"/>
          <w:szCs w:val="20"/>
          <w:color w:val="auto"/>
        </w:rPr>
      </w:pPr>
      <w:r>
        <w:rPr>
          <w:rFonts w:ascii="Arial" w:cs="Arial" w:eastAsia="Arial" w:hAnsi="Arial"/>
          <w:sz w:val="17"/>
          <w:szCs w:val="17"/>
          <w:b w:val="1"/>
          <w:bCs w:val="1"/>
          <w:color w:val="auto"/>
        </w:rPr>
        <w:t>Equity in Earnings of Unconsolidated Real Estate Ventures—Gain on Sale of Real Estate Assets and Purchase of Joint Venture Partners’ Interests</w:t>
      </w:r>
      <w:r>
        <w:rPr>
          <w:rFonts w:ascii="Arial" w:cs="Arial" w:eastAsia="Arial" w:hAnsi="Arial"/>
          <w:sz w:val="17"/>
          <w:szCs w:val="17"/>
          <w:color w:val="auto"/>
        </w:rPr>
        <w:t>— During March 2015, one of our joint ventures sold a store located in New York to a third party and recognized a gain of $60,495. We recognized</w:t>
      </w:r>
      <w:r>
        <w:rPr>
          <w:rFonts w:ascii="Arial" w:cs="Arial" w:eastAsia="Arial" w:hAnsi="Arial"/>
          <w:sz w:val="17"/>
          <w:szCs w:val="17"/>
          <w:b w:val="1"/>
          <w:bCs w:val="1"/>
          <w:color w:val="auto"/>
        </w:rPr>
        <w:t xml:space="preserve"> </w:t>
      </w:r>
      <w:r>
        <w:rPr>
          <w:rFonts w:ascii="Arial" w:cs="Arial" w:eastAsia="Arial" w:hAnsi="Arial"/>
          <w:sz w:val="17"/>
          <w:szCs w:val="17"/>
          <w:color w:val="auto"/>
        </w:rPr>
        <w:t>our 2.0% share of this gain, or $1,228. Additionally, in March 2015 we acquired a joint venture partner’s 82.4% equity interest in an existing joint venture. We previously held the remaining 17.6% equity interest in this joint venture. Prior to the acquisition, we accounted for our equity interest in this joint venture as an equity-method investment. We recognized a non-cash gain of $1,629 during the three months ended March 31, 2015 as a result of re-measuring the fair value of our equity interest in this joint venture held before the acquisition.</w:t>
      </w:r>
    </w:p>
    <w:p>
      <w:pPr>
        <w:spacing w:after="0" w:line="176"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In December 2013 and May 2014, as part of a larger acquisition, we acquired our joint venture partners’ 60% to 65% equity interests in six stores located in California. We previously held the remaining 35% to 40% interests in these stores through six separate joint ventures with affiliates of Grupe Properties Co. Inc. (“Grupe”). Prior to the acquisition, we accounted for our interests in these joint ventures as equity-method investments. We recognized a non-cash gain of $3,438 during the year ended December 31, 2014, as a result of re-measuring the fair value of our equity interest in one of these joint ventures held before the acquisition. During the year ended December 31, 2014, we recorded an additional gain of $584 as a result of the final cash distributions received from the other five joint ventures associated with the acquisitions that were completed during 2013.</w:t>
      </w:r>
    </w:p>
    <w:p>
      <w:pPr>
        <w:spacing w:after="0" w:line="173" w:lineRule="exact"/>
        <w:rPr>
          <w:sz w:val="20"/>
          <w:szCs w:val="20"/>
          <w:color w:val="auto"/>
        </w:rPr>
      </w:pPr>
    </w:p>
    <w:p>
      <w:pPr>
        <w:ind w:right="180" w:firstLine="432"/>
        <w:spacing w:after="0" w:line="266" w:lineRule="auto"/>
        <w:rPr>
          <w:sz w:val="20"/>
          <w:szCs w:val="20"/>
          <w:color w:val="auto"/>
        </w:rPr>
      </w:pPr>
      <w:r>
        <w:rPr>
          <w:rFonts w:ascii="Arial" w:cs="Arial" w:eastAsia="Arial" w:hAnsi="Arial"/>
          <w:sz w:val="18"/>
          <w:szCs w:val="18"/>
          <w:b w:val="1"/>
          <w:bCs w:val="1"/>
          <w:color w:val="auto"/>
        </w:rPr>
        <w:t>Income Tax Expense</w:t>
      </w:r>
      <w:r>
        <w:rPr>
          <w:rFonts w:ascii="Arial" w:cs="Arial" w:eastAsia="Arial" w:hAnsi="Arial"/>
          <w:sz w:val="18"/>
          <w:szCs w:val="18"/>
          <w:color w:val="auto"/>
        </w:rPr>
        <w:t>—The increase in income tax expense relates primarily to an increase in income earned by our TRS when compared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periods in the prior year. Additionally, during the year ended December 31, 2014, we recorded the initial tax benefit related to a royalty fee that we charge quarterly to our captive insurance subsidiary, which reduced the tax expense for that period.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01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Net Income Allocated to Noncontrolling Interests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information on net income allocated to noncontrolling interests for the years indicated:</w:t>
      </w:r>
    </w:p>
    <w:p>
      <w:pPr>
        <w:spacing w:after="0" w:line="162"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For the Year Ended</w:t>
      </w:r>
    </w:p>
    <w:p>
      <w:pPr>
        <w:spacing w:after="0" w:line="3"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3234055</wp:posOffset>
            </wp:positionH>
            <wp:positionV relativeFrom="paragraph">
              <wp:posOffset>13335</wp:posOffset>
            </wp:positionV>
            <wp:extent cx="19532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53260" cy="8255"/>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55"/>
              <w:spacing w:after="0"/>
              <w:rPr>
                <w:sz w:val="20"/>
                <w:szCs w:val="20"/>
                <w:color w:val="auto"/>
              </w:rPr>
            </w:pPr>
            <w:r>
              <w:rPr>
                <w:rFonts w:ascii="Arial" w:cs="Arial" w:eastAsia="Arial" w:hAnsi="Arial"/>
                <w:sz w:val="14"/>
                <w:szCs w:val="14"/>
                <w:b w:val="1"/>
                <w:bCs w:val="1"/>
                <w:color w:val="auto"/>
              </w:rPr>
              <w:t>% Change</w:t>
            </w:r>
          </w:p>
        </w:tc>
      </w:tr>
      <w:tr>
        <w:trPr>
          <w:trHeight w:val="229"/>
        </w:trPr>
        <w:tc>
          <w:tcPr>
            <w:tcW w:w="5100" w:type="dxa"/>
            <w:vAlign w:val="bottom"/>
          </w:tcPr>
          <w:p>
            <w:pPr>
              <w:ind w:left="40"/>
              <w:spacing w:after="0"/>
              <w:rPr>
                <w:sz w:val="20"/>
                <w:szCs w:val="20"/>
                <w:color w:val="auto"/>
              </w:rPr>
            </w:pPr>
            <w:r>
              <w:rPr>
                <w:rFonts w:ascii="Arial" w:cs="Arial" w:eastAsia="Arial" w:hAnsi="Arial"/>
                <w:sz w:val="18"/>
                <w:szCs w:val="18"/>
                <w:b w:val="1"/>
                <w:bCs w:val="1"/>
                <w:color w:val="auto"/>
              </w:rPr>
              <w:t>Net income allocated to noncontrolling interests:</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40"/>
        </w:trPr>
        <w:tc>
          <w:tcPr>
            <w:tcW w:w="5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28"/>
        </w:trPr>
        <w:tc>
          <w:tcPr>
            <w:tcW w:w="5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 allocated to Preferred Operating Partnership</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7"/>
        </w:trPr>
        <w:tc>
          <w:tcPr>
            <w:tcW w:w="5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8"/>
        </w:trPr>
        <w:tc>
          <w:tcPr>
            <w:tcW w:w="5100" w:type="dxa"/>
            <w:vAlign w:val="bottom"/>
          </w:tcPr>
          <w:p>
            <w:pPr>
              <w:ind w:left="380"/>
              <w:spacing w:after="0"/>
              <w:rPr>
                <w:sz w:val="20"/>
                <w:szCs w:val="20"/>
                <w:color w:val="auto"/>
              </w:rPr>
            </w:pPr>
            <w:r>
              <w:rPr>
                <w:rFonts w:ascii="Arial" w:cs="Arial" w:eastAsia="Arial" w:hAnsi="Arial"/>
                <w:sz w:val="18"/>
                <w:szCs w:val="18"/>
                <w:color w:val="auto"/>
              </w:rPr>
              <w:t>Net income allocated to Operating Partnership and other</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5100" w:type="dxa"/>
            <w:vAlign w:val="bottom"/>
          </w:tcPr>
          <w:p>
            <w:pPr>
              <w:ind w:left="540"/>
              <w:spacing w:after="0"/>
              <w:rPr>
                <w:sz w:val="20"/>
                <w:szCs w:val="20"/>
                <w:color w:val="auto"/>
              </w:rPr>
            </w:pPr>
            <w:r>
              <w:rPr>
                <w:rFonts w:ascii="Arial" w:cs="Arial" w:eastAsia="Arial" w:hAnsi="Arial"/>
                <w:sz w:val="18"/>
                <w:szCs w:val="18"/>
                <w:color w:val="auto"/>
              </w:rPr>
              <w:t>noncontrolling interests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7"/>
        </w:trPr>
        <w:tc>
          <w:tcPr>
            <w:tcW w:w="5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8"/>
        </w:trPr>
        <w:tc>
          <w:tcPr>
            <w:tcW w:w="5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income allocated to noncontrolling interests: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(17,541)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right="20" w:firstLine="432"/>
        <w:spacing w:after="0" w:line="266" w:lineRule="auto"/>
        <w:rPr>
          <w:sz w:val="20"/>
          <w:szCs w:val="20"/>
          <w:color w:val="auto"/>
        </w:rPr>
      </w:pPr>
      <w:r>
        <w:rPr>
          <w:rFonts w:ascii="Arial" w:cs="Arial" w:eastAsia="Arial" w:hAnsi="Arial"/>
          <w:sz w:val="18"/>
          <w:szCs w:val="18"/>
          <w:b w:val="1"/>
          <w:bCs w:val="1"/>
          <w:color w:val="auto"/>
        </w:rPr>
        <w:t>Net Income Allocated to Preferred Operating Partnership Noncontrolling Interests</w:t>
      </w:r>
      <w:r>
        <w:rPr>
          <w:rFonts w:ascii="Arial" w:cs="Arial" w:eastAsia="Arial" w:hAnsi="Arial"/>
          <w:sz w:val="18"/>
          <w:szCs w:val="18"/>
          <w:color w:val="auto"/>
        </w:rPr>
        <w:t>—In December 2014, as part of the acquisition of a single store,</w:t>
      </w:r>
      <w:r>
        <w:rPr>
          <w:rFonts w:ascii="Arial" w:cs="Arial" w:eastAsia="Arial" w:hAnsi="Arial"/>
          <w:sz w:val="18"/>
          <w:szCs w:val="18"/>
          <w:b w:val="1"/>
          <w:bCs w:val="1"/>
          <w:color w:val="auto"/>
        </w:rPr>
        <w:t xml:space="preserve"> </w:t>
      </w:r>
      <w:r>
        <w:rPr>
          <w:rFonts w:ascii="Arial" w:cs="Arial" w:eastAsia="Arial" w:hAnsi="Arial"/>
          <w:sz w:val="18"/>
          <w:szCs w:val="18"/>
          <w:color w:val="auto"/>
        </w:rPr>
        <w:t>our Operating Partnership issued 548,390 Series D Redeemable Preferred Units (“Series D Units”). The Series D Units have a liquidation value of $25.00 per unit, and receive distributions at an annual rate of 5.0%.</w:t>
      </w:r>
    </w:p>
    <w:p>
      <w:pPr>
        <w:spacing w:after="0" w:line="179"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In December 2013 and May 2014, as part of a portfolio acquisition, our Operating Partnership issued 704,016 Series C Convertible Redeemable Preferred Units (“Series C Units”). The Series C Units have a liquidation value of $42.10 per unit. From issuance until the fifth anniversary of issuance, the Series C Units receive distributions at an annual rate of $0.18 plus the then-payable quarterly distribution per OP Unit.</w:t>
      </w:r>
    </w:p>
    <w:p>
      <w:pPr>
        <w:spacing w:after="0" w:line="165" w:lineRule="exact"/>
        <w:rPr>
          <w:sz w:val="20"/>
          <w:szCs w:val="20"/>
          <w:color w:val="auto"/>
        </w:rPr>
      </w:pPr>
    </w:p>
    <w:p>
      <w:pPr>
        <w:jc w:val="both"/>
        <w:ind w:right="160" w:firstLine="432"/>
        <w:spacing w:after="0" w:line="263" w:lineRule="auto"/>
        <w:rPr>
          <w:sz w:val="20"/>
          <w:szCs w:val="20"/>
          <w:color w:val="auto"/>
        </w:rPr>
      </w:pPr>
      <w:r>
        <w:rPr>
          <w:rFonts w:ascii="Arial" w:cs="Arial" w:eastAsia="Arial" w:hAnsi="Arial"/>
          <w:sz w:val="18"/>
          <w:szCs w:val="18"/>
          <w:color w:val="auto"/>
        </w:rPr>
        <w:t>In April 2014, as part of a single store acquisition, our Operating Partnership issued 333,360 Series B Redeemable Preferred Units (“Series B Units”). During August and September 2013, as part of a portfolio acquisition, our Operating Partnership issued 1,342,727 Series B Units. The Series B Units have a liquidation value of $25.00 per unit and receive distributions at an annual rate of 6.0%.</w:t>
      </w:r>
    </w:p>
    <w:p>
      <w:pPr>
        <w:spacing w:after="0" w:line="183" w:lineRule="exact"/>
        <w:rPr>
          <w:sz w:val="20"/>
          <w:szCs w:val="20"/>
          <w:color w:val="auto"/>
        </w:rPr>
      </w:pPr>
    </w:p>
    <w:p>
      <w:pPr>
        <w:ind w:right="180" w:firstLine="432"/>
        <w:spacing w:after="0" w:line="263" w:lineRule="auto"/>
        <w:rPr>
          <w:sz w:val="20"/>
          <w:szCs w:val="20"/>
          <w:color w:val="auto"/>
        </w:rPr>
      </w:pPr>
      <w:r>
        <w:rPr>
          <w:rFonts w:ascii="Arial" w:cs="Arial" w:eastAsia="Arial" w:hAnsi="Arial"/>
          <w:sz w:val="18"/>
          <w:szCs w:val="18"/>
          <w:color w:val="auto"/>
        </w:rPr>
        <w:t>Income allocated to the Preferred Operating Partnership noncontrolling interests for the years ended December 31, 2015 and 2014 represents the fixed distributions paid to the holders of the Series A Units, Series B Units, Series C Units and Series D Units, plus approximately 0.7% of the remaining net income allocated to the holders of the Series A Units.</w:t>
      </w:r>
    </w:p>
    <w:p>
      <w:pPr>
        <w:spacing w:after="0" w:line="179" w:lineRule="exact"/>
        <w:rPr>
          <w:sz w:val="20"/>
          <w:szCs w:val="20"/>
          <w:color w:val="auto"/>
        </w:rPr>
      </w:pPr>
    </w:p>
    <w:p>
      <w:pPr>
        <w:ind w:right="60" w:firstLine="432"/>
        <w:spacing w:after="0" w:line="260" w:lineRule="auto"/>
        <w:rPr>
          <w:sz w:val="20"/>
          <w:szCs w:val="20"/>
          <w:color w:val="auto"/>
        </w:rPr>
      </w:pPr>
      <w:r>
        <w:rPr>
          <w:rFonts w:ascii="Arial" w:cs="Arial" w:eastAsia="Arial" w:hAnsi="Arial"/>
          <w:sz w:val="18"/>
          <w:szCs w:val="18"/>
          <w:b w:val="1"/>
          <w:bCs w:val="1"/>
          <w:color w:val="auto"/>
        </w:rPr>
        <w:t>Net Income Allocated to Operating Partnership and Other Noncontrolling Interests</w:t>
      </w:r>
      <w:r>
        <w:rPr>
          <w:rFonts w:ascii="Arial" w:cs="Arial" w:eastAsia="Arial" w:hAnsi="Arial"/>
          <w:sz w:val="18"/>
          <w:szCs w:val="18"/>
          <w:color w:val="auto"/>
        </w:rPr>
        <w:t>—Income allocated to the Operating Partnership represents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4.2% and 3.5% of net income after the allocation of the fixed distribution paid to the Preferred Operating Partnership unit holders for the years ended December 31, 2015 and 2014, respectively. The percentage of net income allocated to the Operating Partnership noncontrolling interest increased due to OP Units issued in conjunction with acquisitions during 2015.</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121"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FFO provides relevant and meaningful information about our operating performance that is necessary, along with net income and cash flows, for an understanding of our operating results. We believe FFO is a meaningful disclosure as a supplement to net earnings. Net earnings assume that the values of real estate assets diminish predictably over time as reflected through depreciation and amortization expenses. The values of real estate assets fluctuate due to market conditions and we believe FFO more accurately reflects the value of our real estate assets. FFO is defined by the National Association of Real Estate Investment Trusts, Inc. (“NAREIT”) as net income computed in accordance with U.S. generally accepted accounting principles (“GAAP”), excluding gains or losses on sales of operating stores and impairment write-downs of depreciable real estate assets, plus real estate related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the consolidated financial statements. FFO should not be considered a replacement of net income computed in accordance with GAAP.</w:t>
      </w:r>
    </w:p>
    <w:p>
      <w:pPr>
        <w:spacing w:after="0" w:line="164" w:lineRule="exact"/>
        <w:rPr>
          <w:sz w:val="20"/>
          <w:szCs w:val="20"/>
          <w:color w:val="auto"/>
        </w:rPr>
      </w:pPr>
    </w:p>
    <w:p>
      <w:pPr>
        <w:ind w:right="360" w:firstLine="432"/>
        <w:spacing w:after="0" w:line="301" w:lineRule="auto"/>
        <w:rPr>
          <w:sz w:val="20"/>
          <w:szCs w:val="20"/>
          <w:color w:val="auto"/>
        </w:rPr>
      </w:pPr>
      <w:r>
        <w:rPr>
          <w:rFonts w:ascii="Arial" w:cs="Arial" w:eastAsia="Arial" w:hAnsi="Arial"/>
          <w:sz w:val="16"/>
          <w:szCs w:val="16"/>
          <w:color w:val="auto"/>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our liquidity, or as an indicator of our ability to make cash distributions.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19" w:right="239" w:bottom="1440" w:gutter="0" w:footer="0" w:header="0"/>
        </w:sectPr>
      </w:pPr>
    </w:p>
    <w:bookmarkStart w:id="36" w:name="page37"/>
    <w:bookmarkEnd w:id="36"/>
    <w:p>
      <w:pPr>
        <w:ind w:left="440"/>
        <w:spacing w:after="0"/>
        <w:rPr>
          <w:sz w:val="20"/>
          <w:szCs w:val="20"/>
          <w:color w:val="auto"/>
        </w:rPr>
      </w:pPr>
      <w:r>
        <w:rPr>
          <w:rFonts w:ascii="Arial" w:cs="Arial" w:eastAsia="Arial" w:hAnsi="Arial"/>
          <w:sz w:val="18"/>
          <w:szCs w:val="18"/>
          <w:color w:val="auto"/>
        </w:rPr>
        <w:t>The following table presents the calculation of FFO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3"/>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49"/>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366,127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189,474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178,355</w:t>
            </w:r>
          </w:p>
        </w:tc>
      </w:tr>
      <w:tr>
        <w:trPr>
          <w:trHeight w:val="324"/>
        </w:trPr>
        <w:tc>
          <w:tcPr>
            <w:tcW w:w="6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Real estate depreciation</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155,358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115,924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96,819</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11,094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12,394</w:t>
            </w:r>
          </w:p>
        </w:tc>
      </w:tr>
      <w:tr>
        <w:trPr>
          <w:trHeight w:val="228"/>
        </w:trPr>
        <w:tc>
          <w:tcPr>
            <w:tcW w:w="6760" w:type="dxa"/>
            <w:vAlign w:val="bottom"/>
          </w:tcPr>
          <w:p>
            <w:pPr>
              <w:ind w:left="40"/>
              <w:spacing w:after="0"/>
              <w:rPr>
                <w:sz w:val="20"/>
                <w:szCs w:val="20"/>
                <w:color w:val="auto"/>
              </w:rPr>
            </w:pPr>
            <w:r>
              <w:rPr>
                <w:rFonts w:ascii="Arial" w:cs="Arial" w:eastAsia="Arial" w:hAnsi="Arial"/>
                <w:sz w:val="18"/>
                <w:szCs w:val="18"/>
                <w:color w:val="auto"/>
                <w:w w:val="97"/>
              </w:rPr>
              <w:t>(Gain) loss on real estate transactions, earnout from prior acquisition and sale of other</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760" w:type="dxa"/>
            <w:vAlign w:val="bottom"/>
          </w:tcPr>
          <w:p>
            <w:pPr>
              <w:ind w:left="200"/>
              <w:spacing w:after="0"/>
              <w:rPr>
                <w:sz w:val="20"/>
                <w:szCs w:val="20"/>
                <w:color w:val="auto"/>
              </w:rPr>
            </w:pPr>
            <w:r>
              <w:rPr>
                <w:rFonts w:ascii="Arial" w:cs="Arial" w:eastAsia="Arial" w:hAnsi="Arial"/>
                <w:sz w:val="18"/>
                <w:szCs w:val="18"/>
                <w:color w:val="auto"/>
              </w:rPr>
              <w:t>assets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(8,465)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10,285</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Unconsolidated joint venture real estate 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w w:val="93"/>
              </w:rPr>
              <w:t>Unconsolidated joint venture gain on sale of real estate and purchase of partners' interests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(69,199)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(4,022)</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paid on Series A Preferred Operating Partnership units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(5,750)</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Income allocated to Operating Partnership noncontrolling interests</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30,962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20,064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17,530</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24"/>
        </w:trPr>
        <w:tc>
          <w:tcPr>
            <w:tcW w:w="676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r>
      <w:tr>
        <w:trPr>
          <w:trHeight w:val="257"/>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Funds from operations attributable to common stockholders and unit holders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494,670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331,343</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310,006</w:t>
            </w: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SAME-STORE RESULTS</w:t>
      </w:r>
    </w:p>
    <w:p>
      <w:pPr>
        <w:spacing w:after="0" w:line="229"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Our same-store pool for the periods presented consists of 564 stores that are wholly-owned and operated and that were stabilized by the first day of the earliest calendar year presented. We consider a store to be stabilized once it has been open for three years or has sustained average square foot occupancy of 80% or more for one calendar year. We believe that by providing same-store results from a stabilized pool of stores, with accompanying operating metrics including, but not limited to: occupancy, rental revenue growth, operating expense growth, net operating income growth, etc., stockholders and potential investors are able to evaluate operating performance without the effects of non-stabilized occupancy levels, rent levels, expense levels, acquisitions or completed developments. Same-store results should not be used as a basis for future same-store performance or for the performance of our stores as a whole. The following table presents operating data for our same-store portfolio.</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01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Comparison of the Year Ended December 31, 2016 to the Year Ended December 31, 2015</w:t>
      </w:r>
    </w:p>
    <w:p>
      <w:pPr>
        <w:spacing w:after="0" w:line="22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following table presents a reconciliation of same-store net operating income to income from operations as presented on our consolidated statements of operations for the periods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5"/>
              </w:rPr>
              <w:t>For the Three Months Ended</w:t>
            </w:r>
          </w:p>
        </w:tc>
        <w:tc>
          <w:tcPr>
            <w:tcW w:w="100" w:type="dxa"/>
            <w:vAlign w:val="bottom"/>
          </w:tcPr>
          <w:p>
            <w:pPr>
              <w:spacing w:after="0"/>
              <w:rPr>
                <w:sz w:val="14"/>
                <w:szCs w:val="14"/>
                <w:color w:val="auto"/>
              </w:rPr>
            </w:pPr>
          </w:p>
        </w:tc>
        <w:tc>
          <w:tcPr>
            <w:tcW w:w="10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Percent</w:t>
            </w:r>
          </w:p>
        </w:tc>
        <w:tc>
          <w:tcPr>
            <w:tcW w:w="120" w:type="dxa"/>
            <w:vAlign w:val="bottom"/>
            <w:vMerge w:val="restart"/>
          </w:tcPr>
          <w:p>
            <w:pPr>
              <w:spacing w:after="0"/>
              <w:rPr>
                <w:sz w:val="14"/>
                <w:szCs w:val="14"/>
                <w:color w:val="auto"/>
              </w:rPr>
            </w:pPr>
          </w:p>
        </w:tc>
        <w:tc>
          <w:tcPr>
            <w:tcW w:w="212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w w:val="92"/>
              </w:rPr>
              <w:t>For the Year Ended December 31,</w:t>
            </w:r>
          </w:p>
        </w:tc>
        <w:tc>
          <w:tcPr>
            <w:tcW w:w="120" w:type="dxa"/>
            <w:vAlign w:val="bottom"/>
          </w:tcPr>
          <w:p>
            <w:pPr>
              <w:spacing w:after="0"/>
              <w:rPr>
                <w:sz w:val="14"/>
                <w:szCs w:val="14"/>
                <w:color w:val="auto"/>
              </w:rPr>
            </w:pPr>
          </w:p>
        </w:tc>
        <w:tc>
          <w:tcPr>
            <w:tcW w:w="10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120" w:type="dxa"/>
            <w:vAlign w:val="bottom"/>
            <w:tcBorders>
              <w:bottom w:val="single" w:sz="8" w:color="auto"/>
            </w:tcBorders>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8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Same-store rental and tenant reinsurance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179,003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170,234</w:t>
            </w:r>
          </w:p>
        </w:tc>
        <w:tc>
          <w:tcPr>
            <w:tcW w:w="11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5.2%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708,063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662,213</w:t>
            </w:r>
          </w:p>
        </w:tc>
        <w:tc>
          <w:tcPr>
            <w:tcW w:w="114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6.9%</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Non same-store rental and tenant reinsurance revenues</w:t>
            </w:r>
          </w:p>
        </w:tc>
        <w:tc>
          <w:tcPr>
            <w:tcW w:w="1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72,364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45,333</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59.6%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243,970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85,896</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184.0%</w:t>
            </w:r>
          </w:p>
        </w:tc>
        <w:tc>
          <w:tcPr>
            <w:tcW w:w="0" w:type="dxa"/>
            <w:vAlign w:val="bottom"/>
          </w:tcPr>
          <w:p>
            <w:pPr>
              <w:spacing w:after="0"/>
              <w:rPr>
                <w:sz w:val="1"/>
                <w:szCs w:val="1"/>
                <w:color w:val="auto"/>
              </w:rPr>
            </w:pPr>
          </w:p>
        </w:tc>
      </w:tr>
      <w:tr>
        <w:trPr>
          <w:trHeight w:val="33"/>
        </w:trPr>
        <w:tc>
          <w:tcPr>
            <w:tcW w:w="4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rental and tenant reinsurance revenues</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251,367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215,567</w:t>
            </w:r>
          </w:p>
        </w:tc>
        <w:tc>
          <w:tcPr>
            <w:tcW w:w="11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2"/>
              </w:rPr>
              <w:t>16.6%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952,033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748,109</w:t>
            </w:r>
          </w:p>
        </w:tc>
        <w:tc>
          <w:tcPr>
            <w:tcW w:w="114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2"/>
              </w:rPr>
              <w:t>27.3%</w:t>
            </w:r>
          </w:p>
        </w:tc>
        <w:tc>
          <w:tcPr>
            <w:tcW w:w="0" w:type="dxa"/>
            <w:vAlign w:val="bottom"/>
          </w:tcPr>
          <w:p>
            <w:pPr>
              <w:spacing w:after="0"/>
              <w:rPr>
                <w:sz w:val="1"/>
                <w:szCs w:val="1"/>
                <w:color w:val="auto"/>
              </w:rPr>
            </w:pPr>
          </w:p>
        </w:tc>
      </w:tr>
      <w:tr>
        <w:trPr>
          <w:trHeight w:val="324"/>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Same-store operating and tenant reinsurance expenses</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46,169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47,142</w:t>
            </w:r>
          </w:p>
        </w:tc>
        <w:tc>
          <w:tcPr>
            <w:tcW w:w="112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189,973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187,939</w:t>
            </w:r>
          </w:p>
        </w:tc>
        <w:tc>
          <w:tcPr>
            <w:tcW w:w="114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1.1%</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Non same-store operating and tenant reinsurance expenses</w:t>
            </w:r>
          </w:p>
        </w:tc>
        <w:tc>
          <w:tcPr>
            <w:tcW w:w="1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21,163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15,706</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34.7%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75,587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29,059</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160.1%</w:t>
            </w:r>
          </w:p>
        </w:tc>
        <w:tc>
          <w:tcPr>
            <w:tcW w:w="0" w:type="dxa"/>
            <w:vAlign w:val="bottom"/>
          </w:tcPr>
          <w:p>
            <w:pPr>
              <w:spacing w:after="0"/>
              <w:rPr>
                <w:sz w:val="1"/>
                <w:szCs w:val="1"/>
                <w:color w:val="auto"/>
              </w:rPr>
            </w:pPr>
          </w:p>
        </w:tc>
      </w:tr>
      <w:tr>
        <w:trPr>
          <w:trHeight w:val="33"/>
        </w:trPr>
        <w:tc>
          <w:tcPr>
            <w:tcW w:w="4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operating and tenant reinsurance expenses</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67,332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62,848</w:t>
            </w:r>
          </w:p>
        </w:tc>
        <w:tc>
          <w:tcPr>
            <w:tcW w:w="11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7.1%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265,560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216,998</w:t>
            </w:r>
          </w:p>
        </w:tc>
        <w:tc>
          <w:tcPr>
            <w:tcW w:w="114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2"/>
              </w:rPr>
              <w:t>22.4%</w:t>
            </w:r>
          </w:p>
        </w:tc>
        <w:tc>
          <w:tcPr>
            <w:tcW w:w="0" w:type="dxa"/>
            <w:vAlign w:val="bottom"/>
          </w:tcPr>
          <w:p>
            <w:pPr>
              <w:spacing w:after="0"/>
              <w:rPr>
                <w:sz w:val="1"/>
                <w:szCs w:val="1"/>
                <w:color w:val="auto"/>
              </w:rPr>
            </w:pPr>
          </w:p>
        </w:tc>
      </w:tr>
      <w:tr>
        <w:trPr>
          <w:trHeight w:val="324"/>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Same-store net operating income</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132,834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123,092</w:t>
            </w:r>
          </w:p>
        </w:tc>
        <w:tc>
          <w:tcPr>
            <w:tcW w:w="11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518,090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474,274</w:t>
            </w:r>
          </w:p>
        </w:tc>
        <w:tc>
          <w:tcPr>
            <w:tcW w:w="114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9.2%</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Non same-store net operating income</w:t>
            </w:r>
          </w:p>
        </w:tc>
        <w:tc>
          <w:tcPr>
            <w:tcW w:w="1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51,201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29,627</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72.8%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168,383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56,837</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196.3%</w:t>
            </w:r>
          </w:p>
        </w:tc>
        <w:tc>
          <w:tcPr>
            <w:tcW w:w="0" w:type="dxa"/>
            <w:vAlign w:val="bottom"/>
          </w:tcPr>
          <w:p>
            <w:pPr>
              <w:spacing w:after="0"/>
              <w:rPr>
                <w:sz w:val="1"/>
                <w:szCs w:val="1"/>
                <w:color w:val="auto"/>
              </w:rPr>
            </w:pPr>
          </w:p>
        </w:tc>
      </w:tr>
      <w:tr>
        <w:trPr>
          <w:trHeight w:val="33"/>
        </w:trPr>
        <w:tc>
          <w:tcPr>
            <w:tcW w:w="4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operating income</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184,035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152,719</w:t>
            </w:r>
          </w:p>
        </w:tc>
        <w:tc>
          <w:tcPr>
            <w:tcW w:w="11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2"/>
              </w:rPr>
              <w:t>20.5%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686,473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531,111</w:t>
            </w:r>
          </w:p>
        </w:tc>
        <w:tc>
          <w:tcPr>
            <w:tcW w:w="114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2"/>
              </w:rPr>
              <w:t>29.3%</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Management fees and other income</w:t>
            </w:r>
          </w:p>
        </w:tc>
        <w:tc>
          <w:tcPr>
            <w:tcW w:w="1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9,649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10,192</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39,842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34,161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related costs and other</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(63,698)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(69,401)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(18,355)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(18,138)</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(81,806)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(67,758)</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(49,158)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(40,766)</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(182,560)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(133,457)</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820" w:type="dxa"/>
            <w:vAlign w:val="bottom"/>
          </w:tcPr>
          <w:p>
            <w:pPr>
              <w:ind w:left="40"/>
              <w:spacing w:after="0"/>
              <w:rPr>
                <w:sz w:val="20"/>
                <w:szCs w:val="20"/>
                <w:color w:val="auto"/>
              </w:rPr>
            </w:pPr>
            <w:r>
              <w:rPr>
                <w:rFonts w:ascii="Arial" w:cs="Arial" w:eastAsia="Arial" w:hAnsi="Arial"/>
                <w:sz w:val="16"/>
                <w:szCs w:val="16"/>
                <w:color w:val="auto"/>
              </w:rPr>
              <w:t>Income from operations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123,184</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40,309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449,838</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294,656</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48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2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4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Same-store square foot occupancy as of quarter end</w:t>
            </w:r>
          </w:p>
        </w:tc>
        <w:tc>
          <w:tcPr>
            <w:tcW w:w="120" w:type="dxa"/>
            <w:vAlign w:val="bottom"/>
          </w:tcPr>
          <w:p>
            <w:pPr>
              <w:spacing w:after="0"/>
              <w:rPr>
                <w:sz w:val="20"/>
                <w:szCs w:val="20"/>
                <w:color w:val="auto"/>
              </w:rPr>
            </w:pPr>
          </w:p>
        </w:tc>
        <w:tc>
          <w:tcPr>
            <w:tcW w:w="800" w:type="dxa"/>
            <w:vAlign w:val="bottom"/>
          </w:tcPr>
          <w:p>
            <w:pPr>
              <w:jc w:val="center"/>
              <w:ind w:right="60"/>
              <w:spacing w:after="0"/>
              <w:rPr>
                <w:sz w:val="20"/>
                <w:szCs w:val="20"/>
                <w:color w:val="auto"/>
              </w:rPr>
            </w:pPr>
            <w:r>
              <w:rPr>
                <w:rFonts w:ascii="Arial" w:cs="Arial" w:eastAsia="Arial" w:hAnsi="Arial"/>
                <w:sz w:val="16"/>
                <w:szCs w:val="16"/>
                <w:color w:val="auto"/>
                <w:w w:val="92"/>
              </w:rPr>
              <w:t>92.0%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center"/>
              <w:ind w:right="140"/>
              <w:spacing w:after="0"/>
              <w:rPr>
                <w:sz w:val="20"/>
                <w:szCs w:val="20"/>
                <w:color w:val="auto"/>
              </w:rPr>
            </w:pPr>
            <w:r>
              <w:rPr>
                <w:rFonts w:ascii="Arial" w:cs="Arial" w:eastAsia="Arial" w:hAnsi="Arial"/>
                <w:sz w:val="16"/>
                <w:szCs w:val="16"/>
                <w:color w:val="auto"/>
                <w:w w:val="92"/>
              </w:rPr>
              <w:t>92.8%</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center"/>
              <w:ind w:right="100"/>
              <w:spacing w:after="0"/>
              <w:rPr>
                <w:sz w:val="20"/>
                <w:szCs w:val="20"/>
                <w:color w:val="auto"/>
              </w:rPr>
            </w:pPr>
            <w:r>
              <w:rPr>
                <w:rFonts w:ascii="Arial" w:cs="Arial" w:eastAsia="Arial" w:hAnsi="Arial"/>
                <w:sz w:val="16"/>
                <w:szCs w:val="16"/>
                <w:color w:val="auto"/>
                <w:w w:val="92"/>
              </w:rPr>
              <w:t>92.0%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center"/>
              <w:ind w:right="100"/>
              <w:spacing w:after="0"/>
              <w:rPr>
                <w:sz w:val="20"/>
                <w:szCs w:val="20"/>
                <w:color w:val="auto"/>
              </w:rPr>
            </w:pPr>
            <w:r>
              <w:rPr>
                <w:rFonts w:ascii="Arial" w:cs="Arial" w:eastAsia="Arial" w:hAnsi="Arial"/>
                <w:sz w:val="16"/>
                <w:szCs w:val="16"/>
                <w:color w:val="auto"/>
                <w:w w:val="92"/>
              </w:rPr>
              <w:t>92.8%</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7"/>
        </w:trPr>
        <w:tc>
          <w:tcPr>
            <w:tcW w:w="4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Properties included in same-store</w:t>
            </w:r>
          </w:p>
        </w:tc>
        <w:tc>
          <w:tcPr>
            <w:tcW w:w="120" w:type="dxa"/>
            <w:vAlign w:val="bottom"/>
          </w:tcPr>
          <w:p>
            <w:pPr>
              <w:spacing w:after="0"/>
              <w:rPr>
                <w:sz w:val="20"/>
                <w:szCs w:val="20"/>
                <w:color w:val="auto"/>
              </w:rPr>
            </w:pPr>
          </w:p>
        </w:tc>
        <w:tc>
          <w:tcPr>
            <w:tcW w:w="800" w:type="dxa"/>
            <w:vAlign w:val="bottom"/>
          </w:tcPr>
          <w:p>
            <w:pPr>
              <w:jc w:val="center"/>
              <w:ind w:right="40"/>
              <w:spacing w:after="0"/>
              <w:rPr>
                <w:sz w:val="20"/>
                <w:szCs w:val="20"/>
                <w:color w:val="auto"/>
              </w:rPr>
            </w:pPr>
            <w:r>
              <w:rPr>
                <w:rFonts w:ascii="Arial" w:cs="Arial" w:eastAsia="Arial" w:hAnsi="Arial"/>
                <w:sz w:val="16"/>
                <w:szCs w:val="16"/>
                <w:color w:val="auto"/>
                <w:w w:val="89"/>
              </w:rPr>
              <w:t>564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center"/>
              <w:ind w:right="160"/>
              <w:spacing w:after="0"/>
              <w:rPr>
                <w:sz w:val="20"/>
                <w:szCs w:val="20"/>
                <w:color w:val="auto"/>
              </w:rPr>
            </w:pPr>
            <w:r>
              <w:rPr>
                <w:rFonts w:ascii="Arial" w:cs="Arial" w:eastAsia="Arial" w:hAnsi="Arial"/>
                <w:sz w:val="16"/>
                <w:szCs w:val="16"/>
                <w:color w:val="auto"/>
                <w:w w:val="89"/>
              </w:rPr>
              <w:t>564</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center"/>
              <w:ind w:right="120"/>
              <w:spacing w:after="0"/>
              <w:rPr>
                <w:sz w:val="20"/>
                <w:szCs w:val="20"/>
                <w:color w:val="auto"/>
              </w:rPr>
            </w:pPr>
            <w:r>
              <w:rPr>
                <w:rFonts w:ascii="Arial" w:cs="Arial" w:eastAsia="Arial" w:hAnsi="Arial"/>
                <w:sz w:val="16"/>
                <w:szCs w:val="16"/>
                <w:color w:val="auto"/>
                <w:w w:val="89"/>
              </w:rPr>
              <w:t>564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center"/>
              <w:ind w:right="120"/>
              <w:spacing w:after="0"/>
              <w:rPr>
                <w:sz w:val="20"/>
                <w:szCs w:val="20"/>
                <w:color w:val="auto"/>
              </w:rPr>
            </w:pPr>
            <w:r>
              <w:rPr>
                <w:rFonts w:ascii="Arial" w:cs="Arial" w:eastAsia="Arial" w:hAnsi="Arial"/>
                <w:sz w:val="16"/>
                <w:szCs w:val="16"/>
                <w:color w:val="auto"/>
                <w:w w:val="89"/>
              </w:rPr>
              <w:t>564</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ind w:right="140" w:firstLine="432"/>
        <w:spacing w:after="0" w:line="293" w:lineRule="auto"/>
        <w:rPr>
          <w:sz w:val="20"/>
          <w:szCs w:val="20"/>
          <w:color w:val="auto"/>
        </w:rPr>
      </w:pPr>
      <w:r>
        <w:rPr>
          <w:rFonts w:ascii="Arial" w:cs="Arial" w:eastAsia="Arial" w:hAnsi="Arial"/>
          <w:sz w:val="16"/>
          <w:szCs w:val="16"/>
          <w:color w:val="auto"/>
        </w:rPr>
        <w:t>The increases in same-store rental and tenant reinsurance revenues for the three months and year ended December 31, 2016, as compared to the same periods ended December 31, 2015, were due primarily to higher rental rates for both new and existing customers. Expenses were lower for the three months ended December 31, 2016 due to decreases year-over-year across most expense categories, primarily due to comparably higher expenses in the three months ended December 31, 2015. The most significant decreases were in repairs and maintenance and utilities. Decreases in these expenses were partially offset by increases in property taxes. For the year ended December 31, 2016, expenses were higher due to increases in property taxes and credit card processing fees. These increases in expenses were partially offset by decreases in utilities and repairs and maintenance expense.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23"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Comparison of the Year Ended December 31, 2015 to the Year Ended December 31, 2014</w:t>
      </w:r>
    </w:p>
    <w:p>
      <w:pPr>
        <w:spacing w:after="0" w:line="22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following table presents a reconciliation of same-store net operating income to income from operations as presented on our consolidated statements of operations for the periods indicated: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4"/>
          </w:tcPr>
          <w:p>
            <w:pPr>
              <w:jc w:val="right"/>
              <w:ind w:right="91"/>
              <w:spacing w:after="0"/>
              <w:rPr>
                <w:sz w:val="20"/>
                <w:szCs w:val="20"/>
                <w:color w:val="auto"/>
              </w:rPr>
            </w:pPr>
            <w:r>
              <w:rPr>
                <w:rFonts w:ascii="Arial" w:cs="Arial" w:eastAsia="Arial" w:hAnsi="Arial"/>
                <w:sz w:val="14"/>
                <w:szCs w:val="14"/>
                <w:b w:val="1"/>
                <w:bCs w:val="1"/>
                <w:color w:val="auto"/>
                <w:w w:val="95"/>
              </w:rPr>
              <w:t>For the Three Months Ended</w:t>
            </w:r>
          </w:p>
        </w:tc>
        <w:tc>
          <w:tcPr>
            <w:tcW w:w="120" w:type="dxa"/>
            <w:vAlign w:val="bottom"/>
          </w:tcPr>
          <w:p>
            <w:pPr>
              <w:spacing w:after="0"/>
              <w:rPr>
                <w:sz w:val="14"/>
                <w:szCs w:val="14"/>
                <w:color w:val="auto"/>
              </w:rPr>
            </w:pPr>
          </w:p>
        </w:tc>
        <w:tc>
          <w:tcPr>
            <w:tcW w:w="11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Percent</w:t>
            </w:r>
          </w:p>
        </w:tc>
        <w:tc>
          <w:tcPr>
            <w:tcW w:w="216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w w:val="93"/>
              </w:rPr>
              <w:t>For the Year Ended December 31,</w:t>
            </w:r>
          </w:p>
        </w:tc>
        <w:tc>
          <w:tcPr>
            <w:tcW w:w="120" w:type="dxa"/>
            <w:vAlign w:val="bottom"/>
          </w:tcPr>
          <w:p>
            <w:pPr>
              <w:spacing w:after="0"/>
              <w:rPr>
                <w:sz w:val="14"/>
                <w:szCs w:val="14"/>
                <w:color w:val="auto"/>
              </w:rPr>
            </w:pPr>
          </w:p>
        </w:tc>
        <w:tc>
          <w:tcPr>
            <w:tcW w:w="10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2160" w:type="dxa"/>
            <w:vAlign w:val="bottom"/>
            <w:tcBorders>
              <w:bottom w:val="single" w:sz="8" w:color="auto"/>
            </w:tcBorders>
            <w:gridSpan w:val="5"/>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6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ind w:left="2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Same-store rental and tenant reinsurance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151,761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138,471</w:t>
            </w:r>
          </w:p>
        </w:tc>
        <w:tc>
          <w:tcPr>
            <w:tcW w:w="11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590,979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540,664</w:t>
            </w:r>
          </w:p>
        </w:tc>
        <w:tc>
          <w:tcPr>
            <w:tcW w:w="11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9.3%</w:t>
            </w:r>
          </w:p>
        </w:tc>
        <w:tc>
          <w:tcPr>
            <w:tcW w:w="0" w:type="dxa"/>
            <w:vAlign w:val="bottom"/>
          </w:tcPr>
          <w:p>
            <w:pPr>
              <w:spacing w:after="0"/>
              <w:rPr>
                <w:sz w:val="1"/>
                <w:szCs w:val="1"/>
                <w:color w:val="auto"/>
              </w:rPr>
            </w:pPr>
          </w:p>
        </w:tc>
      </w:tr>
      <w:tr>
        <w:trPr>
          <w:trHeight w:val="260"/>
        </w:trPr>
        <w:tc>
          <w:tcPr>
            <w:tcW w:w="4680" w:type="dxa"/>
            <w:vAlign w:val="bottom"/>
          </w:tcPr>
          <w:p>
            <w:pPr>
              <w:ind w:left="40"/>
              <w:spacing w:after="0"/>
              <w:rPr>
                <w:sz w:val="20"/>
                <w:szCs w:val="20"/>
                <w:color w:val="auto"/>
              </w:rPr>
            </w:pPr>
            <w:r>
              <w:rPr>
                <w:rFonts w:ascii="Arial" w:cs="Arial" w:eastAsia="Arial" w:hAnsi="Arial"/>
                <w:sz w:val="20"/>
                <w:szCs w:val="20"/>
                <w:color w:val="auto"/>
                <w:w w:val="93"/>
              </w:rPr>
              <w:t>Non same-store rental and tenant reinsurance revenues</w:t>
            </w:r>
          </w:p>
        </w:tc>
        <w:tc>
          <w:tcPr>
            <w:tcW w:w="180" w:type="dxa"/>
            <w:vAlign w:val="bottom"/>
          </w:tcPr>
          <w:p>
            <w:pPr>
              <w:spacing w:after="0"/>
              <w:rPr>
                <w:sz w:val="22"/>
                <w:szCs w:val="22"/>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63,806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21,665</w:t>
            </w:r>
          </w:p>
        </w:tc>
        <w:tc>
          <w:tcPr>
            <w:tcW w:w="114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194.5%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157,130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78,276</w:t>
            </w:r>
          </w:p>
        </w:tc>
        <w:tc>
          <w:tcPr>
            <w:tcW w:w="114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100.7%</w:t>
            </w:r>
          </w:p>
        </w:tc>
        <w:tc>
          <w:tcPr>
            <w:tcW w:w="0" w:type="dxa"/>
            <w:vAlign w:val="bottom"/>
          </w:tcPr>
          <w:p>
            <w:pPr>
              <w:spacing w:after="0"/>
              <w:rPr>
                <w:sz w:val="1"/>
                <w:szCs w:val="1"/>
                <w:color w:val="auto"/>
              </w:rPr>
            </w:pPr>
          </w:p>
        </w:tc>
      </w:tr>
      <w:tr>
        <w:trPr>
          <w:trHeight w:val="23"/>
        </w:trPr>
        <w:tc>
          <w:tcPr>
            <w:tcW w:w="4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w w:val="96"/>
              </w:rPr>
              <w:t>Total property rental and tenant reinsurance revenues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215,567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160,136</w:t>
            </w:r>
          </w:p>
        </w:tc>
        <w:tc>
          <w:tcPr>
            <w:tcW w:w="11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748,109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618,940</w:t>
            </w:r>
          </w:p>
        </w:tc>
        <w:tc>
          <w:tcPr>
            <w:tcW w:w="11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20.9%</w:t>
            </w:r>
          </w:p>
        </w:tc>
        <w:tc>
          <w:tcPr>
            <w:tcW w:w="0" w:type="dxa"/>
            <w:vAlign w:val="bottom"/>
          </w:tcPr>
          <w:p>
            <w:pPr>
              <w:spacing w:after="0"/>
              <w:rPr>
                <w:sz w:val="1"/>
                <w:szCs w:val="1"/>
                <w:color w:val="auto"/>
              </w:rPr>
            </w:pPr>
          </w:p>
        </w:tc>
      </w:tr>
      <w:tr>
        <w:trPr>
          <w:trHeight w:val="324"/>
        </w:trPr>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w w:val="93"/>
                <w:shd w:val="clear" w:color="auto" w:fill="CCEEFF"/>
              </w:rPr>
              <w:t>Same-store operating and tenant reinsurance expenses</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41,702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39,802</w:t>
            </w:r>
          </w:p>
        </w:tc>
        <w:tc>
          <w:tcPr>
            <w:tcW w:w="11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166,166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161,135</w:t>
            </w:r>
          </w:p>
        </w:tc>
        <w:tc>
          <w:tcPr>
            <w:tcW w:w="11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3.1%</w:t>
            </w:r>
          </w:p>
        </w:tc>
        <w:tc>
          <w:tcPr>
            <w:tcW w:w="0" w:type="dxa"/>
            <w:vAlign w:val="bottom"/>
          </w:tcPr>
          <w:p>
            <w:pPr>
              <w:spacing w:after="0"/>
              <w:rPr>
                <w:sz w:val="1"/>
                <w:szCs w:val="1"/>
                <w:color w:val="auto"/>
              </w:rPr>
            </w:pPr>
          </w:p>
        </w:tc>
      </w:tr>
      <w:tr>
        <w:trPr>
          <w:trHeight w:val="239"/>
        </w:trPr>
        <w:tc>
          <w:tcPr>
            <w:tcW w:w="4680" w:type="dxa"/>
            <w:vAlign w:val="bottom"/>
          </w:tcPr>
          <w:p>
            <w:pPr>
              <w:ind w:left="40"/>
              <w:spacing w:after="0"/>
              <w:rPr>
                <w:sz w:val="20"/>
                <w:szCs w:val="20"/>
                <w:color w:val="auto"/>
              </w:rPr>
            </w:pPr>
            <w:r>
              <w:rPr>
                <w:rFonts w:ascii="Arial" w:cs="Arial" w:eastAsia="Arial" w:hAnsi="Arial"/>
                <w:sz w:val="20"/>
                <w:szCs w:val="20"/>
                <w:color w:val="auto"/>
              </w:rPr>
              <w:t>Non same-store operating and tenant reinsurance</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80" w:type="dxa"/>
            <w:vAlign w:val="bottom"/>
          </w:tcPr>
          <w:p>
            <w:pPr>
              <w:ind w:left="40"/>
              <w:spacing w:after="0"/>
              <w:rPr>
                <w:sz w:val="20"/>
                <w:szCs w:val="20"/>
                <w:color w:val="auto"/>
              </w:rPr>
            </w:pPr>
            <w:r>
              <w:rPr>
                <w:rFonts w:ascii="Arial" w:cs="Arial" w:eastAsia="Arial" w:hAnsi="Arial"/>
                <w:sz w:val="20"/>
                <w:szCs w:val="20"/>
                <w:color w:val="auto"/>
              </w:rPr>
              <w:t>expenses</w:t>
            </w:r>
          </w:p>
        </w:tc>
        <w:tc>
          <w:tcPr>
            <w:tcW w:w="1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21,146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5,838</w:t>
            </w:r>
          </w:p>
        </w:tc>
        <w:tc>
          <w:tcPr>
            <w:tcW w:w="114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262.2%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50,832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21,708</w:t>
            </w:r>
          </w:p>
        </w:tc>
        <w:tc>
          <w:tcPr>
            <w:tcW w:w="114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134.2%</w:t>
            </w:r>
          </w:p>
        </w:tc>
        <w:tc>
          <w:tcPr>
            <w:tcW w:w="0" w:type="dxa"/>
            <w:vAlign w:val="bottom"/>
          </w:tcPr>
          <w:p>
            <w:pPr>
              <w:spacing w:after="0"/>
              <w:rPr>
                <w:sz w:val="1"/>
                <w:szCs w:val="1"/>
                <w:color w:val="auto"/>
              </w:rPr>
            </w:pPr>
          </w:p>
        </w:tc>
      </w:tr>
      <w:tr>
        <w:trPr>
          <w:trHeight w:val="23"/>
        </w:trPr>
        <w:tc>
          <w:tcPr>
            <w:tcW w:w="4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680" w:type="dxa"/>
            <w:vAlign w:val="bottom"/>
            <w:tcBorders>
              <w:bottom w:val="single" w:sz="8" w:color="CCEEFF"/>
            </w:tcBorders>
            <w:shd w:val="clear" w:color="auto" w:fill="CCEEFF"/>
          </w:tcPr>
          <w:p>
            <w:pPr>
              <w:ind w:left="40"/>
              <w:spacing w:after="0" w:line="223" w:lineRule="exact"/>
              <w:rPr>
                <w:sz w:val="20"/>
                <w:szCs w:val="20"/>
                <w:color w:val="auto"/>
              </w:rPr>
            </w:pPr>
            <w:r>
              <w:rPr>
                <w:rFonts w:ascii="Arial" w:cs="Arial" w:eastAsia="Arial" w:hAnsi="Arial"/>
                <w:sz w:val="20"/>
                <w:szCs w:val="20"/>
                <w:color w:val="auto"/>
                <w:w w:val="89"/>
                <w:shd w:val="clear" w:color="auto" w:fill="CCEEFF"/>
              </w:rPr>
              <w:t>Total property operating and tenant reinsurance expenses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62,848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45,640</w:t>
            </w:r>
          </w:p>
        </w:tc>
        <w:tc>
          <w:tcPr>
            <w:tcW w:w="11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216,998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182,843</w:t>
            </w:r>
          </w:p>
        </w:tc>
        <w:tc>
          <w:tcPr>
            <w:tcW w:w="11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18.7%</w:t>
            </w:r>
          </w:p>
        </w:tc>
        <w:tc>
          <w:tcPr>
            <w:tcW w:w="0" w:type="dxa"/>
            <w:vAlign w:val="bottom"/>
          </w:tcPr>
          <w:p>
            <w:pPr>
              <w:spacing w:after="0"/>
              <w:rPr>
                <w:sz w:val="1"/>
                <w:szCs w:val="1"/>
                <w:color w:val="auto"/>
              </w:rPr>
            </w:pPr>
          </w:p>
        </w:tc>
      </w:tr>
      <w:tr>
        <w:trPr>
          <w:trHeight w:val="324"/>
        </w:trPr>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shd w:val="clear" w:color="auto" w:fill="CCEEFF"/>
              </w:rPr>
              <w:t>Same-store net operating income</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110,059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98,669</w:t>
            </w:r>
          </w:p>
        </w:tc>
        <w:tc>
          <w:tcPr>
            <w:tcW w:w="11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424,813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379,529</w:t>
            </w:r>
          </w:p>
        </w:tc>
        <w:tc>
          <w:tcPr>
            <w:tcW w:w="11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11.9%</w:t>
            </w:r>
          </w:p>
        </w:tc>
        <w:tc>
          <w:tcPr>
            <w:tcW w:w="0" w:type="dxa"/>
            <w:vAlign w:val="bottom"/>
          </w:tcPr>
          <w:p>
            <w:pPr>
              <w:spacing w:after="0"/>
              <w:rPr>
                <w:sz w:val="1"/>
                <w:szCs w:val="1"/>
                <w:color w:val="auto"/>
              </w:rPr>
            </w:pPr>
          </w:p>
        </w:tc>
      </w:tr>
      <w:tr>
        <w:trPr>
          <w:trHeight w:val="260"/>
        </w:trPr>
        <w:tc>
          <w:tcPr>
            <w:tcW w:w="4680" w:type="dxa"/>
            <w:vAlign w:val="bottom"/>
          </w:tcPr>
          <w:p>
            <w:pPr>
              <w:ind w:left="40"/>
              <w:spacing w:after="0"/>
              <w:rPr>
                <w:sz w:val="20"/>
                <w:szCs w:val="20"/>
                <w:color w:val="auto"/>
              </w:rPr>
            </w:pPr>
            <w:r>
              <w:rPr>
                <w:rFonts w:ascii="Arial" w:cs="Arial" w:eastAsia="Arial" w:hAnsi="Arial"/>
                <w:sz w:val="20"/>
                <w:szCs w:val="20"/>
                <w:color w:val="auto"/>
              </w:rPr>
              <w:t>Non same-store net operating income</w:t>
            </w:r>
          </w:p>
        </w:tc>
        <w:tc>
          <w:tcPr>
            <w:tcW w:w="180" w:type="dxa"/>
            <w:vAlign w:val="bottom"/>
          </w:tcPr>
          <w:p>
            <w:pPr>
              <w:spacing w:after="0"/>
              <w:rPr>
                <w:sz w:val="22"/>
                <w:szCs w:val="22"/>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42,660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15,827</w:t>
            </w:r>
          </w:p>
        </w:tc>
        <w:tc>
          <w:tcPr>
            <w:tcW w:w="114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169.5%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106,298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56,568</w:t>
            </w:r>
          </w:p>
        </w:tc>
        <w:tc>
          <w:tcPr>
            <w:tcW w:w="11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87.9%</w:t>
            </w:r>
          </w:p>
        </w:tc>
        <w:tc>
          <w:tcPr>
            <w:tcW w:w="0" w:type="dxa"/>
            <w:vAlign w:val="bottom"/>
          </w:tcPr>
          <w:p>
            <w:pPr>
              <w:spacing w:after="0"/>
              <w:rPr>
                <w:sz w:val="1"/>
                <w:szCs w:val="1"/>
                <w:color w:val="auto"/>
              </w:rPr>
            </w:pPr>
          </w:p>
        </w:tc>
      </w:tr>
      <w:tr>
        <w:trPr>
          <w:trHeight w:val="23"/>
        </w:trPr>
        <w:tc>
          <w:tcPr>
            <w:tcW w:w="4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680" w:type="dxa"/>
            <w:vAlign w:val="bottom"/>
            <w:tcBorders>
              <w:bottom w:val="single" w:sz="8" w:color="CCEEFF"/>
            </w:tcBorders>
            <w:shd w:val="clear" w:color="auto" w:fill="CCEEFF"/>
          </w:tcPr>
          <w:p>
            <w:pPr>
              <w:ind w:left="40"/>
              <w:spacing w:after="0" w:line="223" w:lineRule="exact"/>
              <w:rPr>
                <w:sz w:val="20"/>
                <w:szCs w:val="20"/>
                <w:color w:val="auto"/>
              </w:rPr>
            </w:pPr>
            <w:r>
              <w:rPr>
                <w:rFonts w:ascii="Arial" w:cs="Arial" w:eastAsia="Arial" w:hAnsi="Arial"/>
                <w:sz w:val="20"/>
                <w:szCs w:val="20"/>
                <w:color w:val="auto"/>
                <w:shd w:val="clear" w:color="auto" w:fill="CCEEFF"/>
              </w:rPr>
              <w:t>Total net 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152,719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114,496</w:t>
            </w:r>
          </w:p>
        </w:tc>
        <w:tc>
          <w:tcPr>
            <w:tcW w:w="11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531,111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436,097</w:t>
            </w:r>
          </w:p>
        </w:tc>
        <w:tc>
          <w:tcPr>
            <w:tcW w:w="11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21.8%</w:t>
            </w:r>
          </w:p>
        </w:tc>
        <w:tc>
          <w:tcPr>
            <w:tcW w:w="0" w:type="dxa"/>
            <w:vAlign w:val="bottom"/>
          </w:tcPr>
          <w:p>
            <w:pPr>
              <w:spacing w:after="0"/>
              <w:rPr>
                <w:sz w:val="1"/>
                <w:szCs w:val="1"/>
                <w:color w:val="auto"/>
              </w:rPr>
            </w:pPr>
          </w:p>
        </w:tc>
      </w:tr>
      <w:tr>
        <w:trPr>
          <w:trHeight w:val="260"/>
        </w:trPr>
        <w:tc>
          <w:tcPr>
            <w:tcW w:w="4680" w:type="dxa"/>
            <w:vAlign w:val="bottom"/>
          </w:tcPr>
          <w:p>
            <w:pPr>
              <w:ind w:left="40"/>
              <w:spacing w:after="0"/>
              <w:rPr>
                <w:sz w:val="20"/>
                <w:szCs w:val="20"/>
                <w:color w:val="auto"/>
              </w:rPr>
            </w:pPr>
            <w:r>
              <w:rPr>
                <w:rFonts w:ascii="Arial" w:cs="Arial" w:eastAsia="Arial" w:hAnsi="Arial"/>
                <w:sz w:val="20"/>
                <w:szCs w:val="20"/>
                <w:color w:val="auto"/>
              </w:rPr>
              <w:t>Management fees and other income</w:t>
            </w:r>
          </w:p>
        </w:tc>
        <w:tc>
          <w:tcPr>
            <w:tcW w:w="180" w:type="dxa"/>
            <w:vAlign w:val="bottom"/>
          </w:tcPr>
          <w:p>
            <w:pPr>
              <w:spacing w:after="0"/>
              <w:rPr>
                <w:sz w:val="22"/>
                <w:szCs w:val="22"/>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10,192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5,048</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34,161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28,215</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shd w:val="clear" w:color="auto" w:fill="CCEEFF"/>
              </w:rPr>
              <w:t>Acquisition related costs and other</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(5,941)</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(9,826)</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680" w:type="dxa"/>
            <w:vAlign w:val="bottom"/>
          </w:tcPr>
          <w:p>
            <w:pPr>
              <w:ind w:left="40"/>
              <w:spacing w:after="0"/>
              <w:rPr>
                <w:sz w:val="20"/>
                <w:szCs w:val="20"/>
                <w:color w:val="auto"/>
              </w:rPr>
            </w:pPr>
            <w:r>
              <w:rPr>
                <w:rFonts w:ascii="Arial" w:cs="Arial" w:eastAsia="Arial" w:hAnsi="Arial"/>
                <w:sz w:val="20"/>
                <w:szCs w:val="20"/>
                <w:color w:val="auto"/>
              </w:rPr>
              <w:t>General and administrative</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(18,138)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(14,506)</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(67,758)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(60,942)</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shd w:val="clear" w:color="auto" w:fill="CCEEFF"/>
              </w:rPr>
              <w:t>Depreciation and amortization</w:t>
            </w: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(40,766)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(29,181)</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(133,457)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(115,076)</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20"/>
                <w:szCs w:val="20"/>
                <w:color w:val="auto"/>
              </w:rPr>
              <w:t>Income from operations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40,309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69,916</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294,656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278,468</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6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Same-store square foot occupancy as of quarter end</w:t>
            </w:r>
          </w:p>
        </w:tc>
        <w:tc>
          <w:tcPr>
            <w:tcW w:w="180" w:type="dxa"/>
            <w:vAlign w:val="bottom"/>
          </w:tcPr>
          <w:p>
            <w:pPr>
              <w:spacing w:after="0"/>
              <w:rPr>
                <w:sz w:val="21"/>
                <w:szCs w:val="21"/>
                <w:color w:val="auto"/>
              </w:rPr>
            </w:pPr>
          </w:p>
        </w:tc>
        <w:tc>
          <w:tcPr>
            <w:tcW w:w="900" w:type="dxa"/>
            <w:vAlign w:val="bottom"/>
          </w:tcPr>
          <w:p>
            <w:pPr>
              <w:jc w:val="center"/>
              <w:ind w:right="93"/>
              <w:spacing w:after="0"/>
              <w:rPr>
                <w:sz w:val="20"/>
                <w:szCs w:val="20"/>
                <w:color w:val="auto"/>
              </w:rPr>
            </w:pPr>
            <w:r>
              <w:rPr>
                <w:rFonts w:ascii="Arial" w:cs="Arial" w:eastAsia="Arial" w:hAnsi="Arial"/>
                <w:sz w:val="18"/>
                <w:szCs w:val="18"/>
                <w:color w:val="auto"/>
                <w:w w:val="93"/>
              </w:rPr>
              <w:t>92.9%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center"/>
              <w:ind w:right="111"/>
              <w:spacing w:after="0"/>
              <w:rPr>
                <w:sz w:val="20"/>
                <w:szCs w:val="20"/>
                <w:color w:val="auto"/>
              </w:rPr>
            </w:pPr>
            <w:r>
              <w:rPr>
                <w:rFonts w:ascii="Arial" w:cs="Arial" w:eastAsia="Arial" w:hAnsi="Arial"/>
                <w:sz w:val="18"/>
                <w:szCs w:val="18"/>
                <w:color w:val="auto"/>
                <w:w w:val="90"/>
              </w:rPr>
              <w:t>91.4%</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center"/>
              <w:ind w:right="111"/>
              <w:spacing w:after="0"/>
              <w:rPr>
                <w:sz w:val="20"/>
                <w:szCs w:val="20"/>
                <w:color w:val="auto"/>
              </w:rPr>
            </w:pPr>
            <w:r>
              <w:rPr>
                <w:rFonts w:ascii="Arial" w:cs="Arial" w:eastAsia="Arial" w:hAnsi="Arial"/>
                <w:sz w:val="18"/>
                <w:szCs w:val="18"/>
                <w:color w:val="auto"/>
                <w:w w:val="93"/>
              </w:rPr>
              <w:t>92.9%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center"/>
              <w:ind w:right="111"/>
              <w:spacing w:after="0"/>
              <w:rPr>
                <w:sz w:val="20"/>
                <w:szCs w:val="20"/>
                <w:color w:val="auto"/>
              </w:rPr>
            </w:pPr>
            <w:r>
              <w:rPr>
                <w:rFonts w:ascii="Arial" w:cs="Arial" w:eastAsia="Arial" w:hAnsi="Arial"/>
                <w:sz w:val="18"/>
                <w:szCs w:val="18"/>
                <w:color w:val="auto"/>
                <w:w w:val="90"/>
              </w:rPr>
              <w:t>91.4%</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6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Properties included in same-store</w:t>
            </w:r>
          </w:p>
        </w:tc>
        <w:tc>
          <w:tcPr>
            <w:tcW w:w="180" w:type="dxa"/>
            <w:vAlign w:val="bottom"/>
          </w:tcPr>
          <w:p>
            <w:pPr>
              <w:spacing w:after="0"/>
              <w:rPr>
                <w:sz w:val="21"/>
                <w:szCs w:val="21"/>
                <w:color w:val="auto"/>
              </w:rPr>
            </w:pPr>
          </w:p>
        </w:tc>
        <w:tc>
          <w:tcPr>
            <w:tcW w:w="900" w:type="dxa"/>
            <w:vAlign w:val="bottom"/>
          </w:tcPr>
          <w:p>
            <w:pPr>
              <w:jc w:val="center"/>
              <w:ind w:right="93"/>
              <w:spacing w:after="0"/>
              <w:rPr>
                <w:sz w:val="20"/>
                <w:szCs w:val="20"/>
                <w:color w:val="auto"/>
              </w:rPr>
            </w:pPr>
            <w:r>
              <w:rPr>
                <w:rFonts w:ascii="Arial" w:cs="Arial" w:eastAsia="Arial" w:hAnsi="Arial"/>
                <w:sz w:val="18"/>
                <w:szCs w:val="18"/>
                <w:color w:val="auto"/>
                <w:w w:val="93"/>
              </w:rPr>
              <w:t>503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center"/>
              <w:ind w:right="111"/>
              <w:spacing w:after="0"/>
              <w:rPr>
                <w:sz w:val="20"/>
                <w:szCs w:val="20"/>
                <w:color w:val="auto"/>
              </w:rPr>
            </w:pPr>
            <w:r>
              <w:rPr>
                <w:rFonts w:ascii="Arial" w:cs="Arial" w:eastAsia="Arial" w:hAnsi="Arial"/>
                <w:sz w:val="18"/>
                <w:szCs w:val="18"/>
                <w:color w:val="auto"/>
                <w:w w:val="86"/>
              </w:rPr>
              <w:t>503</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center"/>
              <w:ind w:right="111"/>
              <w:spacing w:after="0"/>
              <w:rPr>
                <w:sz w:val="20"/>
                <w:szCs w:val="20"/>
                <w:color w:val="auto"/>
              </w:rPr>
            </w:pPr>
            <w:r>
              <w:rPr>
                <w:rFonts w:ascii="Arial" w:cs="Arial" w:eastAsia="Arial" w:hAnsi="Arial"/>
                <w:sz w:val="18"/>
                <w:szCs w:val="18"/>
                <w:color w:val="auto"/>
                <w:w w:val="93"/>
              </w:rPr>
              <w:t>503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center"/>
              <w:ind w:right="111"/>
              <w:spacing w:after="0"/>
              <w:rPr>
                <w:sz w:val="20"/>
                <w:szCs w:val="20"/>
                <w:color w:val="auto"/>
              </w:rPr>
            </w:pPr>
            <w:r>
              <w:rPr>
                <w:rFonts w:ascii="Arial" w:cs="Arial" w:eastAsia="Arial" w:hAnsi="Arial"/>
                <w:sz w:val="18"/>
                <w:szCs w:val="18"/>
                <w:color w:val="auto"/>
                <w:w w:val="86"/>
              </w:rPr>
              <w:t>503</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color w:val="auto"/>
        </w:rPr>
        <w:t>The increases in same-store rental and tenant reinsurance revenues for the three months and year ended December 31, 2015, as compared to the same periods ended December 31, 2014, were due primarily to an increase in occupancy, an increase in rental rates to new and existing customers, and reduced customer discounts. Expenses were higher for the year ended December 31, 2015 due to increases in tenant reinsurance expense, credit card merchant fees and property taxes. Increases were offset by decreases in utility expenses and property insurance expense.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2016 to the Year Ended December 31, 2015</w:t>
      </w:r>
    </w:p>
    <w:p>
      <w:pPr>
        <w:spacing w:after="0" w:line="117" w:lineRule="exact"/>
        <w:rPr>
          <w:sz w:val="20"/>
          <w:szCs w:val="20"/>
          <w:color w:val="auto"/>
        </w:rPr>
      </w:pPr>
    </w:p>
    <w:p>
      <w:pPr>
        <w:ind w:right="220" w:firstLine="432"/>
        <w:spacing w:after="0" w:line="275" w:lineRule="auto"/>
        <w:rPr>
          <w:sz w:val="20"/>
          <w:szCs w:val="20"/>
          <w:color w:val="auto"/>
        </w:rPr>
      </w:pPr>
      <w:r>
        <w:rPr>
          <w:rFonts w:ascii="Arial" w:cs="Arial" w:eastAsia="Arial" w:hAnsi="Arial"/>
          <w:sz w:val="17"/>
          <w:szCs w:val="17"/>
          <w:color w:val="auto"/>
        </w:rPr>
        <w:t>Cash provided by operating activities was $539,263 and $367,329 for the years ended December 31, 2016 and 2015, respectively. The change when compared to the prior year was primarily due to a $187,553 increase in net income and an increase in depreciation and amortization expense of $49,103. These increases were offset by an increase in the gain on sale of real estate assets and purchase joint venture partners’ interests of $66,342. This gain was primarily the result of three step acquisitions of stores that were previously owned by our VRS, PRISA II and WCOT joint ventures, along with the gain on the sale of our remaining interest in the PRISA II joint venture to Prudential.</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23" w:right="239" w:bottom="1440" w:gutter="0" w:footer="0" w:header="0"/>
        </w:sectPr>
      </w:pPr>
    </w:p>
    <w:bookmarkStart w:id="39" w:name="page40"/>
    <w:bookmarkEnd w:id="39"/>
    <w:p>
      <w:pPr>
        <w:ind w:firstLine="405"/>
        <w:spacing w:after="0" w:line="275" w:lineRule="auto"/>
        <w:rPr>
          <w:sz w:val="20"/>
          <w:szCs w:val="20"/>
          <w:color w:val="auto"/>
        </w:rPr>
      </w:pPr>
      <w:r>
        <w:rPr>
          <w:rFonts w:ascii="Arial" w:cs="Arial" w:eastAsia="Arial" w:hAnsi="Arial"/>
          <w:sz w:val="17"/>
          <w:szCs w:val="17"/>
          <w:color w:val="auto"/>
        </w:rPr>
        <w:t>Cash used in investing activities was $1,032,035 and $1,625,664, for the years ended December 31, 2016 and 2015, respectively. The decrease was primarily due to a decrease in total cash paid for the acquisition of real estate assets of $464,227. We purchased 99 stores during the year ended December 31, 2016, compared to 171 stores purchased during 2015. There was also an increase in proceeds from sale of real estate assets, investments in real estate ventures and other assets of $60,013, a decrease in cash paid on the purchase/issuance of notes receivable of $57,902 and an increase in cash received from principal payments on notes receivable of $42,785 for the year ended December 31, 2016 when compared to 2015.</w:t>
      </w:r>
    </w:p>
    <w:p>
      <w:pPr>
        <w:spacing w:after="0" w:line="175"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color w:val="auto"/>
        </w:rPr>
        <w:t>Cash provided by financing activities was $460,831 and $1,286,471, for the years ended December 31, 2016 and 2015, respectively. The change related primarily to a decrease in proceeds from notes payable and revolving lines of credit of $221,445, a decrease in net proceeds from the issuance of exchangeable senior notes of $563,500, and a decrease in net proceeds from the sale of common stock of $323,453 for the year ended December 31, 2016 when compared to the prior year. These decreases were partially offset by a decrease in principal payments on notes payable and revolving lines of credit of $191,128 and a decrease in the cash paid for the repurchase of exchangeable senior notes of $205,017.</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2015 to the Year Ended December 31, 2014</w:t>
      </w:r>
    </w:p>
    <w:p>
      <w:pPr>
        <w:spacing w:after="0" w:line="117"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Cash provided by operating activities was $367,329 and $337,581 for the years ended December 31, 2015 and 2014, respectively. The change when compared to the prior year was primarily due to a $13,640 increase in net income and an increase in depreciation and amortization expense of $18,381. These increases were partially offset by a decrease in the change in accounts payable and accrued liabilities of $4,812.</w:t>
      </w:r>
    </w:p>
    <w:p>
      <w:pPr>
        <w:spacing w:after="0" w:line="16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Cash used in investing activities was $1,625,664 and $564,948 for the years ended December 31, 2015 and 2014, respectively. The change was primarily the result of an increase of $1,200,853 paid for the acquisition of SmartStop in October 2015. There was also an increase of $55,073 in cash used to purchase/issue notes receivable. These increases in cash outflows were partially offset by an increase of $45,080 in cash received as returns of investments in unconsolidated real estate ventures.</w:t>
      </w:r>
    </w:p>
    <w:p>
      <w:pPr>
        <w:spacing w:after="0" w:line="186" w:lineRule="exact"/>
        <w:rPr>
          <w:sz w:val="20"/>
          <w:szCs w:val="20"/>
          <w:color w:val="auto"/>
        </w:rPr>
      </w:pPr>
    </w:p>
    <w:p>
      <w:pPr>
        <w:ind w:right="200" w:firstLine="432"/>
        <w:spacing w:after="0" w:line="255" w:lineRule="auto"/>
        <w:rPr>
          <w:sz w:val="20"/>
          <w:szCs w:val="20"/>
          <w:color w:val="auto"/>
        </w:rPr>
      </w:pPr>
      <w:r>
        <w:rPr>
          <w:rFonts w:ascii="Arial" w:cs="Arial" w:eastAsia="Arial" w:hAnsi="Arial"/>
          <w:sz w:val="18"/>
          <w:szCs w:val="18"/>
          <w:color w:val="auto"/>
        </w:rPr>
        <w:t>Cash provided by financing activities was $1,286,471 and $148,307 for the years ended December 31, 2015 and 2014, respectively. The net increase was due to a number of factors, including an increase of $1,204,138 in the cash proceeds received from the issuance of notes payable and revolving lines of credit, an increase of $446,877 in the cash proceeds received from the sale of common stock, and an increase of $563,500 in the net proceeds from the issuance of exchangeable senior notes. These increases in cash inflows were offset by an increase of $780,442 of cash paid for principal payments on notes payable and revolving lines of credit, an increase of $227,212 in cash paid to repurchase existing exchangeable senior notes, and an increase of $59,211 in cash paid as dividends on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As of December 31, 2016, we had $43,858 available in cash and cash equivalents. We are required to distribute at least 90% of our net taxable income, excluding net capital gains, to our stockholders on an annual basis to maintain our qualification as a REIT.</w:t>
      </w:r>
    </w:p>
    <w:p>
      <w:pPr>
        <w:spacing w:after="0" w:line="170" w:lineRule="exact"/>
        <w:rPr>
          <w:sz w:val="20"/>
          <w:szCs w:val="20"/>
          <w:color w:val="auto"/>
        </w:rPr>
      </w:pPr>
    </w:p>
    <w:p>
      <w:pPr>
        <w:jc w:val="both"/>
        <w:ind w:right="160" w:firstLine="405"/>
        <w:spacing w:after="0" w:line="263" w:lineRule="auto"/>
        <w:rPr>
          <w:sz w:val="20"/>
          <w:szCs w:val="20"/>
          <w:color w:val="auto"/>
        </w:rPr>
      </w:pPr>
      <w:r>
        <w:rPr>
          <w:rFonts w:ascii="Arial" w:cs="Arial" w:eastAsia="Arial" w:hAnsi="Arial"/>
          <w:sz w:val="18"/>
          <w:szCs w:val="18"/>
          <w:color w:val="auto"/>
        </w:rPr>
        <w:t>Our cash and cash equivalents are held in accounts managed by third party financial institutions and consist of invested cash and cash in our operating accounts. During 2016 and 2015, we experienced no loss or lack of access to our cash or cash equivalents; however, there can be no assurance that access to our cash and cash equivalents will not be impacted by adverse conditions in the financial markets.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800" w:right="259" w:bottom="1440" w:gutter="0" w:footer="0" w:header="0"/>
        </w:sectPr>
      </w:pPr>
    </w:p>
    <w:bookmarkStart w:id="40" w:name="page41"/>
    <w:bookmarkEnd w:id="40"/>
    <w:p>
      <w:pPr>
        <w:ind w:left="420"/>
        <w:spacing w:after="0"/>
        <w:rPr>
          <w:sz w:val="20"/>
          <w:szCs w:val="20"/>
          <w:color w:val="auto"/>
        </w:rPr>
      </w:pPr>
      <w:r>
        <w:rPr>
          <w:rFonts w:ascii="Arial" w:cs="Arial" w:eastAsia="Arial" w:hAnsi="Arial"/>
          <w:sz w:val="18"/>
          <w:szCs w:val="18"/>
          <w:color w:val="auto"/>
        </w:rPr>
        <w:t>The following table presents information on our lines of credit for the period presented. All of our lines of credit are guaranteed by us.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4"/>
                <w:szCs w:val="14"/>
                <w:b w:val="1"/>
                <w:bCs w:val="1"/>
                <w:color w:val="auto"/>
                <w:w w:val="92"/>
              </w:rPr>
              <w:t>As of December 31, 2016</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69"/>
        </w:trPr>
        <w:tc>
          <w:tcPr>
            <w:tcW w:w="25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Revolving Lines of Credit</w:t>
            </w: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6"/>
                <w:szCs w:val="16"/>
                <w:b w:val="1"/>
                <w:bCs w:val="1"/>
                <w:color w:val="auto"/>
                <w:w w:val="96"/>
              </w:rPr>
              <w:t>Amount Drawn</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Capacity</w:t>
            </w:r>
          </w:p>
        </w:tc>
        <w:tc>
          <w:tcPr>
            <w:tcW w:w="10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Interest Rate</w:t>
            </w:r>
          </w:p>
        </w:tc>
        <w:tc>
          <w:tcPr>
            <w:tcW w:w="100" w:type="dxa"/>
            <w:vAlign w:val="bottom"/>
            <w:tcBorders>
              <w:bottom w:val="single" w:sz="8" w:color="CCEEFF"/>
            </w:tcBorders>
          </w:tcPr>
          <w:p>
            <w:pPr>
              <w:spacing w:after="0"/>
              <w:rPr>
                <w:sz w:val="23"/>
                <w:szCs w:val="23"/>
                <w:color w:val="auto"/>
              </w:rPr>
            </w:pPr>
          </w:p>
        </w:tc>
        <w:tc>
          <w:tcPr>
            <w:tcW w:w="13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Origination Date</w:t>
            </w:r>
          </w:p>
        </w:tc>
        <w:tc>
          <w:tcPr>
            <w:tcW w:w="10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Maturity</w:t>
            </w:r>
          </w:p>
        </w:tc>
        <w:tc>
          <w:tcPr>
            <w:tcW w:w="100" w:type="dxa"/>
            <w:vAlign w:val="bottom"/>
            <w:tcBorders>
              <w:bottom w:val="single" w:sz="8" w:color="CCEEFF"/>
            </w:tcBorders>
          </w:tcPr>
          <w:p>
            <w:pPr>
              <w:spacing w:after="0"/>
              <w:rPr>
                <w:sz w:val="23"/>
                <w:szCs w:val="23"/>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 xml:space="preserve">Basis Rate </w:t>
            </w:r>
            <w:r>
              <w:rPr>
                <w:rFonts w:ascii="Arial" w:cs="Arial" w:eastAsia="Arial" w:hAnsi="Arial"/>
                <w:sz w:val="21"/>
                <w:szCs w:val="21"/>
                <w:b w:val="1"/>
                <w:bCs w:val="1"/>
                <w:color w:val="auto"/>
                <w:w w:val="87"/>
                <w:vertAlign w:val="superscript"/>
              </w:rPr>
              <w:t>(1)</w:t>
            </w:r>
          </w:p>
        </w:tc>
      </w:tr>
      <w:tr>
        <w:trPr>
          <w:trHeight w:val="243"/>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Credit Line 1</w:t>
            </w: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rPr>
              <w:t>6/4/2010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6/30/2018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LIBOR plus 1.7%</w:t>
            </w: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w w:val="94"/>
              </w:rPr>
              <w:t>Credit Line 2</w:t>
            </w:r>
          </w:p>
        </w:tc>
        <w:tc>
          <w:tcPr>
            <w:tcW w:w="1480" w:type="dxa"/>
            <w:vAlign w:val="bottom"/>
          </w:tcPr>
          <w:p>
            <w:pPr>
              <w:ind w:left="20"/>
              <w:spacing w:after="0"/>
              <w:rPr>
                <w:sz w:val="20"/>
                <w:szCs w:val="20"/>
                <w:color w:val="auto"/>
              </w:rPr>
            </w:pPr>
            <w:r>
              <w:rPr>
                <w:rFonts w:ascii="Arial" w:cs="Arial" w:eastAsia="Arial" w:hAnsi="Arial"/>
                <w:sz w:val="13"/>
                <w:szCs w:val="13"/>
                <w:color w:val="auto"/>
              </w:rPr>
              <w:t>(3)(4)</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362,000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500,000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380" w:type="dxa"/>
            <w:vAlign w:val="bottom"/>
          </w:tcPr>
          <w:p>
            <w:pPr>
              <w:jc w:val="right"/>
              <w:ind w:right="193"/>
              <w:spacing w:after="0"/>
              <w:rPr>
                <w:sz w:val="20"/>
                <w:szCs w:val="20"/>
                <w:color w:val="auto"/>
              </w:rPr>
            </w:pPr>
            <w:r>
              <w:rPr>
                <w:rFonts w:ascii="Arial" w:cs="Arial" w:eastAsia="Arial" w:hAnsi="Arial"/>
                <w:sz w:val="18"/>
                <w:szCs w:val="18"/>
                <w:color w:val="auto"/>
              </w:rPr>
              <w:t>10/14/2016</w:t>
            </w:r>
          </w:p>
        </w:tc>
        <w:tc>
          <w:tcPr>
            <w:tcW w:w="100" w:type="dxa"/>
            <w:vAlign w:val="bottom"/>
          </w:tcPr>
          <w:p>
            <w:pPr>
              <w:spacing w:after="0"/>
              <w:rPr>
                <w:sz w:val="21"/>
                <w:szCs w:val="21"/>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10/14/2020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6"/>
              </w:rPr>
              <w:t>LIBOR plus 1.4%</w:t>
            </w:r>
          </w:p>
        </w:tc>
      </w:tr>
      <w:tr>
        <w:trPr>
          <w:trHeight w:val="27"/>
        </w:trPr>
        <w:tc>
          <w:tcPr>
            <w:tcW w:w="10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68"/>
        </w:trPr>
        <w:tc>
          <w:tcPr>
            <w:tcW w:w="10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365,000</w:t>
            </w: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ind w:left="280" w:hanging="245"/>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30-day USD LIBOR</w:t>
      </w:r>
    </w:p>
    <w:p>
      <w:pPr>
        <w:spacing w:after="0" w:line="48" w:lineRule="exact"/>
        <w:rPr>
          <w:rFonts w:ascii="Arial" w:cs="Arial" w:eastAsia="Arial" w:hAnsi="Arial"/>
          <w:sz w:val="18"/>
          <w:szCs w:val="18"/>
          <w:color w:val="auto"/>
        </w:rPr>
      </w:pPr>
    </w:p>
    <w:p>
      <w:pPr>
        <w:ind w:left="280" w:hanging="245"/>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Secured by mortgages on certain real estate assets. One two-year extension available.</w:t>
      </w:r>
    </w:p>
    <w:p>
      <w:pPr>
        <w:spacing w:after="0" w:line="62" w:lineRule="exact"/>
        <w:rPr>
          <w:rFonts w:ascii="Arial" w:cs="Arial" w:eastAsia="Arial" w:hAnsi="Arial"/>
          <w:sz w:val="18"/>
          <w:szCs w:val="18"/>
          <w:color w:val="auto"/>
        </w:rPr>
      </w:pPr>
    </w:p>
    <w:p>
      <w:pPr>
        <w:ind w:left="280" w:hanging="245"/>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Unsecured. Two six-month extensions available.</w:t>
      </w:r>
    </w:p>
    <w:p>
      <w:pPr>
        <w:spacing w:after="0" w:line="62" w:lineRule="exact"/>
        <w:rPr>
          <w:rFonts w:ascii="Arial" w:cs="Arial" w:eastAsia="Arial" w:hAnsi="Arial"/>
          <w:sz w:val="18"/>
          <w:szCs w:val="18"/>
          <w:color w:val="auto"/>
        </w:rPr>
      </w:pPr>
    </w:p>
    <w:p>
      <w:pPr>
        <w:ind w:left="280" w:hanging="245"/>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Basis Rate as of December 31, 2016. Rate is subject to change based on our consolidated leverage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-481330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2"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auto"/>
        </w:rPr>
        <w:t>As of December 31, 2016, we had $4,363,697 face value of debt, resulting in a debt to total enterprise value ratio of 29.6%. As of December 31, 2016, the ratio of total fixed-rate debt and other instruments to total debt was 70.0% (including $2,198,275 on which we have interest rate swaps that have been included as fixed-rate debt). The weighted average interest rate of the total of fixed- and variable-rate debt at December 31, 2016 was 3.0%. Certain of our real estate assets are pledged as collateral for our debt. We are subject to certain restrictive covenants relating to our outstanding debt. We were in compliance with all financial covenants at December 31, 2016.</w:t>
      </w:r>
    </w:p>
    <w:p>
      <w:pPr>
        <w:spacing w:after="0" w:line="191" w:lineRule="exact"/>
        <w:rPr>
          <w:sz w:val="20"/>
          <w:szCs w:val="20"/>
          <w:color w:val="auto"/>
        </w:rPr>
      </w:pPr>
    </w:p>
    <w:p>
      <w:pPr>
        <w:ind w:right="560" w:firstLine="405"/>
        <w:spacing w:after="0" w:line="259" w:lineRule="auto"/>
        <w:rPr>
          <w:sz w:val="20"/>
          <w:szCs w:val="20"/>
          <w:color w:val="auto"/>
        </w:rPr>
      </w:pPr>
      <w:r>
        <w:rPr>
          <w:rFonts w:ascii="Arial" w:cs="Arial" w:eastAsia="Arial" w:hAnsi="Arial"/>
          <w:sz w:val="18"/>
          <w:szCs w:val="18"/>
          <w:color w:val="auto"/>
        </w:rPr>
        <w:t>We expect to fund our short-term liquidity requirements, including operating expenses, recurring capital expenditures, dividends to stockholders, distributions to holders of Operating Partnership units and interest on our outstanding indebtedness, out of our operating cash flow, cash on hand and borrowings under our revolving lines of credit, including undrawn portions of our unsecured facility. In addition, we are pursuing additional sources of financing based on anticipated funding needs.</w:t>
      </w:r>
    </w:p>
    <w:p>
      <w:pPr>
        <w:spacing w:after="0" w:line="186"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Our liquidity needs consist primarily of cash distributions to stockholders, store acquisitions, principal payments under our borrowings and non-recurring capital expenditures. We may from time to time seek to repurchase our outstanding debt, shares of common stock or other securities in open market purchases, privately negotiated transactions or otherwise. Such repurchases, if any, will depend on prevailing market conditions, our liquidity requirements, contractual restrictions and other factors. In addition, we evaluate, on an ongoing basis, the merits of strategic acquisitions and other relationships, which may require us to raise additional funds. We do not expect that our operating cash flow or cash balances will be sufficient to fund our liquidity needs and instead expect to fund such needs out of additional borrowings of secured or unsecured indebtedness, joint ventures with third parties, and from the proceeds of public and private offerings of equity and debt. Additional capital may not be available on terms favorable to us or at all. Any additional issuance of equity or equity-linked securities may result in dilution to our stockholders. In addition, any new securities we issue could have rights, preferences and privileges senior to holders of our common stock. We may also use Operating Partnership units as currency to fund acquisitions from self-storage owners who desire tax-deferral in their exiting transactions.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432"/>
        <w:spacing w:after="0" w:line="296" w:lineRule="auto"/>
        <w:rPr>
          <w:sz w:val="20"/>
          <w:szCs w:val="20"/>
          <w:color w:val="auto"/>
        </w:rPr>
      </w:pPr>
      <w:r>
        <w:rPr>
          <w:rFonts w:ascii="Arial" w:cs="Arial" w:eastAsia="Arial" w:hAnsi="Arial"/>
          <w:sz w:val="16"/>
          <w:szCs w:val="16"/>
          <w:color w:val="auto"/>
        </w:rPr>
        <w:t>Except as disclosed in the notes to our financial statements, we do not currently have any relationships with unconsolidated entities or financial partnerships, such as entities often referred to as structured finance or special purposes entities, which typically are established for the purpose of facilitating off-balance sheet arrangements or other contractually narrow or limited purposes. Further, except as disclosed in the notes to our financial statements, we have not guaranteed any obligations of unconsolidated entities nor do we have any commitments or intent to provide funding to any such entities. Accordingly, we are not materially exposed to any financing, liquidity, market or credit risk that could arise if we had engaged in these relationships.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information on future payments due by period as of December 31, 2016: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00"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6"/>
          </w:tcPr>
          <w:p>
            <w:pPr>
              <w:jc w:val="center"/>
              <w:ind w:left="770"/>
              <w:spacing w:after="0"/>
              <w:rPr>
                <w:sz w:val="20"/>
                <w:szCs w:val="20"/>
                <w:color w:val="auto"/>
              </w:rPr>
            </w:pPr>
            <w:r>
              <w:rPr>
                <w:rFonts w:ascii="Arial" w:cs="Arial" w:eastAsia="Arial" w:hAnsi="Arial"/>
                <w:sz w:val="18"/>
                <w:szCs w:val="18"/>
                <w:color w:val="auto"/>
                <w:w w:val="88"/>
              </w:rPr>
              <w:t>Payments due by Period:</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6"/>
        </w:trPr>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Less Than</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After</w:t>
            </w:r>
          </w:p>
        </w:tc>
      </w:tr>
      <w:tr>
        <w:trPr>
          <w:trHeight w:val="270"/>
        </w:trPr>
        <w:tc>
          <w:tcPr>
            <w:tcW w:w="4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1 Year</w:t>
            </w:r>
          </w:p>
        </w:tc>
        <w:tc>
          <w:tcPr>
            <w:tcW w:w="200" w:type="dxa"/>
            <w:vAlign w:val="bottom"/>
          </w:tcPr>
          <w:p>
            <w:pPr>
              <w:spacing w:after="0"/>
              <w:rPr>
                <w:sz w:val="23"/>
                <w:szCs w:val="23"/>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1-3 Years</w:t>
            </w:r>
          </w:p>
        </w:tc>
        <w:tc>
          <w:tcPr>
            <w:tcW w:w="220" w:type="dxa"/>
            <w:vAlign w:val="bottom"/>
          </w:tcPr>
          <w:p>
            <w:pPr>
              <w:spacing w:after="0"/>
              <w:rPr>
                <w:sz w:val="23"/>
                <w:szCs w:val="23"/>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3-5 Years</w:t>
            </w:r>
          </w:p>
        </w:tc>
        <w:tc>
          <w:tcPr>
            <w:tcW w:w="240" w:type="dxa"/>
            <w:vAlign w:val="bottom"/>
          </w:tcPr>
          <w:p>
            <w:pPr>
              <w:spacing w:after="0"/>
              <w:rPr>
                <w:sz w:val="23"/>
                <w:szCs w:val="23"/>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5 Years</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120,926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90,025</w:t>
            </w:r>
          </w:p>
        </w:tc>
      </w:tr>
      <w:tr>
        <w:trPr>
          <w:trHeight w:val="228"/>
        </w:trPr>
        <w:tc>
          <w:tcPr>
            <w:tcW w:w="4680" w:type="dxa"/>
            <w:vAlign w:val="bottom"/>
          </w:tcPr>
          <w:p>
            <w:pPr>
              <w:ind w:left="40"/>
              <w:spacing w:after="0"/>
              <w:rPr>
                <w:sz w:val="20"/>
                <w:szCs w:val="20"/>
                <w:color w:val="auto"/>
              </w:rPr>
            </w:pPr>
            <w:r>
              <w:rPr>
                <w:rFonts w:ascii="Arial" w:cs="Arial" w:eastAsia="Arial" w:hAnsi="Arial"/>
                <w:sz w:val="18"/>
                <w:szCs w:val="18"/>
                <w:color w:val="auto"/>
                <w:w w:val="96"/>
              </w:rPr>
              <w:t>Notes payable, notes payable to trusts and revolving lines of</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680" w:type="dxa"/>
            <w:vAlign w:val="bottom"/>
          </w:tcPr>
          <w:p>
            <w:pPr>
              <w:ind w:left="200"/>
              <w:spacing w:after="0"/>
              <w:rPr>
                <w:sz w:val="20"/>
                <w:szCs w:val="20"/>
                <w:color w:val="auto"/>
              </w:rPr>
            </w:pPr>
            <w:r>
              <w:rPr>
                <w:rFonts w:ascii="Arial" w:cs="Arial" w:eastAsia="Arial" w:hAnsi="Arial"/>
                <w:sz w:val="18"/>
                <w:szCs w:val="18"/>
                <w:color w:val="auto"/>
              </w:rPr>
              <w:t>credit</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573,411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127,630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218,184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109,191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118,406</w:t>
            </w: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Principal</w:t>
            </w:r>
          </w:p>
        </w:tc>
        <w:tc>
          <w:tcPr>
            <w:tcW w:w="3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4,363,697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311,075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936,309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2,432,353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683,960</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5,058,034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444,828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1,167,294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2,553,521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892,391</w:t>
            </w:r>
          </w:p>
        </w:tc>
      </w:tr>
      <w:tr>
        <w:trPr>
          <w:trHeight w:val="20"/>
        </w:trPr>
        <w:tc>
          <w:tcPr>
            <w:tcW w:w="4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operating leases above include minimum future lease payments on leases for 22 of our operating stores as well as leases of our corporate offices.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Three ground leases include additional contingent rental payments based on the level of revenue achieved at the store.</w:t>
      </w:r>
    </w:p>
    <w:p>
      <w:pPr>
        <w:spacing w:after="0" w:line="21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As of December 31, 2016, the weighted average interest rate for all fixed rate loans was 3.3%, and the weighted average interest rate on all variable rate loans was 2.3%.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STRATEGY</w:t>
      </w:r>
    </w:p>
    <w:p>
      <w:pPr>
        <w:spacing w:after="0" w:line="121"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We will continue to employ leverage in our capital structure in amounts reviewed from time to time by our board of directors. Although our board of directors has not adopted a policy which limits the total amount of indebtedness that we may incur, we will consider a number of factors in evaluating our level of indebtedness from time to time, as well as the amount of such indebtedness that will be either fixed or variable rate. In making financing decisions, we will consider factors including but not limited to:</w:t>
      </w:r>
    </w:p>
    <w:p>
      <w:pPr>
        <w:spacing w:after="0" w:line="91" w:lineRule="exact"/>
        <w:rPr>
          <w:sz w:val="20"/>
          <w:szCs w:val="20"/>
          <w:color w:val="auto"/>
        </w:rPr>
      </w:pPr>
    </w:p>
    <w:p>
      <w:pPr>
        <w:ind w:left="540" w:hanging="316"/>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interest rate of the proposed financing;</w:t>
      </w:r>
    </w:p>
    <w:p>
      <w:pPr>
        <w:spacing w:after="0" w:line="62" w:lineRule="exact"/>
        <w:rPr>
          <w:rFonts w:ascii="Arial" w:cs="Arial" w:eastAsia="Arial" w:hAnsi="Arial"/>
          <w:sz w:val="18"/>
          <w:szCs w:val="18"/>
          <w:color w:val="auto"/>
        </w:rPr>
      </w:pPr>
    </w:p>
    <w:p>
      <w:pPr>
        <w:ind w:left="540" w:hanging="316"/>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the financing impacts flexibility in managing our stores;</w:t>
      </w:r>
    </w:p>
    <w:p>
      <w:pPr>
        <w:spacing w:after="0" w:line="62" w:lineRule="exact"/>
        <w:rPr>
          <w:rFonts w:ascii="Arial" w:cs="Arial" w:eastAsia="Arial" w:hAnsi="Arial"/>
          <w:sz w:val="18"/>
          <w:szCs w:val="18"/>
          <w:color w:val="auto"/>
        </w:rPr>
      </w:pPr>
    </w:p>
    <w:p>
      <w:pPr>
        <w:ind w:left="540" w:hanging="316"/>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prepayment penalties and restrictions on refinancing;</w:t>
      </w:r>
    </w:p>
    <w:p>
      <w:pPr>
        <w:spacing w:after="0" w:line="62" w:lineRule="exact"/>
        <w:rPr>
          <w:rFonts w:ascii="Arial" w:cs="Arial" w:eastAsia="Arial" w:hAnsi="Arial"/>
          <w:sz w:val="18"/>
          <w:szCs w:val="18"/>
          <w:color w:val="auto"/>
        </w:rPr>
      </w:pPr>
    </w:p>
    <w:p>
      <w:pPr>
        <w:ind w:left="540" w:hanging="316"/>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purchase price of stores acquired with debt financing;</w:t>
      </w:r>
    </w:p>
    <w:p>
      <w:pPr>
        <w:spacing w:after="0" w:line="62" w:lineRule="exact"/>
        <w:rPr>
          <w:rFonts w:ascii="Arial" w:cs="Arial" w:eastAsia="Arial" w:hAnsi="Arial"/>
          <w:sz w:val="18"/>
          <w:szCs w:val="18"/>
          <w:color w:val="auto"/>
        </w:rPr>
      </w:pPr>
    </w:p>
    <w:p>
      <w:pPr>
        <w:ind w:left="540" w:hanging="316"/>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long-term objectives with respect to the financing;</w:t>
      </w:r>
    </w:p>
    <w:p>
      <w:pPr>
        <w:spacing w:after="0" w:line="62" w:lineRule="exact"/>
        <w:rPr>
          <w:rFonts w:ascii="Arial" w:cs="Arial" w:eastAsia="Arial" w:hAnsi="Arial"/>
          <w:sz w:val="18"/>
          <w:szCs w:val="18"/>
          <w:color w:val="auto"/>
        </w:rPr>
      </w:pPr>
    </w:p>
    <w:p>
      <w:pPr>
        <w:ind w:left="540" w:hanging="316"/>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target investment returns;</w:t>
      </w:r>
    </w:p>
    <w:p>
      <w:pPr>
        <w:spacing w:after="0" w:line="62" w:lineRule="exact"/>
        <w:rPr>
          <w:rFonts w:ascii="Arial" w:cs="Arial" w:eastAsia="Arial" w:hAnsi="Arial"/>
          <w:sz w:val="18"/>
          <w:szCs w:val="18"/>
          <w:color w:val="auto"/>
        </w:rPr>
      </w:pPr>
    </w:p>
    <w:p>
      <w:pPr>
        <w:ind w:left="540" w:hanging="316"/>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particular stores, and our Company as a whole, to generate cash flow sufficient to cover expected debt service payments;</w:t>
      </w:r>
    </w:p>
    <w:p>
      <w:pPr>
        <w:spacing w:after="0" w:line="62" w:lineRule="exact"/>
        <w:rPr>
          <w:rFonts w:ascii="Arial" w:cs="Arial" w:eastAsia="Arial" w:hAnsi="Arial"/>
          <w:sz w:val="18"/>
          <w:szCs w:val="18"/>
          <w:color w:val="auto"/>
        </w:rPr>
      </w:pPr>
    </w:p>
    <w:p>
      <w:pPr>
        <w:ind w:left="540" w:hanging="316"/>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overall level of consolidated indebtedness;</w:t>
      </w:r>
    </w:p>
    <w:p>
      <w:pPr>
        <w:spacing w:after="0" w:line="62" w:lineRule="exact"/>
        <w:rPr>
          <w:rFonts w:ascii="Arial" w:cs="Arial" w:eastAsia="Arial" w:hAnsi="Arial"/>
          <w:sz w:val="18"/>
          <w:szCs w:val="18"/>
          <w:color w:val="auto"/>
        </w:rPr>
      </w:pPr>
    </w:p>
    <w:p>
      <w:pPr>
        <w:ind w:left="540" w:hanging="316"/>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timing of debt and lease maturities;</w:t>
      </w:r>
    </w:p>
    <w:p>
      <w:pPr>
        <w:spacing w:after="0" w:line="62" w:lineRule="exact"/>
        <w:rPr>
          <w:rFonts w:ascii="Arial" w:cs="Arial" w:eastAsia="Arial" w:hAnsi="Arial"/>
          <w:sz w:val="18"/>
          <w:szCs w:val="18"/>
          <w:color w:val="auto"/>
        </w:rPr>
      </w:pPr>
    </w:p>
    <w:p>
      <w:pPr>
        <w:ind w:left="540" w:hanging="316"/>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provisions that require recourse and cross-collateralization;</w:t>
      </w:r>
    </w:p>
    <w:p>
      <w:pPr>
        <w:spacing w:after="0" w:line="62" w:lineRule="exact"/>
        <w:rPr>
          <w:rFonts w:ascii="Arial" w:cs="Arial" w:eastAsia="Arial" w:hAnsi="Arial"/>
          <w:sz w:val="18"/>
          <w:szCs w:val="18"/>
          <w:color w:val="auto"/>
        </w:rPr>
      </w:pPr>
    </w:p>
    <w:p>
      <w:pPr>
        <w:ind w:left="540" w:hanging="316"/>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corporate credit ratios including debt service coverage, debt to total capitalization and debt to undepreciated assets; and</w:t>
      </w:r>
    </w:p>
    <w:p>
      <w:pPr>
        <w:spacing w:after="0" w:line="62" w:lineRule="exact"/>
        <w:rPr>
          <w:rFonts w:ascii="Arial" w:cs="Arial" w:eastAsia="Arial" w:hAnsi="Arial"/>
          <w:sz w:val="18"/>
          <w:szCs w:val="18"/>
          <w:color w:val="auto"/>
        </w:rPr>
      </w:pPr>
    </w:p>
    <w:p>
      <w:pPr>
        <w:ind w:left="540" w:hanging="316"/>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overall ratio of fixed and variable rate debt.</w:t>
      </w:r>
    </w:p>
    <w:p>
      <w:pPr>
        <w:spacing w:after="0" w:line="279" w:lineRule="exact"/>
        <w:rPr>
          <w:sz w:val="20"/>
          <w:szCs w:val="20"/>
          <w:color w:val="auto"/>
        </w:rPr>
      </w:pPr>
    </w:p>
    <w:p>
      <w:pPr>
        <w:ind w:right="40" w:firstLine="432"/>
        <w:spacing w:after="0" w:line="275" w:lineRule="auto"/>
        <w:rPr>
          <w:sz w:val="20"/>
          <w:szCs w:val="20"/>
          <w:color w:val="auto"/>
        </w:rPr>
      </w:pPr>
      <w:r>
        <w:rPr>
          <w:rFonts w:ascii="Arial" w:cs="Arial" w:eastAsia="Arial" w:hAnsi="Arial"/>
          <w:sz w:val="17"/>
          <w:szCs w:val="17"/>
          <w:color w:val="auto"/>
        </w:rPr>
        <w:t>Our indebtedness may be recourse, non-recourse, cross-collateralized, cross-defaulted, secured or unsecured. If the indebtedness is non-recourse, the collateral will be limited to the particular stores to which the indebtedness relates. In addition, we may invest in stores subject to existing loans collateralized by mortgages or similar liens on our stores, or may refinance stores acquired on a leveraged basis. We may use the proceeds from any borrowings to refinance existing indebtedness, to refinance investments, including the redevelopment of existing stores, for general working capital or to purchase additional interests in partnerships or joint ventures or for other purposes when we believe it is advisable.</w:t>
      </w:r>
    </w:p>
    <w:p>
      <w:pPr>
        <w:spacing w:after="0" w:line="175" w:lineRule="exact"/>
        <w:rPr>
          <w:sz w:val="20"/>
          <w:szCs w:val="20"/>
          <w:color w:val="auto"/>
        </w:rPr>
      </w:pPr>
    </w:p>
    <w:p>
      <w:pPr>
        <w:ind w:right="220" w:firstLine="432"/>
        <w:spacing w:after="0" w:line="263" w:lineRule="auto"/>
        <w:rPr>
          <w:sz w:val="20"/>
          <w:szCs w:val="20"/>
          <w:color w:val="auto"/>
        </w:rPr>
      </w:pPr>
      <w:r>
        <w:rPr>
          <w:rFonts w:ascii="Arial" w:cs="Arial" w:eastAsia="Arial" w:hAnsi="Arial"/>
          <w:sz w:val="18"/>
          <w:szCs w:val="18"/>
          <w:color w:val="auto"/>
        </w:rPr>
        <w:t>We may from time to time seek to retire or repurchase our outstanding debt, as well as shares of common stock or other securities in open market purchases, privately negotiated transactions or otherwise. Such repurchases, if any, will depend on prevailing market conditions, our liquidity requirements, contractual restrictions and other factors. The amounts involved may be material.</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069"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self-storage business is subject to seasonal fluctuations. A greater portion of revenues and profits are realized from May through September.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Historically, our highest level of occupancy has been at the end of July, while our lowest level of occupancy has been in late February and early March.</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Results for any quarter may not be indicative of the results that may be achieved for the full fiscal year.</w:t>
      </w:r>
    </w:p>
    <w:p>
      <w:pPr>
        <w:spacing w:after="0" w:line="31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Market risk refers to the risk of loss from adverse changes in market prices and interest rates. Our future income, cash flows and fair values of financial instruments are dependent upon prevailing market interest rates.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170"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As of December 31, 2016, we had approximately $4.4 billion in total face value debt, of which approximately $1.3 billion was subject to variable interest rates (excluding debt with interest rate swaps). If LIBOR were to increase or decrease by 100 basis points, the increase or decrease in interest expense on the variable rate debt would increase or decrease future earnings and cash flows by approximately $13.1 million annually.</w:t>
      </w:r>
    </w:p>
    <w:p>
      <w:pPr>
        <w:spacing w:after="0" w:line="16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1119" w:right="29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1122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80" w:type="dxa"/>
            <w:vAlign w:val="bottom"/>
          </w:tcPr>
          <w:p>
            <w:pPr>
              <w:spacing w:after="0"/>
              <w:rPr>
                <w:sz w:val="20"/>
                <w:szCs w:val="20"/>
                <w:color w:val="auto"/>
              </w:rPr>
            </w:pPr>
          </w:p>
        </w:tc>
      </w:tr>
      <w:tr>
        <w:trPr>
          <w:trHeight w:val="413"/>
        </w:trPr>
        <w:tc>
          <w:tcPr>
            <w:tcW w:w="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840" w:type="dxa"/>
            <w:vAlign w:val="bottom"/>
            <w:gridSpan w:val="8"/>
          </w:tcPr>
          <w:p>
            <w:pPr>
              <w:jc w:val="center"/>
              <w:ind w:right="3180"/>
              <w:spacing w:after="0"/>
              <w:rPr>
                <w:sz w:val="20"/>
                <w:szCs w:val="20"/>
                <w:color w:val="auto"/>
              </w:rPr>
            </w:pPr>
            <w:r>
              <w:rPr>
                <w:rFonts w:ascii="Arial" w:cs="Arial" w:eastAsia="Arial" w:hAnsi="Arial"/>
                <w:sz w:val="18"/>
                <w:szCs w:val="18"/>
                <w:b w:val="1"/>
                <w:bCs w:val="1"/>
                <w:color w:val="auto"/>
                <w:w w:val="98"/>
              </w:rPr>
              <w:t>EXTRA SPACE STORAGE INC.</w:t>
            </w:r>
          </w:p>
        </w:tc>
        <w:tc>
          <w:tcPr>
            <w:tcW w:w="18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7840" w:type="dxa"/>
            <w:vAlign w:val="bottom"/>
            <w:gridSpan w:val="8"/>
          </w:tcPr>
          <w:p>
            <w:pPr>
              <w:jc w:val="center"/>
              <w:ind w:right="3160"/>
              <w:spacing w:after="0"/>
              <w:rPr>
                <w:sz w:val="20"/>
                <w:szCs w:val="20"/>
                <w:color w:val="auto"/>
              </w:rPr>
            </w:pPr>
            <w:r>
              <w:rPr>
                <w:rFonts w:ascii="Arial" w:cs="Arial" w:eastAsia="Arial" w:hAnsi="Arial"/>
                <w:sz w:val="18"/>
                <w:szCs w:val="18"/>
                <w:b w:val="1"/>
                <w:bCs w:val="1"/>
                <w:color w:val="auto"/>
              </w:rPr>
              <w:t>INDEX TO CONSOLIDATED FINANCIAL STATEMENTS</w:t>
            </w:r>
          </w:p>
        </w:tc>
        <w:tc>
          <w:tcPr>
            <w:tcW w:w="18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360" w:type="dxa"/>
            <w:vAlign w:val="bottom"/>
            <w:gridSpan w:val="5"/>
          </w:tcPr>
          <w:p>
            <w:pPr>
              <w:jc w:val="center"/>
              <w:ind w:right="4640"/>
              <w:spacing w:after="0"/>
              <w:rPr>
                <w:sz w:val="20"/>
                <w:szCs w:val="20"/>
                <w:color w:val="auto"/>
              </w:rPr>
            </w:pPr>
            <w:r>
              <w:rPr>
                <w:rFonts w:ascii="Arial" w:cs="Arial" w:eastAsia="Arial" w:hAnsi="Arial"/>
                <w:sz w:val="18"/>
                <w:szCs w:val="18"/>
                <w:b w:val="1"/>
                <w:bCs w:val="1"/>
                <w:color w:val="auto"/>
                <w:w w:val="98"/>
              </w:rPr>
              <w:t>AND SCHEDULES</w:t>
            </w:r>
          </w:p>
        </w:tc>
        <w:tc>
          <w:tcPr>
            <w:tcW w:w="180" w:type="dxa"/>
            <w:vAlign w:val="bottom"/>
          </w:tcPr>
          <w:p>
            <w:pPr>
              <w:spacing w:after="0"/>
              <w:rPr>
                <w:sz w:val="20"/>
                <w:szCs w:val="20"/>
                <w:color w:val="auto"/>
              </w:rPr>
            </w:pPr>
          </w:p>
        </w:tc>
      </w:tr>
      <w:tr>
        <w:trPr>
          <w:trHeight w:val="337"/>
        </w:trPr>
        <w:tc>
          <w:tcPr>
            <w:tcW w:w="40" w:type="dxa"/>
            <w:vAlign w:val="bottom"/>
          </w:tcPr>
          <w:p>
            <w:pPr>
              <w:spacing w:after="0"/>
              <w:rPr>
                <w:sz w:val="24"/>
                <w:szCs w:val="24"/>
                <w:color w:val="auto"/>
              </w:rPr>
            </w:pPr>
          </w:p>
        </w:tc>
        <w:tc>
          <w:tcPr>
            <w:tcW w:w="4500" w:type="dxa"/>
            <w:vAlign w:val="bottom"/>
            <w:tcBorders>
              <w:bottom w:val="single" w:sz="8" w:color="0000EE"/>
            </w:tcBorders>
            <w:gridSpan w:val="3"/>
          </w:tcPr>
          <w:p>
            <w:pPr>
              <w:spacing w:after="0"/>
              <w:rPr>
                <w:rFonts w:ascii="Arial" w:cs="Arial" w:eastAsia="Arial" w:hAnsi="Arial"/>
                <w:sz w:val="18"/>
                <w:szCs w:val="18"/>
                <w:b w:val="1"/>
                <w:bCs w:val="1"/>
                <w:color w:val="0000EE"/>
                <w:w w:val="90"/>
              </w:rPr>
            </w:pPr>
            <w:hyperlink w:anchor="page45">
              <w:r>
                <w:rPr>
                  <w:rFonts w:ascii="Arial" w:cs="Arial" w:eastAsia="Arial" w:hAnsi="Arial"/>
                  <w:sz w:val="18"/>
                  <w:szCs w:val="18"/>
                  <w:b w:val="1"/>
                  <w:bCs w:val="1"/>
                  <w:color w:val="0000EE"/>
                  <w:w w:val="90"/>
                </w:rPr>
                <w:t>Report of Independent Registered Public Accounting Firm</w:t>
              </w:r>
            </w:hyperlink>
          </w:p>
        </w:tc>
        <w:tc>
          <w:tcPr>
            <w:tcW w:w="6680" w:type="dxa"/>
            <w:vAlign w:val="bottom"/>
            <w:gridSpan w:val="6"/>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45">
              <w:r>
                <w:rPr>
                  <w:rFonts w:ascii="Arial" w:cs="Arial" w:eastAsia="Arial" w:hAnsi="Arial"/>
                  <w:sz w:val="18"/>
                  <w:szCs w:val="18"/>
                  <w:b w:val="1"/>
                  <w:bCs w:val="1"/>
                  <w:color w:val="0000EE"/>
                  <w:w w:val="79"/>
                </w:rPr>
                <w:t>41</w:t>
              </w:r>
            </w:hyperlink>
          </w:p>
        </w:tc>
      </w:tr>
      <w:tr>
        <w:trPr>
          <w:trHeight w:val="250"/>
        </w:trPr>
        <w:tc>
          <w:tcPr>
            <w:tcW w:w="40" w:type="dxa"/>
            <w:vAlign w:val="bottom"/>
          </w:tcPr>
          <w:p>
            <w:pPr>
              <w:spacing w:after="0"/>
              <w:rPr>
                <w:sz w:val="21"/>
                <w:szCs w:val="21"/>
                <w:color w:val="auto"/>
              </w:rPr>
            </w:pPr>
          </w:p>
        </w:tc>
        <w:tc>
          <w:tcPr>
            <w:tcW w:w="11180" w:type="dxa"/>
            <w:vAlign w:val="bottom"/>
            <w:gridSpan w:val="9"/>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Consolidated Balance Sheets as of December 31, 2016 and 2015</w:t>
              </w:r>
            </w:hyperlink>
          </w:p>
        </w:tc>
        <w:tc>
          <w:tcPr>
            <w:tcW w:w="180" w:type="dxa"/>
            <w:vAlign w:val="bottom"/>
          </w:tcPr>
          <w:p>
            <w:pPr>
              <w:jc w:val="right"/>
              <w:spacing w:after="0"/>
              <w:rPr>
                <w:rFonts w:ascii="Arial" w:cs="Arial" w:eastAsia="Arial" w:hAnsi="Arial"/>
                <w:sz w:val="18"/>
                <w:szCs w:val="18"/>
                <w:b w:val="1"/>
                <w:bCs w:val="1"/>
                <w:color w:val="0000EE"/>
                <w:w w:val="79"/>
              </w:rPr>
            </w:pPr>
            <w:hyperlink w:anchor="page46">
              <w:r>
                <w:rPr>
                  <w:rFonts w:ascii="Arial" w:cs="Arial" w:eastAsia="Arial" w:hAnsi="Arial"/>
                  <w:sz w:val="18"/>
                  <w:szCs w:val="18"/>
                  <w:b w:val="1"/>
                  <w:bCs w:val="1"/>
                  <w:color w:val="0000EE"/>
                  <w:w w:val="79"/>
                </w:rPr>
                <w:t>42</w:t>
              </w:r>
            </w:hyperlink>
          </w:p>
        </w:tc>
      </w:tr>
      <w:tr>
        <w:trPr>
          <w:trHeight w:val="20"/>
        </w:trPr>
        <w:tc>
          <w:tcPr>
            <w:tcW w:w="4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200" w:type="dxa"/>
            <w:vAlign w:val="bottom"/>
            <w:tcBorders>
              <w:bottom w:val="single" w:sz="8" w:color="0000EE"/>
            </w:tcBorders>
            <w:gridSpan w:val="5"/>
          </w:tcPr>
          <w:p>
            <w:pPr>
              <w:spacing w:after="0"/>
              <w:rPr>
                <w:rFonts w:ascii="Arial" w:cs="Arial" w:eastAsia="Arial" w:hAnsi="Arial"/>
                <w:sz w:val="18"/>
                <w:szCs w:val="18"/>
                <w:b w:val="1"/>
                <w:bCs w:val="1"/>
                <w:color w:val="0000EE"/>
                <w:w w:val="88"/>
              </w:rPr>
            </w:pPr>
            <w:hyperlink w:anchor="page47">
              <w:r>
                <w:rPr>
                  <w:rFonts w:ascii="Arial" w:cs="Arial" w:eastAsia="Arial" w:hAnsi="Arial"/>
                  <w:sz w:val="18"/>
                  <w:szCs w:val="18"/>
                  <w:b w:val="1"/>
                  <w:bCs w:val="1"/>
                  <w:color w:val="0000EE"/>
                  <w:w w:val="88"/>
                </w:rPr>
                <w:t>Consolidated Statements of Operations for the years ended December 31, 2016, 2015 and 2014</w:t>
              </w:r>
            </w:hyperlink>
          </w:p>
        </w:tc>
        <w:tc>
          <w:tcPr>
            <w:tcW w:w="3980" w:type="dxa"/>
            <w:vAlign w:val="bottom"/>
            <w:gridSpan w:val="4"/>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47">
              <w:r>
                <w:rPr>
                  <w:rFonts w:ascii="Arial" w:cs="Arial" w:eastAsia="Arial" w:hAnsi="Arial"/>
                  <w:sz w:val="18"/>
                  <w:szCs w:val="18"/>
                  <w:b w:val="1"/>
                  <w:bCs w:val="1"/>
                  <w:color w:val="0000EE"/>
                  <w:w w:val="79"/>
                </w:rPr>
                <w:t>43</w:t>
              </w:r>
            </w:hyperlink>
          </w:p>
        </w:tc>
      </w:tr>
      <w:tr>
        <w:trPr>
          <w:trHeight w:val="250"/>
        </w:trPr>
        <w:tc>
          <w:tcPr>
            <w:tcW w:w="40" w:type="dxa"/>
            <w:vAlign w:val="bottom"/>
          </w:tcPr>
          <w:p>
            <w:pPr>
              <w:spacing w:after="0"/>
              <w:rPr>
                <w:sz w:val="21"/>
                <w:szCs w:val="21"/>
                <w:color w:val="auto"/>
              </w:rPr>
            </w:pPr>
          </w:p>
        </w:tc>
        <w:tc>
          <w:tcPr>
            <w:tcW w:w="11180" w:type="dxa"/>
            <w:vAlign w:val="bottom"/>
            <w:gridSpan w:val="9"/>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Consolidated Statements of Comprehensive Income for the years ended December 31, 2016, 2015 and 2014</w:t>
              </w:r>
            </w:hyperlink>
          </w:p>
        </w:tc>
        <w:tc>
          <w:tcPr>
            <w:tcW w:w="180" w:type="dxa"/>
            <w:vAlign w:val="bottom"/>
          </w:tcPr>
          <w:p>
            <w:pPr>
              <w:jc w:val="right"/>
              <w:spacing w:after="0"/>
              <w:rPr>
                <w:rFonts w:ascii="Arial" w:cs="Arial" w:eastAsia="Arial" w:hAnsi="Arial"/>
                <w:sz w:val="18"/>
                <w:szCs w:val="18"/>
                <w:b w:val="1"/>
                <w:bCs w:val="1"/>
                <w:color w:val="0000EE"/>
                <w:w w:val="79"/>
              </w:rPr>
            </w:pPr>
            <w:hyperlink w:anchor="page48">
              <w:r>
                <w:rPr>
                  <w:rFonts w:ascii="Arial" w:cs="Arial" w:eastAsia="Arial" w:hAnsi="Arial"/>
                  <w:sz w:val="18"/>
                  <w:szCs w:val="18"/>
                  <w:b w:val="1"/>
                  <w:bCs w:val="1"/>
                  <w:color w:val="0000EE"/>
                  <w:w w:val="79"/>
                </w:rPr>
                <w:t>44</w:t>
              </w:r>
            </w:hyperlink>
          </w:p>
        </w:tc>
      </w:tr>
      <w:tr>
        <w:trPr>
          <w:trHeight w:val="250"/>
        </w:trPr>
        <w:tc>
          <w:tcPr>
            <w:tcW w:w="40" w:type="dxa"/>
            <w:vAlign w:val="bottom"/>
          </w:tcPr>
          <w:p>
            <w:pPr>
              <w:spacing w:after="0"/>
              <w:rPr>
                <w:sz w:val="21"/>
                <w:szCs w:val="21"/>
                <w:color w:val="auto"/>
              </w:rPr>
            </w:pPr>
          </w:p>
        </w:tc>
        <w:tc>
          <w:tcPr>
            <w:tcW w:w="8140" w:type="dxa"/>
            <w:vAlign w:val="bottom"/>
            <w:tcBorders>
              <w:top w:val="single" w:sz="8" w:color="0000EE"/>
            </w:tcBorders>
            <w:gridSpan w:val="8"/>
          </w:tcPr>
          <w:p>
            <w:pPr>
              <w:spacing w:after="0"/>
              <w:rPr>
                <w:rFonts w:ascii="Arial" w:cs="Arial" w:eastAsia="Arial" w:hAnsi="Arial"/>
                <w:sz w:val="18"/>
                <w:szCs w:val="18"/>
                <w:b w:val="1"/>
                <w:bCs w:val="1"/>
                <w:color w:val="0000EE"/>
                <w:w w:val="90"/>
              </w:rPr>
            </w:pPr>
            <w:hyperlink w:anchor="page49">
              <w:r>
                <w:rPr>
                  <w:rFonts w:ascii="Arial" w:cs="Arial" w:eastAsia="Arial" w:hAnsi="Arial"/>
                  <w:sz w:val="18"/>
                  <w:szCs w:val="18"/>
                  <w:b w:val="1"/>
                  <w:bCs w:val="1"/>
                  <w:color w:val="0000EE"/>
                  <w:w w:val="90"/>
                </w:rPr>
                <w:t>Consolidated Statements of Stockholders’ Equity for the years ended December 31, 2016, 2015 and 2014</w:t>
              </w:r>
            </w:hyperlink>
          </w:p>
        </w:tc>
        <w:tc>
          <w:tcPr>
            <w:tcW w:w="3040" w:type="dxa"/>
            <w:vAlign w:val="bottom"/>
          </w:tcPr>
          <w:p>
            <w:pPr>
              <w:spacing w:after="0"/>
              <w:rPr>
                <w:sz w:val="21"/>
                <w:szCs w:val="21"/>
                <w:color w:val="auto"/>
              </w:rPr>
            </w:pPr>
          </w:p>
        </w:tc>
        <w:tc>
          <w:tcPr>
            <w:tcW w:w="180" w:type="dxa"/>
            <w:vAlign w:val="bottom"/>
            <w:tcBorders>
              <w:top w:val="single" w:sz="8" w:color="0000EE"/>
            </w:tcBorders>
          </w:tcPr>
          <w:p>
            <w:pPr>
              <w:jc w:val="right"/>
              <w:spacing w:after="0"/>
              <w:rPr>
                <w:rFonts w:ascii="Arial" w:cs="Arial" w:eastAsia="Arial" w:hAnsi="Arial"/>
                <w:sz w:val="18"/>
                <w:szCs w:val="18"/>
                <w:b w:val="1"/>
                <w:bCs w:val="1"/>
                <w:color w:val="0000EE"/>
                <w:w w:val="79"/>
              </w:rPr>
            </w:pPr>
            <w:hyperlink w:anchor="page49">
              <w:r>
                <w:rPr>
                  <w:rFonts w:ascii="Arial" w:cs="Arial" w:eastAsia="Arial" w:hAnsi="Arial"/>
                  <w:sz w:val="18"/>
                  <w:szCs w:val="18"/>
                  <w:b w:val="1"/>
                  <w:bCs w:val="1"/>
                  <w:color w:val="0000EE"/>
                  <w:w w:val="79"/>
                </w:rPr>
                <w:t>45</w:t>
              </w:r>
            </w:hyperlink>
          </w:p>
        </w:tc>
      </w:tr>
      <w:tr>
        <w:trPr>
          <w:trHeight w:val="250"/>
        </w:trPr>
        <w:tc>
          <w:tcPr>
            <w:tcW w:w="40" w:type="dxa"/>
            <w:vAlign w:val="bottom"/>
          </w:tcPr>
          <w:p>
            <w:pPr>
              <w:spacing w:after="0"/>
              <w:rPr>
                <w:sz w:val="21"/>
                <w:szCs w:val="21"/>
                <w:color w:val="auto"/>
              </w:rPr>
            </w:pPr>
          </w:p>
        </w:tc>
        <w:tc>
          <w:tcPr>
            <w:tcW w:w="7960" w:type="dxa"/>
            <w:vAlign w:val="bottom"/>
            <w:tcBorders>
              <w:top w:val="single" w:sz="8" w:color="0000EE"/>
            </w:tcBorders>
            <w:gridSpan w:val="7"/>
          </w:tcPr>
          <w:p>
            <w:pPr>
              <w:spacing w:after="0"/>
              <w:rPr>
                <w:rFonts w:ascii="Arial" w:cs="Arial" w:eastAsia="Arial" w:hAnsi="Arial"/>
                <w:sz w:val="18"/>
                <w:szCs w:val="18"/>
                <w:b w:val="1"/>
                <w:bCs w:val="1"/>
                <w:color w:val="0000EE"/>
                <w:w w:val="97"/>
              </w:rPr>
            </w:pPr>
            <w:hyperlink w:anchor="page52">
              <w:r>
                <w:rPr>
                  <w:rFonts w:ascii="Arial" w:cs="Arial" w:eastAsia="Arial" w:hAnsi="Arial"/>
                  <w:sz w:val="18"/>
                  <w:szCs w:val="18"/>
                  <w:b w:val="1"/>
                  <w:bCs w:val="1"/>
                  <w:color w:val="0000EE"/>
                  <w:w w:val="97"/>
                </w:rPr>
                <w:t>Consolidated Statements of Cash Flows for the years ended December 31, 2016, 2015 and 2014</w:t>
              </w:r>
            </w:hyperlink>
          </w:p>
        </w:tc>
        <w:tc>
          <w:tcPr>
            <w:tcW w:w="3220" w:type="dxa"/>
            <w:vAlign w:val="bottom"/>
            <w:gridSpan w:val="2"/>
          </w:tcPr>
          <w:p>
            <w:pPr>
              <w:spacing w:after="0"/>
              <w:rPr>
                <w:sz w:val="21"/>
                <w:szCs w:val="21"/>
                <w:color w:val="auto"/>
              </w:rPr>
            </w:pPr>
          </w:p>
        </w:tc>
        <w:tc>
          <w:tcPr>
            <w:tcW w:w="180" w:type="dxa"/>
            <w:vAlign w:val="bottom"/>
            <w:tcBorders>
              <w:top w:val="single" w:sz="8" w:color="0000EE"/>
            </w:tcBorders>
          </w:tcPr>
          <w:p>
            <w:pPr>
              <w:jc w:val="right"/>
              <w:spacing w:after="0"/>
              <w:rPr>
                <w:rFonts w:ascii="Arial" w:cs="Arial" w:eastAsia="Arial" w:hAnsi="Arial"/>
                <w:sz w:val="18"/>
                <w:szCs w:val="18"/>
                <w:b w:val="1"/>
                <w:bCs w:val="1"/>
                <w:color w:val="0000EE"/>
                <w:w w:val="79"/>
              </w:rPr>
            </w:pPr>
            <w:hyperlink w:anchor="page52">
              <w:r>
                <w:rPr>
                  <w:rFonts w:ascii="Arial" w:cs="Arial" w:eastAsia="Arial" w:hAnsi="Arial"/>
                  <w:sz w:val="18"/>
                  <w:szCs w:val="18"/>
                  <w:b w:val="1"/>
                  <w:bCs w:val="1"/>
                  <w:color w:val="0000EE"/>
                  <w:w w:val="79"/>
                </w:rPr>
                <w:t>48</w:t>
              </w:r>
            </w:hyperlink>
          </w:p>
        </w:tc>
      </w:tr>
      <w:tr>
        <w:trPr>
          <w:trHeight w:val="250"/>
        </w:trPr>
        <w:tc>
          <w:tcPr>
            <w:tcW w:w="40" w:type="dxa"/>
            <w:vAlign w:val="bottom"/>
          </w:tcPr>
          <w:p>
            <w:pPr>
              <w:spacing w:after="0"/>
              <w:rPr>
                <w:sz w:val="21"/>
                <w:szCs w:val="21"/>
                <w:color w:val="auto"/>
              </w:rPr>
            </w:pPr>
          </w:p>
        </w:tc>
        <w:tc>
          <w:tcPr>
            <w:tcW w:w="33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88"/>
              </w:rPr>
            </w:pPr>
            <w:hyperlink w:anchor="page55">
              <w:r>
                <w:rPr>
                  <w:rFonts w:ascii="Arial" w:cs="Arial" w:eastAsia="Arial" w:hAnsi="Arial"/>
                  <w:sz w:val="18"/>
                  <w:szCs w:val="18"/>
                  <w:b w:val="1"/>
                  <w:bCs w:val="1"/>
                  <w:color w:val="0000EE"/>
                  <w:w w:val="88"/>
                </w:rPr>
                <w:t>Notes to Consolidated Financial Statements</w:t>
              </w:r>
            </w:hyperlink>
          </w:p>
        </w:tc>
        <w:tc>
          <w:tcPr>
            <w:tcW w:w="3880" w:type="dxa"/>
            <w:vAlign w:val="bottom"/>
            <w:tcBorders>
              <w:top w:val="single" w:sz="8" w:color="0000EE"/>
            </w:tcBorders>
            <w:gridSpan w:val="5"/>
          </w:tcPr>
          <w:p>
            <w:pPr>
              <w:spacing w:after="0"/>
              <w:rPr>
                <w:sz w:val="21"/>
                <w:szCs w:val="21"/>
                <w:color w:val="auto"/>
              </w:rPr>
            </w:pPr>
          </w:p>
        </w:tc>
        <w:tc>
          <w:tcPr>
            <w:tcW w:w="3960" w:type="dxa"/>
            <w:vAlign w:val="bottom"/>
            <w:gridSpan w:val="3"/>
          </w:tcPr>
          <w:p>
            <w:pPr>
              <w:spacing w:after="0"/>
              <w:rPr>
                <w:sz w:val="21"/>
                <w:szCs w:val="21"/>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b w:val="1"/>
                <w:bCs w:val="1"/>
                <w:color w:val="0000EE"/>
                <w:w w:val="79"/>
              </w:rPr>
            </w:pPr>
            <w:hyperlink w:anchor="page55">
              <w:r>
                <w:rPr>
                  <w:rFonts w:ascii="Arial" w:cs="Arial" w:eastAsia="Arial" w:hAnsi="Arial"/>
                  <w:sz w:val="18"/>
                  <w:szCs w:val="18"/>
                  <w:b w:val="1"/>
                  <w:bCs w:val="1"/>
                  <w:color w:val="0000EE"/>
                  <w:w w:val="79"/>
                </w:rPr>
                <w:t>50</w:t>
              </w:r>
            </w:hyperlink>
          </w:p>
        </w:tc>
      </w:tr>
      <w:tr>
        <w:trPr>
          <w:trHeight w:val="250"/>
        </w:trPr>
        <w:tc>
          <w:tcPr>
            <w:tcW w:w="40" w:type="dxa"/>
            <w:vAlign w:val="bottom"/>
          </w:tcPr>
          <w:p>
            <w:pPr>
              <w:spacing w:after="0"/>
              <w:rPr>
                <w:sz w:val="21"/>
                <w:szCs w:val="21"/>
                <w:color w:val="auto"/>
              </w:rPr>
            </w:pPr>
          </w:p>
        </w:tc>
        <w:tc>
          <w:tcPr>
            <w:tcW w:w="4400" w:type="dxa"/>
            <w:vAlign w:val="bottom"/>
            <w:tcBorders>
              <w:bottom w:val="single" w:sz="8" w:color="0000EE"/>
            </w:tcBorders>
            <w:gridSpan w:val="2"/>
          </w:tcPr>
          <w:p>
            <w:pPr>
              <w:spacing w:after="0"/>
              <w:rPr>
                <w:rFonts w:ascii="Arial" w:cs="Arial" w:eastAsia="Arial" w:hAnsi="Arial"/>
                <w:sz w:val="18"/>
                <w:szCs w:val="18"/>
                <w:b w:val="1"/>
                <w:bCs w:val="1"/>
                <w:color w:val="0000EE"/>
                <w:w w:val="90"/>
              </w:rPr>
            </w:pPr>
            <w:hyperlink w:anchor="page94">
              <w:r>
                <w:rPr>
                  <w:rFonts w:ascii="Arial" w:cs="Arial" w:eastAsia="Arial" w:hAnsi="Arial"/>
                  <w:sz w:val="18"/>
                  <w:szCs w:val="18"/>
                  <w:b w:val="1"/>
                  <w:bCs w:val="1"/>
                  <w:color w:val="0000EE"/>
                  <w:w w:val="90"/>
                </w:rPr>
                <w:t>Schedule III - Real Estate and Accumulated Depreciation</w:t>
              </w:r>
            </w:hyperlink>
          </w:p>
        </w:tc>
        <w:tc>
          <w:tcPr>
            <w:tcW w:w="6780" w:type="dxa"/>
            <w:vAlign w:val="bottom"/>
            <w:gridSpan w:val="7"/>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94">
              <w:r>
                <w:rPr>
                  <w:rFonts w:ascii="Arial" w:cs="Arial" w:eastAsia="Arial" w:hAnsi="Arial"/>
                  <w:sz w:val="18"/>
                  <w:szCs w:val="18"/>
                  <w:b w:val="1"/>
                  <w:bCs w:val="1"/>
                  <w:color w:val="0000EE"/>
                  <w:w w:val="79"/>
                </w:rPr>
                <w:t>89</w:t>
              </w:r>
            </w:hyperlink>
          </w:p>
        </w:tc>
      </w:tr>
    </w:tbl>
    <w:p>
      <w:pPr>
        <w:spacing w:after="0" w:line="255"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All other schedules have been omitted since the required information is not present or not present in amounts sufficient to require submission of the schedule, or because the information required is included in the consolidated financial statements or notes thereto.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796" w:right="259" w:bottom="1440" w:gutter="0" w:footer="0" w:header="0"/>
        </w:sectPr>
      </w:pPr>
    </w:p>
    <w:bookmarkStart w:id="44" w:name="page45"/>
    <w:bookmarkEnd w:id="44"/>
    <w:p>
      <w:pPr>
        <w:jc w:val="center"/>
        <w:ind w:right="-59"/>
        <w:spacing w:after="0"/>
        <w:rPr>
          <w:sz w:val="20"/>
          <w:szCs w:val="20"/>
          <w:color w:val="auto"/>
        </w:rPr>
      </w:pPr>
      <w:r>
        <w:rPr>
          <w:rFonts w:ascii="Arial" w:cs="Arial" w:eastAsia="Arial" w:hAnsi="Arial"/>
          <w:sz w:val="18"/>
          <w:szCs w:val="18"/>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Extra Space Storage Inc.</w:t>
      </w:r>
    </w:p>
    <w:p>
      <w:pPr>
        <w:spacing w:after="0" w:line="225"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We have audited the accompanying consolidated balance sheets of Extra Space Storage Inc. as of December 31, 2016 and 2015, and the related consolidated statements of operations, comprehensive income, stockholders’ equity and cash flows for each of the three years in the period ended December 31, 2016. Our audits also included the financial statement schedule listed in the Index at Item 8. These financial statements and schedule are the responsibility of the Company's management. Our responsibility is to express an opinion on these financial statements and schedule based on our audits.</w:t>
      </w:r>
    </w:p>
    <w:p>
      <w:pPr>
        <w:spacing w:after="0" w:line="156"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1" w:lineRule="exact"/>
        <w:rPr>
          <w:sz w:val="20"/>
          <w:szCs w:val="20"/>
          <w:color w:val="auto"/>
        </w:rPr>
      </w:pPr>
    </w:p>
    <w:p>
      <w:pPr>
        <w:ind w:right="200" w:firstLine="405"/>
        <w:spacing w:after="0" w:line="301"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Extra Space Storage Inc. at December 31, 2016 and 2015, and the consolidated results of their operations and their cash flows for each of the three years in the period ended December 31, 2016,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56"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Extra Space Storage Inc.’s internal control over financial reporting as of December 31, 2016, based on criteria established in Internal Control-Integrated Framework issued by the Committee of Sponsoring Organizations of the Treadway Commission (2013 framework) and our report dated February 27, 2017 expressed an unqualified opinion thereon.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800" w:right="27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2016</w:t>
            </w:r>
          </w:p>
        </w:tc>
        <w:tc>
          <w:tcPr>
            <w:tcW w:w="200" w:type="dxa"/>
            <w:vAlign w:val="bottom"/>
          </w:tcPr>
          <w:p>
            <w:pPr>
              <w:spacing w:after="0"/>
              <w:rPr>
                <w:sz w:val="16"/>
                <w:szCs w:val="16"/>
                <w:color w:val="auto"/>
              </w:rPr>
            </w:pPr>
          </w:p>
        </w:tc>
        <w:tc>
          <w:tcPr>
            <w:tcW w:w="1500" w:type="dxa"/>
            <w:vAlign w:val="bottom"/>
          </w:tcPr>
          <w:p>
            <w:pPr>
              <w:jc w:val="right"/>
              <w:ind w:right="171"/>
              <w:spacing w:after="0"/>
              <w:rPr>
                <w:sz w:val="20"/>
                <w:szCs w:val="20"/>
                <w:color w:val="auto"/>
              </w:rPr>
            </w:pPr>
            <w:r>
              <w:rPr>
                <w:rFonts w:ascii="Arial" w:cs="Arial" w:eastAsia="Arial" w:hAnsi="Arial"/>
                <w:sz w:val="14"/>
                <w:szCs w:val="14"/>
                <w:b w:val="1"/>
                <w:bCs w:val="1"/>
                <w:color w:val="auto"/>
                <w:w w:val="96"/>
              </w:rPr>
              <w:t>December 31, 2015</w:t>
            </w:r>
          </w:p>
        </w:tc>
      </w:tr>
      <w:tr>
        <w:trPr>
          <w:trHeight w:val="249"/>
        </w:trPr>
        <w:tc>
          <w:tcPr>
            <w:tcW w:w="7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Real estate assets,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6,770,447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5,689,309</w:t>
            </w:r>
          </w:p>
        </w:tc>
      </w:tr>
      <w:tr>
        <w:trPr>
          <w:trHeight w:val="27"/>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unconsolidated real estate ventures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79,570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103,007</w:t>
            </w: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43,858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75,799</w:t>
            </w:r>
          </w:p>
        </w:tc>
      </w:tr>
      <w:tr>
        <w:trPr>
          <w:trHeight w:val="27"/>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30,738</w:t>
            </w: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Receivables from related parties and affiliated real estate joint ventures</w:t>
            </w:r>
          </w:p>
        </w:tc>
        <w:tc>
          <w:tcPr>
            <w:tcW w:w="20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16,611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2,205</w:t>
            </w:r>
          </w:p>
        </w:tc>
      </w:tr>
      <w:tr>
        <w:trPr>
          <w:trHeight w:val="27"/>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 net</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167,076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170,349</w:t>
            </w:r>
          </w:p>
        </w:tc>
      </w:tr>
      <w:tr>
        <w:trPr>
          <w:trHeight w:val="236"/>
        </w:trPr>
        <w:tc>
          <w:tcPr>
            <w:tcW w:w="7880" w:type="dxa"/>
            <w:vAlign w:val="bottom"/>
          </w:tcPr>
          <w:p>
            <w:pPr>
              <w:ind w:left="11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7,091,446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6,071,407</w:t>
            </w:r>
          </w:p>
        </w:tc>
      </w:tr>
      <w:tr>
        <w:trPr>
          <w:trHeight w:val="67"/>
        </w:trPr>
        <w:tc>
          <w:tcPr>
            <w:tcW w:w="78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r>
      <w:tr>
        <w:trPr>
          <w:trHeight w:val="230"/>
        </w:trPr>
        <w:tc>
          <w:tcPr>
            <w:tcW w:w="78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Noncontrolling Interests and Equity:</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Notes payable,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3,213,588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2,758,567</w:t>
            </w:r>
          </w:p>
        </w:tc>
      </w:tr>
      <w:tr>
        <w:trPr>
          <w:trHeight w:val="27"/>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Exchangeable senior notes, net</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610,314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623,863</w:t>
            </w: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Notes payable to trusts, net</w:t>
            </w:r>
          </w:p>
        </w:tc>
        <w:tc>
          <w:tcPr>
            <w:tcW w:w="20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117,321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117,191</w:t>
            </w:r>
          </w:p>
        </w:tc>
      </w:tr>
      <w:tr>
        <w:trPr>
          <w:trHeight w:val="27"/>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Revolving lines of credit</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36,000</w:t>
            </w: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101,388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82,693</w:t>
            </w:r>
          </w:p>
        </w:tc>
      </w:tr>
      <w:tr>
        <w:trPr>
          <w:trHeight w:val="27"/>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87,669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80,489</w:t>
            </w:r>
          </w:p>
        </w:tc>
      </w:tr>
      <w:tr>
        <w:trPr>
          <w:trHeight w:val="236"/>
        </w:trPr>
        <w:tc>
          <w:tcPr>
            <w:tcW w:w="7880" w:type="dxa"/>
            <w:vAlign w:val="bottom"/>
          </w:tcPr>
          <w:p>
            <w:pPr>
              <w:ind w:left="11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4,495,280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3,698,803</w:t>
            </w:r>
          </w:p>
        </w:tc>
      </w:tr>
      <w:tr>
        <w:trPr>
          <w:trHeight w:val="27"/>
        </w:trPr>
        <w:tc>
          <w:tcPr>
            <w:tcW w:w="7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Noncontrolling Interests and Equity:</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Extra Space Storage Inc.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w w:val="97"/>
              </w:rPr>
              <w:t>Preferred stock, $0.01 par value, 50,000,000 shares authorized, no shares issued or outstanding</w:t>
            </w:r>
          </w:p>
        </w:tc>
        <w:tc>
          <w:tcPr>
            <w:tcW w:w="2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8"/>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Common stock, $0.01 par value, 500,000,000 shares authorized, 125,881,460 and 124,119,531 shares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7"/>
        </w:trPr>
        <w:tc>
          <w:tcPr>
            <w:tcW w:w="78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issued and outstanding at December 31, 2016 and December 31, 2015,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1,241</w:t>
            </w: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2,566,120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2,431,754</w:t>
            </w:r>
          </w:p>
        </w:tc>
      </w:tr>
      <w:tr>
        <w:trPr>
          <w:trHeight w:val="27"/>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(6,352)</w:t>
            </w: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(339,257)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(337,566)</w:t>
            </w:r>
          </w:p>
        </w:tc>
      </w:tr>
      <w:tr>
        <w:trPr>
          <w:trHeight w:val="27"/>
        </w:trPr>
        <w:tc>
          <w:tcPr>
            <w:tcW w:w="7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7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Extra Space Storage Inc.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2,244,892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2,089,077</w:t>
            </w:r>
          </w:p>
        </w:tc>
      </w:tr>
      <w:tr>
        <w:trPr>
          <w:trHeight w:val="228"/>
        </w:trPr>
        <w:tc>
          <w:tcPr>
            <w:tcW w:w="7880" w:type="dxa"/>
            <w:vAlign w:val="bottom"/>
          </w:tcPr>
          <w:p>
            <w:pPr>
              <w:ind w:left="380"/>
              <w:spacing w:after="0"/>
              <w:rPr>
                <w:sz w:val="20"/>
                <w:szCs w:val="20"/>
                <w:color w:val="auto"/>
              </w:rPr>
            </w:pPr>
            <w:r>
              <w:rPr>
                <w:rFonts w:ascii="Arial" w:cs="Arial" w:eastAsia="Arial" w:hAnsi="Arial"/>
                <w:sz w:val="18"/>
                <w:szCs w:val="18"/>
                <w:color w:val="auto"/>
                <w:w w:val="94"/>
              </w:rPr>
              <w:t>Noncontrolling interest represented by Preferred Operating Partnership units, net of $120,230 notes</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880" w:type="dxa"/>
            <w:vAlign w:val="bottom"/>
          </w:tcPr>
          <w:p>
            <w:pPr>
              <w:ind w:left="540"/>
              <w:spacing w:after="0"/>
              <w:rPr>
                <w:sz w:val="20"/>
                <w:szCs w:val="20"/>
                <w:color w:val="auto"/>
              </w:rPr>
            </w:pPr>
            <w:r>
              <w:rPr>
                <w:rFonts w:ascii="Arial" w:cs="Arial" w:eastAsia="Arial" w:hAnsi="Arial"/>
                <w:sz w:val="18"/>
                <w:szCs w:val="18"/>
                <w:color w:val="auto"/>
              </w:rPr>
              <w:t>receivable</w:t>
            </w:r>
          </w:p>
        </w:tc>
        <w:tc>
          <w:tcPr>
            <w:tcW w:w="20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147,920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80,531</w:t>
            </w:r>
          </w:p>
        </w:tc>
      </w:tr>
      <w:tr>
        <w:trPr>
          <w:trHeight w:val="27"/>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interests in Operating Partnership</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203,354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202,834</w:t>
            </w: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Other noncontrolling interests</w:t>
            </w:r>
          </w:p>
        </w:tc>
        <w:tc>
          <w:tcPr>
            <w:tcW w:w="2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162</w:t>
            </w:r>
          </w:p>
        </w:tc>
      </w:tr>
      <w:tr>
        <w:trPr>
          <w:trHeight w:val="27"/>
        </w:trPr>
        <w:tc>
          <w:tcPr>
            <w:tcW w:w="7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3"/>
        </w:trPr>
        <w:tc>
          <w:tcPr>
            <w:tcW w:w="78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noncontrolling interests and equity</w:t>
            </w: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2,596,166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2,372,604</w:t>
            </w:r>
          </w:p>
        </w:tc>
      </w:tr>
      <w:tr>
        <w:trPr>
          <w:trHeight w:val="236"/>
        </w:trPr>
        <w:tc>
          <w:tcPr>
            <w:tcW w:w="7880" w:type="dxa"/>
            <w:vAlign w:val="bottom"/>
          </w:tcPr>
          <w:p>
            <w:pPr>
              <w:ind w:left="1140"/>
              <w:spacing w:after="0"/>
              <w:rPr>
                <w:sz w:val="20"/>
                <w:szCs w:val="20"/>
                <w:color w:val="auto"/>
              </w:rPr>
            </w:pPr>
            <w:r>
              <w:rPr>
                <w:rFonts w:ascii="Arial" w:cs="Arial" w:eastAsia="Arial" w:hAnsi="Arial"/>
                <w:sz w:val="18"/>
                <w:szCs w:val="18"/>
                <w:color w:val="auto"/>
              </w:rPr>
              <w:t>Total liabilities, noncontrolling interests and equity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7,091,446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6,071,407</w:t>
            </w:r>
          </w:p>
        </w:tc>
      </w:tr>
      <w:tr>
        <w:trPr>
          <w:trHeight w:val="27"/>
        </w:trPr>
        <w:tc>
          <w:tcPr>
            <w:tcW w:w="7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96"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For the Year Ended December 31,</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0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Property rental</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864,742</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676,138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559,868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Tenant reinsurance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87,291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71,971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59,072</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Management fees and other income</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39,842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34,161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28,215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0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revenues</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991,875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782,270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647,155</w:t>
            </w:r>
          </w:p>
        </w:tc>
        <w:tc>
          <w:tcPr>
            <w:tcW w:w="0" w:type="dxa"/>
            <w:vAlign w:val="bottom"/>
          </w:tcPr>
          <w:p>
            <w:pPr>
              <w:spacing w:after="0"/>
              <w:rPr>
                <w:sz w:val="1"/>
                <w:szCs w:val="1"/>
                <w:color w:val="auto"/>
              </w:rPr>
            </w:pP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4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6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250,005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203,965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172,416</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Tenant reinsurance</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15,555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13,033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10,427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related costs and other</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12,111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69,401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9,826</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81,806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67,758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60,942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182,560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133,457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115,076</w:t>
            </w:r>
          </w:p>
        </w:tc>
        <w:tc>
          <w:tcPr>
            <w:tcW w:w="0" w:type="dxa"/>
            <w:vAlign w:val="bottom"/>
          </w:tcPr>
          <w:p>
            <w:pPr>
              <w:spacing w:after="0"/>
              <w:rPr>
                <w:sz w:val="1"/>
                <w:szCs w:val="1"/>
                <w:color w:val="auto"/>
              </w:rPr>
            </w:pPr>
          </w:p>
        </w:tc>
      </w:tr>
      <w:tr>
        <w:trPr>
          <w:trHeight w:val="236"/>
        </w:trPr>
        <w:tc>
          <w:tcPr>
            <w:tcW w:w="6060" w:type="dxa"/>
            <w:vAlign w:val="bottom"/>
          </w:tcPr>
          <w:p>
            <w:pPr>
              <w:ind w:left="700"/>
              <w:spacing w:after="0"/>
              <w:rPr>
                <w:sz w:val="20"/>
                <w:szCs w:val="20"/>
                <w:color w:val="auto"/>
              </w:rPr>
            </w:pPr>
            <w:r>
              <w:rPr>
                <w:rFonts w:ascii="Arial" w:cs="Arial" w:eastAsia="Arial" w:hAnsi="Arial"/>
                <w:sz w:val="18"/>
                <w:szCs w:val="18"/>
                <w:color w:val="auto"/>
              </w:rPr>
              <w:t>Total expenses</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542,037</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487,614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368,687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449,838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294,656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278,468</w:t>
            </w:r>
          </w:p>
        </w:tc>
        <w:tc>
          <w:tcPr>
            <w:tcW w:w="0" w:type="dxa"/>
            <w:vAlign w:val="bottom"/>
          </w:tcPr>
          <w:p>
            <w:pPr>
              <w:spacing w:after="0"/>
              <w:rPr>
                <w:sz w:val="1"/>
                <w:szCs w:val="1"/>
                <w:color w:val="auto"/>
              </w:rPr>
            </w:pPr>
          </w:p>
        </w:tc>
      </w:tr>
      <w:tr>
        <w:trPr>
          <w:trHeight w:val="228"/>
        </w:trPr>
        <w:tc>
          <w:tcPr>
            <w:tcW w:w="6060" w:type="dxa"/>
            <w:vAlign w:val="bottom"/>
          </w:tcPr>
          <w:p>
            <w:pPr>
              <w:ind w:left="40"/>
              <w:spacing w:after="0"/>
              <w:rPr>
                <w:sz w:val="20"/>
                <w:szCs w:val="20"/>
                <w:color w:val="auto"/>
              </w:rPr>
            </w:pPr>
            <w:r>
              <w:rPr>
                <w:rFonts w:ascii="Arial" w:cs="Arial" w:eastAsia="Arial" w:hAnsi="Arial"/>
                <w:sz w:val="18"/>
                <w:szCs w:val="18"/>
                <w:color w:val="auto"/>
                <w:w w:val="93"/>
              </w:rPr>
              <w:t>Gain (loss) on real estate transactions, earnout from prior acquisition and sale of</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8,465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1,501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(10,285)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casualty loss, net</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(133,479)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(95,682)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(81,330)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Non-cash interest expense related to amortization of discount on equity component</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exchangeable senior notes</w:t>
            </w: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6,148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Interest income on note receivable from Preferred Operating Partnership unit</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holder</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4,850</w:t>
            </w:r>
          </w:p>
        </w:tc>
        <w:tc>
          <w:tcPr>
            <w:tcW w:w="0" w:type="dxa"/>
            <w:vAlign w:val="bottom"/>
          </w:tcPr>
          <w:p>
            <w:pPr>
              <w:spacing w:after="0"/>
              <w:rPr>
                <w:sz w:val="1"/>
                <w:szCs w:val="1"/>
                <w:color w:val="auto"/>
              </w:rPr>
            </w:pPr>
          </w:p>
        </w:tc>
      </w:tr>
      <w:tr>
        <w:trPr>
          <w:trHeight w:val="208"/>
        </w:trPr>
        <w:tc>
          <w:tcPr>
            <w:tcW w:w="6060" w:type="dxa"/>
            <w:vAlign w:val="bottom"/>
          </w:tcPr>
          <w:p>
            <w:pPr>
              <w:ind w:left="40"/>
              <w:spacing w:after="0"/>
              <w:rPr>
                <w:sz w:val="20"/>
                <w:szCs w:val="20"/>
                <w:color w:val="auto"/>
              </w:rPr>
            </w:pPr>
            <w:r>
              <w:rPr>
                <w:rFonts w:ascii="Arial" w:cs="Arial" w:eastAsia="Arial" w:hAnsi="Arial"/>
                <w:sz w:val="18"/>
                <w:szCs w:val="18"/>
                <w:color w:val="auto"/>
                <w:w w:val="99"/>
              </w:rPr>
              <w:t>Income before equity in earnings of unconsolidated real estate ventures and</w:t>
            </w:r>
          </w:p>
        </w:tc>
        <w:tc>
          <w:tcPr>
            <w:tcW w:w="4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42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330,842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205,476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188,903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unconsolidated real estate ventures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12,895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10,541</w:t>
            </w:r>
          </w:p>
        </w:tc>
        <w:tc>
          <w:tcPr>
            <w:tcW w:w="0" w:type="dxa"/>
            <w:vAlign w:val="bottom"/>
          </w:tcPr>
          <w:p>
            <w:pPr>
              <w:spacing w:after="0"/>
              <w:rPr>
                <w:sz w:val="1"/>
                <w:szCs w:val="1"/>
                <w:color w:val="auto"/>
              </w:rPr>
            </w:pPr>
          </w:p>
        </w:tc>
      </w:tr>
      <w:tr>
        <w:trPr>
          <w:trHeight w:val="228"/>
        </w:trPr>
        <w:tc>
          <w:tcPr>
            <w:tcW w:w="6060" w:type="dxa"/>
            <w:vAlign w:val="bottom"/>
          </w:tcPr>
          <w:p>
            <w:pPr>
              <w:ind w:left="40"/>
              <w:spacing w:after="0"/>
              <w:rPr>
                <w:sz w:val="20"/>
                <w:szCs w:val="20"/>
                <w:color w:val="auto"/>
              </w:rPr>
            </w:pPr>
            <w:r>
              <w:rPr>
                <w:rFonts w:ascii="Arial" w:cs="Arial" w:eastAsia="Arial" w:hAnsi="Arial"/>
                <w:sz w:val="18"/>
                <w:szCs w:val="18"/>
                <w:color w:val="auto"/>
                <w:w w:val="96"/>
              </w:rPr>
              <w:t>Equity in earnings of unconsolidated real estate ventures - gain on sale of real</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00"/>
              <w:spacing w:after="0"/>
              <w:rPr>
                <w:sz w:val="20"/>
                <w:szCs w:val="20"/>
                <w:color w:val="auto"/>
              </w:rPr>
            </w:pPr>
            <w:r>
              <w:rPr>
                <w:rFonts w:ascii="Arial" w:cs="Arial" w:eastAsia="Arial" w:hAnsi="Arial"/>
                <w:sz w:val="18"/>
                <w:szCs w:val="18"/>
                <w:color w:val="auto"/>
              </w:rPr>
              <w:t>estate assets and purchase of joint venture partners' interests</w:t>
            </w:r>
          </w:p>
        </w:tc>
        <w:tc>
          <w:tcPr>
            <w:tcW w:w="42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69,199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2,857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4,022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(7,570)</w:t>
            </w:r>
          </w:p>
        </w:tc>
        <w:tc>
          <w:tcPr>
            <w:tcW w:w="0" w:type="dxa"/>
            <w:vAlign w:val="bottom"/>
          </w:tcPr>
          <w:p>
            <w:pPr>
              <w:spacing w:after="0"/>
              <w:rPr>
                <w:sz w:val="1"/>
                <w:szCs w:val="1"/>
                <w:color w:val="auto"/>
              </w:rPr>
            </w:pPr>
          </w:p>
        </w:tc>
      </w:tr>
      <w:tr>
        <w:trPr>
          <w:trHeight w:val="236"/>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397,089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209,536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195,896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Net income allocated to Preferred Operating Partnership noncontrolling interests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3"/>
              </w:rPr>
              <w:t>Net income allocated to Operating Partnership and other noncontrolling interests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(16,262)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(6,550)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366,127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189,474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178,355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Diluted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125,087,554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119,816,743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115,713,807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125,948,076</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126,918,869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121,435,267</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96"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3"/>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49"/>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397,089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209,536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195,896</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Change in fair value of interest rate swaps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24,598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(12,061)</w:t>
            </w:r>
          </w:p>
        </w:tc>
      </w:tr>
      <w:tr>
        <w:trPr>
          <w:trHeight w:val="236"/>
        </w:trPr>
        <w:tc>
          <w:tcPr>
            <w:tcW w:w="676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421,687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204,607</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183,835</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32,438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20,001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17,120</w:t>
            </w:r>
          </w:p>
        </w:tc>
      </w:tr>
      <w:tr>
        <w:trPr>
          <w:trHeight w:val="236"/>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attributable to common stockholders</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389,249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184,606</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166,715</w:t>
            </w:r>
          </w:p>
        </w:tc>
      </w:tr>
      <w:tr>
        <w:trPr>
          <w:trHeight w:val="27"/>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96"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213995</wp:posOffset>
            </wp:positionV>
            <wp:extent cx="57816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81675" cy="8255"/>
                    </a:xfrm>
                    <a:prstGeom prst="rect">
                      <a:avLst/>
                    </a:prstGeom>
                    <a:noFill/>
                  </pic:spPr>
                </pic:pic>
              </a:graphicData>
            </a:graphic>
          </wp:anchor>
        </w:drawing>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4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Noncontrolling Interests</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10"/>
          </w:tcPr>
          <w:p>
            <w:pPr>
              <w:ind w:left="100"/>
              <w:spacing w:after="0"/>
              <w:rPr>
                <w:sz w:val="20"/>
                <w:szCs w:val="20"/>
                <w:color w:val="auto"/>
              </w:rPr>
            </w:pPr>
            <w:r>
              <w:rPr>
                <w:rFonts w:ascii="Arial" w:cs="Arial" w:eastAsia="Arial" w:hAnsi="Arial"/>
                <w:sz w:val="14"/>
                <w:szCs w:val="14"/>
                <w:b w:val="1"/>
                <w:bCs w:val="1"/>
                <w:color w:val="auto"/>
                <w:w w:val="93"/>
              </w:rPr>
              <w:t>Extra Space Storage Inc. Stockholders’ Equity</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2740" w:type="dxa"/>
            <w:vAlign w:val="bottom"/>
            <w:gridSpan w:val="8"/>
            <w:vMerge w:val="restart"/>
          </w:tcPr>
          <w:p>
            <w:pPr>
              <w:jc w:val="right"/>
              <w:ind w:right="268"/>
              <w:spacing w:after="0"/>
              <w:rPr>
                <w:sz w:val="20"/>
                <w:szCs w:val="20"/>
                <w:color w:val="auto"/>
              </w:rPr>
            </w:pPr>
            <w:r>
              <w:rPr>
                <w:rFonts w:ascii="Arial" w:cs="Arial" w:eastAsia="Arial" w:hAnsi="Arial"/>
                <w:sz w:val="14"/>
                <w:szCs w:val="14"/>
                <w:b w:val="1"/>
                <w:bCs w:val="1"/>
                <w:color w:val="auto"/>
              </w:rPr>
              <w:t>Preferred Operating Partnership</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3"/>
                <w:szCs w:val="13"/>
                <w:color w:val="auto"/>
              </w:rPr>
            </w:pPr>
          </w:p>
        </w:tc>
        <w:tc>
          <w:tcPr>
            <w:tcW w:w="10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center"/>
              <w:ind w:right="108"/>
              <w:spacing w:after="0" w:line="15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3"/>
                <w:szCs w:val="13"/>
                <w:color w:val="auto"/>
              </w:rPr>
            </w:pPr>
          </w:p>
        </w:tc>
        <w:tc>
          <w:tcPr>
            <w:tcW w:w="2740" w:type="dxa"/>
            <w:vAlign w:val="bottom"/>
            <w:tcBorders>
              <w:bottom w:val="single" w:sz="8" w:color="auto"/>
            </w:tcBorders>
            <w:gridSpan w:val="8"/>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19"/>
        </w:trPr>
        <w:tc>
          <w:tcPr>
            <w:tcW w:w="1240" w:type="dxa"/>
            <w:vAlign w:val="bottom"/>
          </w:tcPr>
          <w:p>
            <w:pPr>
              <w:spacing w:after="0"/>
              <w:rPr>
                <w:sz w:val="10"/>
                <w:szCs w:val="10"/>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Series A</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Series B</w:t>
            </w:r>
          </w:p>
        </w:tc>
        <w:tc>
          <w:tcPr>
            <w:tcW w:w="10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Series C</w:t>
            </w: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Series D</w:t>
            </w:r>
          </w:p>
        </w:tc>
        <w:tc>
          <w:tcPr>
            <w:tcW w:w="88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Operating</w:t>
            </w:r>
          </w:p>
        </w:tc>
        <w:tc>
          <w:tcPr>
            <w:tcW w:w="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Other</w:t>
            </w:r>
          </w:p>
        </w:tc>
        <w:tc>
          <w:tcPr>
            <w:tcW w:w="8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0"/>
                <w:szCs w:val="10"/>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112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9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9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Interests and</w:t>
            </w:r>
          </w:p>
        </w:tc>
        <w:tc>
          <w:tcPr>
            <w:tcW w:w="0" w:type="dxa"/>
            <w:vAlign w:val="bottom"/>
          </w:tcPr>
          <w:p>
            <w:pPr>
              <w:spacing w:after="0"/>
              <w:rPr>
                <w:sz w:val="1"/>
                <w:szCs w:val="1"/>
                <w:color w:val="auto"/>
              </w:rPr>
            </w:pPr>
          </w:p>
        </w:tc>
      </w:tr>
      <w:tr>
        <w:trPr>
          <w:trHeight w:val="192"/>
        </w:trPr>
        <w:tc>
          <w:tcPr>
            <w:tcW w:w="12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Partnership</w:t>
            </w:r>
          </w:p>
        </w:tc>
        <w:tc>
          <w:tcPr>
            <w:tcW w:w="660" w:type="dxa"/>
            <w:vAlign w:val="bottom"/>
            <w:gridSpan w:val="3"/>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Income (Loss)</w:t>
            </w:r>
          </w:p>
        </w:tc>
        <w:tc>
          <w:tcPr>
            <w:tcW w:w="160" w:type="dxa"/>
            <w:vAlign w:val="bottom"/>
          </w:tcPr>
          <w:p>
            <w:pPr>
              <w:spacing w:after="0"/>
              <w:rPr>
                <w:sz w:val="16"/>
                <w:szCs w:val="16"/>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780" w:type="dxa"/>
            <w:vAlign w:val="bottom"/>
          </w:tcPr>
          <w:p>
            <w:pPr>
              <w:jc w:val="center"/>
              <w:ind w:right="1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39"/>
        </w:trPr>
        <w:tc>
          <w:tcPr>
            <w:tcW w:w="124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Balances at</w:t>
            </w: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93"/>
              </w:rPr>
              <w:t>December 31, 2013</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$ 30,202</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$ 33,568</w:t>
            </w:r>
          </w:p>
        </w:tc>
        <w:tc>
          <w:tcPr>
            <w:tcW w:w="7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$ 17,177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91,453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1"/>
              </w:rPr>
              <w:t>1,025</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2"/>
              </w:rPr>
              <w:t>115,755,527</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1,973,159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10,156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(226,002)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1,931,895</w:t>
            </w:r>
          </w:p>
        </w:tc>
        <w:tc>
          <w:tcPr>
            <w:tcW w:w="0" w:type="dxa"/>
            <w:vAlign w:val="bottom"/>
          </w:tcPr>
          <w:p>
            <w:pPr>
              <w:spacing w:after="0"/>
              <w:rPr>
                <w:sz w:val="1"/>
                <w:szCs w:val="1"/>
                <w:color w:val="auto"/>
              </w:rPr>
            </w:pPr>
          </w:p>
        </w:tc>
      </w:tr>
      <w:tr>
        <w:trPr>
          <w:trHeight w:val="157"/>
        </w:trPr>
        <w:tc>
          <w:tcPr>
            <w:tcW w:w="1240" w:type="dxa"/>
            <w:vAlign w:val="bottom"/>
          </w:tcPr>
          <w:p>
            <w:pPr>
              <w:ind w:left="40"/>
              <w:spacing w:after="0" w:line="157" w:lineRule="exact"/>
              <w:rPr>
                <w:sz w:val="20"/>
                <w:szCs w:val="20"/>
                <w:color w:val="auto"/>
              </w:rPr>
            </w:pPr>
            <w:r>
              <w:rPr>
                <w:rFonts w:ascii="Arial" w:cs="Arial" w:eastAsia="Arial" w:hAnsi="Arial"/>
                <w:sz w:val="14"/>
                <w:szCs w:val="14"/>
                <w:color w:val="auto"/>
              </w:rPr>
              <w:t>Issuance of</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200"/>
              <w:spacing w:after="0" w:line="149" w:lineRule="exact"/>
              <w:rPr>
                <w:sz w:val="20"/>
                <w:szCs w:val="20"/>
                <w:color w:val="auto"/>
              </w:rPr>
            </w:pPr>
            <w:r>
              <w:rPr>
                <w:rFonts w:ascii="Arial" w:cs="Arial" w:eastAsia="Arial" w:hAnsi="Arial"/>
                <w:sz w:val="14"/>
                <w:szCs w:val="14"/>
                <w:color w:val="auto"/>
              </w:rPr>
              <w:t>common stock</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200"/>
              <w:spacing w:after="0" w:line="149" w:lineRule="exact"/>
              <w:rPr>
                <w:sz w:val="20"/>
                <w:szCs w:val="20"/>
                <w:color w:val="auto"/>
              </w:rPr>
            </w:pPr>
            <w:r>
              <w:rPr>
                <w:rFonts w:ascii="Arial" w:cs="Arial" w:eastAsia="Arial" w:hAnsi="Arial"/>
                <w:sz w:val="14"/>
                <w:szCs w:val="14"/>
                <w:color w:val="auto"/>
                <w:w w:val="92"/>
              </w:rPr>
              <w:t>upon the exercise</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40" w:type="dxa"/>
            <w:vAlign w:val="bottom"/>
          </w:tcPr>
          <w:p>
            <w:pPr>
              <w:ind w:left="200"/>
              <w:spacing w:after="0"/>
              <w:rPr>
                <w:sz w:val="20"/>
                <w:szCs w:val="20"/>
                <w:color w:val="auto"/>
              </w:rPr>
            </w:pPr>
            <w:r>
              <w:rPr>
                <w:rFonts w:ascii="Arial" w:cs="Arial" w:eastAsia="Arial" w:hAnsi="Arial"/>
                <w:sz w:val="14"/>
                <w:szCs w:val="14"/>
                <w:color w:val="auto"/>
              </w:rPr>
              <w:t>of options</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211,747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3,093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3,095</w:t>
            </w:r>
          </w:p>
        </w:tc>
        <w:tc>
          <w:tcPr>
            <w:tcW w:w="0" w:type="dxa"/>
            <w:vAlign w:val="bottom"/>
          </w:tcPr>
          <w:p>
            <w:pPr>
              <w:spacing w:after="0"/>
              <w:rPr>
                <w:sz w:val="1"/>
                <w:szCs w:val="1"/>
                <w:color w:val="auto"/>
              </w:rPr>
            </w:pPr>
          </w:p>
        </w:tc>
      </w:tr>
      <w:tr>
        <w:trPr>
          <w:trHeight w:val="163"/>
        </w:trPr>
        <w:tc>
          <w:tcPr>
            <w:tcW w:w="1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stock</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grants issued</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117,370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7"/>
        </w:trPr>
        <w:tc>
          <w:tcPr>
            <w:tcW w:w="1240" w:type="dxa"/>
            <w:vAlign w:val="bottom"/>
          </w:tcPr>
          <w:p>
            <w:pPr>
              <w:ind w:left="40"/>
              <w:spacing w:after="0" w:line="157" w:lineRule="exact"/>
              <w:rPr>
                <w:sz w:val="20"/>
                <w:szCs w:val="20"/>
                <w:color w:val="auto"/>
              </w:rPr>
            </w:pPr>
            <w:r>
              <w:rPr>
                <w:rFonts w:ascii="Arial" w:cs="Arial" w:eastAsia="Arial" w:hAnsi="Arial"/>
                <w:sz w:val="14"/>
                <w:szCs w:val="14"/>
                <w:color w:val="auto"/>
              </w:rPr>
              <w:t>Restricted stock</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40" w:type="dxa"/>
            <w:vAlign w:val="bottom"/>
          </w:tcPr>
          <w:p>
            <w:pPr>
              <w:ind w:left="200"/>
              <w:spacing w:after="0"/>
              <w:rPr>
                <w:sz w:val="20"/>
                <w:szCs w:val="20"/>
                <w:color w:val="auto"/>
              </w:rPr>
            </w:pPr>
            <w:r>
              <w:rPr>
                <w:rFonts w:ascii="Arial" w:cs="Arial" w:eastAsia="Arial" w:hAnsi="Arial"/>
                <w:sz w:val="14"/>
                <w:szCs w:val="14"/>
                <w:color w:val="auto"/>
              </w:rPr>
              <w:t>grants cancelled</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(23,595)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expense related</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 stock-based</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awards</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4,984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4,984</w:t>
            </w:r>
          </w:p>
        </w:tc>
        <w:tc>
          <w:tcPr>
            <w:tcW w:w="0" w:type="dxa"/>
            <w:vAlign w:val="bottom"/>
          </w:tcPr>
          <w:p>
            <w:pPr>
              <w:spacing w:after="0"/>
              <w:rPr>
                <w:sz w:val="1"/>
                <w:szCs w:val="1"/>
                <w:color w:val="auto"/>
              </w:rPr>
            </w:pPr>
          </w:p>
        </w:tc>
      </w:tr>
      <w:tr>
        <w:trPr>
          <w:trHeight w:val="157"/>
        </w:trPr>
        <w:tc>
          <w:tcPr>
            <w:tcW w:w="1240" w:type="dxa"/>
            <w:vAlign w:val="bottom"/>
          </w:tcPr>
          <w:p>
            <w:pPr>
              <w:ind w:left="40"/>
              <w:spacing w:after="0" w:line="157" w:lineRule="exact"/>
              <w:rPr>
                <w:sz w:val="20"/>
                <w:szCs w:val="20"/>
                <w:color w:val="auto"/>
              </w:rPr>
            </w:pPr>
            <w:r>
              <w:rPr>
                <w:rFonts w:ascii="Arial" w:cs="Arial" w:eastAsia="Arial" w:hAnsi="Arial"/>
                <w:sz w:val="14"/>
                <w:szCs w:val="14"/>
                <w:color w:val="auto"/>
              </w:rPr>
              <w:t>Issuance of</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200"/>
              <w:spacing w:after="0" w:line="149" w:lineRule="exact"/>
              <w:rPr>
                <w:sz w:val="20"/>
                <w:szCs w:val="20"/>
                <w:color w:val="auto"/>
              </w:rPr>
            </w:pPr>
            <w:r>
              <w:rPr>
                <w:rFonts w:ascii="Arial" w:cs="Arial" w:eastAsia="Arial" w:hAnsi="Arial"/>
                <w:sz w:val="14"/>
                <w:szCs w:val="14"/>
                <w:color w:val="auto"/>
              </w:rPr>
              <w:t>Operating</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200"/>
              <w:spacing w:after="0" w:line="149" w:lineRule="exact"/>
              <w:rPr>
                <w:sz w:val="20"/>
                <w:szCs w:val="20"/>
                <w:color w:val="auto"/>
              </w:rPr>
            </w:pPr>
            <w:r>
              <w:rPr>
                <w:rFonts w:ascii="Arial" w:cs="Arial" w:eastAsia="Arial" w:hAnsi="Arial"/>
                <w:sz w:val="14"/>
                <w:szCs w:val="14"/>
                <w:color w:val="auto"/>
                <w:w w:val="97"/>
              </w:rPr>
              <w:t>Partnership units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200"/>
              <w:spacing w:after="0" w:line="149" w:lineRule="exact"/>
              <w:rPr>
                <w:sz w:val="20"/>
                <w:szCs w:val="20"/>
                <w:color w:val="auto"/>
              </w:rPr>
            </w:pPr>
            <w:r>
              <w:rPr>
                <w:rFonts w:ascii="Arial" w:cs="Arial" w:eastAsia="Arial" w:hAnsi="Arial"/>
                <w:sz w:val="14"/>
                <w:szCs w:val="14"/>
                <w:color w:val="auto"/>
              </w:rPr>
              <w:t>in conjunction</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200"/>
              <w:spacing w:after="0" w:line="149" w:lineRule="exact"/>
              <w:rPr>
                <w:sz w:val="20"/>
                <w:szCs w:val="20"/>
                <w:color w:val="auto"/>
              </w:rPr>
            </w:pPr>
            <w:r>
              <w:rPr>
                <w:rFonts w:ascii="Arial" w:cs="Arial" w:eastAsia="Arial" w:hAnsi="Arial"/>
                <w:sz w:val="14"/>
                <w:szCs w:val="14"/>
                <w:color w:val="auto"/>
              </w:rPr>
              <w:t>with store</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40" w:type="dxa"/>
            <w:vAlign w:val="bottom"/>
          </w:tcPr>
          <w:p>
            <w:pPr>
              <w:ind w:left="200"/>
              <w:spacing w:after="0"/>
              <w:rPr>
                <w:sz w:val="20"/>
                <w:szCs w:val="20"/>
                <w:color w:val="auto"/>
              </w:rPr>
            </w:pPr>
            <w:r>
              <w:rPr>
                <w:rFonts w:ascii="Arial" w:cs="Arial" w:eastAsia="Arial" w:hAnsi="Arial"/>
                <w:sz w:val="14"/>
                <w:szCs w:val="14"/>
                <w:color w:val="auto"/>
              </w:rPr>
              <w:t>acquisitions</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8,334</w:t>
            </w:r>
          </w:p>
        </w:tc>
        <w:tc>
          <w:tcPr>
            <w:tcW w:w="720" w:type="dxa"/>
            <w:vAlign w:val="bottom"/>
            <w:gridSpan w:val="2"/>
          </w:tcPr>
          <w:p>
            <w:pPr>
              <w:jc w:val="right"/>
              <w:ind w:right="28"/>
              <w:spacing w:after="0"/>
              <w:rPr>
                <w:sz w:val="20"/>
                <w:szCs w:val="20"/>
                <w:color w:val="auto"/>
              </w:rPr>
            </w:pPr>
            <w:r>
              <w:rPr>
                <w:rFonts w:ascii="Arial" w:cs="Arial" w:eastAsia="Arial" w:hAnsi="Arial"/>
                <w:sz w:val="14"/>
                <w:szCs w:val="14"/>
                <w:color w:val="auto"/>
              </w:rPr>
              <w:t>13,783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13,710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2,982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38,809</w:t>
            </w:r>
          </w:p>
        </w:tc>
        <w:tc>
          <w:tcPr>
            <w:tcW w:w="0" w:type="dxa"/>
            <w:vAlign w:val="bottom"/>
          </w:tcPr>
          <w:p>
            <w:pPr>
              <w:spacing w:after="0"/>
              <w:rPr>
                <w:sz w:val="1"/>
                <w:szCs w:val="1"/>
                <w:color w:val="auto"/>
              </w:rPr>
            </w:pPr>
          </w:p>
        </w:tc>
      </w:tr>
      <w:tr>
        <w:trPr>
          <w:trHeight w:val="163"/>
        </w:trPr>
        <w:tc>
          <w:tcPr>
            <w:tcW w:w="1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Redemption of</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Operating</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7"/>
              </w:rPr>
              <w:t>Partnership units</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for common</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(10,240)</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299,190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10,635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240" w:type="dxa"/>
            <w:vAlign w:val="bottom"/>
          </w:tcPr>
          <w:p>
            <w:pPr>
              <w:ind w:left="40"/>
              <w:spacing w:after="0" w:line="157" w:lineRule="exact"/>
              <w:rPr>
                <w:sz w:val="20"/>
                <w:szCs w:val="20"/>
                <w:color w:val="auto"/>
              </w:rPr>
            </w:pPr>
            <w:r>
              <w:rPr>
                <w:rFonts w:ascii="Arial" w:cs="Arial" w:eastAsia="Arial" w:hAnsi="Arial"/>
                <w:sz w:val="14"/>
                <w:szCs w:val="14"/>
                <w:color w:val="auto"/>
              </w:rPr>
              <w:t>Redemption of</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200"/>
              <w:spacing w:after="0" w:line="149" w:lineRule="exact"/>
              <w:rPr>
                <w:sz w:val="20"/>
                <w:szCs w:val="20"/>
                <w:color w:val="auto"/>
              </w:rPr>
            </w:pPr>
            <w:r>
              <w:rPr>
                <w:rFonts w:ascii="Arial" w:cs="Arial" w:eastAsia="Arial" w:hAnsi="Arial"/>
                <w:sz w:val="14"/>
                <w:szCs w:val="14"/>
                <w:color w:val="auto"/>
              </w:rPr>
              <w:t>Operating</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200"/>
              <w:spacing w:after="0" w:line="149" w:lineRule="exact"/>
              <w:rPr>
                <w:sz w:val="20"/>
                <w:szCs w:val="20"/>
                <w:color w:val="auto"/>
              </w:rPr>
            </w:pPr>
            <w:r>
              <w:rPr>
                <w:rFonts w:ascii="Arial" w:cs="Arial" w:eastAsia="Arial" w:hAnsi="Arial"/>
                <w:sz w:val="14"/>
                <w:szCs w:val="14"/>
                <w:color w:val="auto"/>
                <w:w w:val="97"/>
              </w:rPr>
              <w:t>Partnership units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40" w:type="dxa"/>
            <w:vAlign w:val="bottom"/>
          </w:tcPr>
          <w:p>
            <w:pPr>
              <w:ind w:left="200"/>
              <w:spacing w:after="0"/>
              <w:rPr>
                <w:sz w:val="20"/>
                <w:szCs w:val="20"/>
                <w:color w:val="auto"/>
              </w:rPr>
            </w:pPr>
            <w:r>
              <w:rPr>
                <w:rFonts w:ascii="Arial" w:cs="Arial" w:eastAsia="Arial" w:hAnsi="Arial"/>
                <w:sz w:val="14"/>
                <w:szCs w:val="14"/>
                <w:color w:val="auto"/>
              </w:rPr>
              <w:t>for cash</w:t>
            </w:r>
          </w:p>
        </w:tc>
        <w:tc>
          <w:tcPr>
            <w:tcW w:w="600" w:type="dxa"/>
            <w:vAlign w:val="bottom"/>
          </w:tcPr>
          <w:p>
            <w:pPr>
              <w:jc w:val="right"/>
              <w:spacing w:after="0"/>
              <w:rPr>
                <w:sz w:val="20"/>
                <w:szCs w:val="20"/>
                <w:color w:val="auto"/>
              </w:rPr>
            </w:pPr>
            <w:r>
              <w:rPr>
                <w:rFonts w:ascii="Arial" w:cs="Arial" w:eastAsia="Arial" w:hAnsi="Arial"/>
                <w:sz w:val="14"/>
                <w:szCs w:val="14"/>
                <w:color w:val="auto"/>
              </w:rPr>
              <w:t>(4,794)</w:t>
            </w:r>
          </w:p>
        </w:tc>
        <w:tc>
          <w:tcPr>
            <w:tcW w:w="12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(4,794)</w:t>
            </w:r>
          </w:p>
        </w:tc>
        <w:tc>
          <w:tcPr>
            <w:tcW w:w="0" w:type="dxa"/>
            <w:vAlign w:val="bottom"/>
          </w:tcPr>
          <w:p>
            <w:pPr>
              <w:spacing w:after="0"/>
              <w:rPr>
                <w:sz w:val="1"/>
                <w:szCs w:val="1"/>
                <w:color w:val="auto"/>
              </w:rPr>
            </w:pPr>
          </w:p>
        </w:tc>
      </w:tr>
      <w:tr>
        <w:trPr>
          <w:trHeight w:val="163"/>
        </w:trPr>
        <w:tc>
          <w:tcPr>
            <w:tcW w:w="1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note</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receivable to</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Series C unit</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holders</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(20,230)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(20,230)</w:t>
            </w:r>
          </w:p>
        </w:tc>
        <w:tc>
          <w:tcPr>
            <w:tcW w:w="0" w:type="dxa"/>
            <w:vAlign w:val="bottom"/>
          </w:tcPr>
          <w:p>
            <w:pPr>
              <w:spacing w:after="0"/>
              <w:rPr>
                <w:sz w:val="1"/>
                <w:szCs w:val="1"/>
                <w:color w:val="auto"/>
              </w:rPr>
            </w:pPr>
          </w:p>
        </w:tc>
      </w:tr>
      <w:tr>
        <w:trPr>
          <w:trHeight w:val="190"/>
        </w:trPr>
        <w:tc>
          <w:tcPr>
            <w:tcW w:w="12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color w:val="auto"/>
              </w:rPr>
              <w:t>7,036</w:t>
            </w:r>
          </w:p>
        </w:tc>
        <w:tc>
          <w:tcPr>
            <w:tcW w:w="120" w:type="dxa"/>
            <w:vAlign w:val="bottom"/>
          </w:tcPr>
          <w:p>
            <w:pPr>
              <w:spacing w:after="0"/>
              <w:rPr>
                <w:sz w:val="16"/>
                <w:szCs w:val="16"/>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color w:val="auto"/>
              </w:rPr>
              <w:t>2,387</w:t>
            </w:r>
          </w:p>
        </w:tc>
        <w:tc>
          <w:tcPr>
            <w:tcW w:w="72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1,551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vMerge w:val="restart"/>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6,538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restart"/>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178,355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195,896</w:t>
            </w:r>
          </w:p>
        </w:tc>
        <w:tc>
          <w:tcPr>
            <w:tcW w:w="0" w:type="dxa"/>
            <w:vAlign w:val="bottom"/>
          </w:tcPr>
          <w:p>
            <w:pPr>
              <w:spacing w:after="0"/>
              <w:rPr>
                <w:sz w:val="1"/>
                <w:szCs w:val="1"/>
                <w:color w:val="auto"/>
              </w:rPr>
            </w:pPr>
          </w:p>
        </w:tc>
      </w:tr>
      <w:tr>
        <w:trPr>
          <w:trHeight w:val="73"/>
        </w:trPr>
        <w:tc>
          <w:tcPr>
            <w:tcW w:w="12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income</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(11,640)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(12,061)</w:t>
            </w:r>
          </w:p>
        </w:tc>
        <w:tc>
          <w:tcPr>
            <w:tcW w:w="0" w:type="dxa"/>
            <w:vAlign w:val="bottom"/>
          </w:tcPr>
          <w:p>
            <w:pPr>
              <w:spacing w:after="0"/>
              <w:rPr>
                <w:sz w:val="1"/>
                <w:szCs w:val="1"/>
                <w:color w:val="auto"/>
              </w:rPr>
            </w:pPr>
          </w:p>
        </w:tc>
      </w:tr>
      <w:tr>
        <w:trPr>
          <w:trHeight w:val="157"/>
        </w:trPr>
        <w:tc>
          <w:tcPr>
            <w:tcW w:w="1240" w:type="dxa"/>
            <w:vAlign w:val="bottom"/>
          </w:tcPr>
          <w:p>
            <w:pPr>
              <w:ind w:left="40"/>
              <w:spacing w:after="0" w:line="157" w:lineRule="exact"/>
              <w:rPr>
                <w:sz w:val="20"/>
                <w:szCs w:val="20"/>
                <w:color w:val="auto"/>
              </w:rPr>
            </w:pPr>
            <w:r>
              <w:rPr>
                <w:rFonts w:ascii="Arial" w:cs="Arial" w:eastAsia="Arial" w:hAnsi="Arial"/>
                <w:sz w:val="14"/>
                <w:szCs w:val="14"/>
                <w:color w:val="auto"/>
              </w:rPr>
              <w:t>Tax effect from</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200"/>
              <w:spacing w:after="0" w:line="149" w:lineRule="exact"/>
              <w:rPr>
                <w:sz w:val="20"/>
                <w:szCs w:val="20"/>
                <w:color w:val="auto"/>
              </w:rPr>
            </w:pPr>
            <w:r>
              <w:rPr>
                <w:rFonts w:ascii="Arial" w:cs="Arial" w:eastAsia="Arial" w:hAnsi="Arial"/>
                <w:sz w:val="14"/>
                <w:szCs w:val="14"/>
                <w:color w:val="auto"/>
              </w:rPr>
              <w:t>vesting of</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200"/>
              <w:spacing w:after="0" w:line="149" w:lineRule="exact"/>
              <w:rPr>
                <w:sz w:val="20"/>
                <w:szCs w:val="20"/>
                <w:color w:val="auto"/>
              </w:rPr>
            </w:pPr>
            <w:r>
              <w:rPr>
                <w:rFonts w:ascii="Arial" w:cs="Arial" w:eastAsia="Arial" w:hAnsi="Arial"/>
                <w:sz w:val="14"/>
                <w:szCs w:val="14"/>
                <w:color w:val="auto"/>
              </w:rPr>
              <w:t>restricted stock</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200"/>
              <w:spacing w:after="0" w:line="149" w:lineRule="exact"/>
              <w:rPr>
                <w:sz w:val="20"/>
                <w:szCs w:val="20"/>
                <w:color w:val="auto"/>
              </w:rPr>
            </w:pPr>
            <w:r>
              <w:rPr>
                <w:rFonts w:ascii="Arial" w:cs="Arial" w:eastAsia="Arial" w:hAnsi="Arial"/>
                <w:sz w:val="14"/>
                <w:szCs w:val="14"/>
                <w:color w:val="auto"/>
                <w:w w:val="99"/>
              </w:rPr>
              <w:t>grants and stock</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40" w:type="dxa"/>
            <w:vAlign w:val="bottom"/>
          </w:tcPr>
          <w:p>
            <w:pPr>
              <w:ind w:left="200"/>
              <w:spacing w:after="0"/>
              <w:rPr>
                <w:sz w:val="20"/>
                <w:szCs w:val="20"/>
                <w:color w:val="auto"/>
              </w:rPr>
            </w:pPr>
            <w:r>
              <w:rPr>
                <w:rFonts w:ascii="Arial" w:cs="Arial" w:eastAsia="Arial" w:hAnsi="Arial"/>
                <w:sz w:val="14"/>
                <w:szCs w:val="14"/>
                <w:color w:val="auto"/>
              </w:rPr>
              <w:t>option exercises</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3,613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3,613</w:t>
            </w:r>
          </w:p>
        </w:tc>
        <w:tc>
          <w:tcPr>
            <w:tcW w:w="0" w:type="dxa"/>
            <w:vAlign w:val="bottom"/>
          </w:tcPr>
          <w:p>
            <w:pPr>
              <w:spacing w:after="0"/>
              <w:rPr>
                <w:sz w:val="1"/>
                <w:szCs w:val="1"/>
                <w:color w:val="auto"/>
              </w:rPr>
            </w:pPr>
          </w:p>
        </w:tc>
      </w:tr>
      <w:tr>
        <w:trPr>
          <w:trHeight w:val="163"/>
        </w:trPr>
        <w:tc>
          <w:tcPr>
            <w:tcW w:w="1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to</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Operating</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7"/>
              </w:rPr>
              <w:t>Partnership units</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held by</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noncontrolling</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(7,321)</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(19,081)</w:t>
            </w:r>
          </w:p>
        </w:tc>
        <w:tc>
          <w:tcPr>
            <w:tcW w:w="0" w:type="dxa"/>
            <w:vAlign w:val="bottom"/>
          </w:tcPr>
          <w:p>
            <w:pPr>
              <w:spacing w:after="0"/>
              <w:rPr>
                <w:sz w:val="1"/>
                <w:szCs w:val="1"/>
                <w:color w:val="auto"/>
              </w:rPr>
            </w:pPr>
          </w:p>
        </w:tc>
      </w:tr>
      <w:tr>
        <w:trPr>
          <w:trHeight w:val="157"/>
        </w:trPr>
        <w:tc>
          <w:tcPr>
            <w:tcW w:w="1240" w:type="dxa"/>
            <w:vAlign w:val="bottom"/>
          </w:tcPr>
          <w:p>
            <w:pPr>
              <w:ind w:left="40"/>
              <w:spacing w:after="0" w:line="157" w:lineRule="exact"/>
              <w:rPr>
                <w:sz w:val="20"/>
                <w:szCs w:val="20"/>
                <w:color w:val="auto"/>
              </w:rPr>
            </w:pPr>
            <w:r>
              <w:rPr>
                <w:rFonts w:ascii="Arial" w:cs="Arial" w:eastAsia="Arial" w:hAnsi="Arial"/>
                <w:sz w:val="14"/>
                <w:szCs w:val="14"/>
                <w:color w:val="auto"/>
              </w:rPr>
              <w:t>Distributions to</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200"/>
              <w:spacing w:after="0" w:line="149" w:lineRule="exact"/>
              <w:rPr>
                <w:sz w:val="20"/>
                <w:szCs w:val="20"/>
                <w:color w:val="auto"/>
              </w:rPr>
            </w:pPr>
            <w:r>
              <w:rPr>
                <w:rFonts w:ascii="Arial" w:cs="Arial" w:eastAsia="Arial" w:hAnsi="Arial"/>
                <w:sz w:val="14"/>
                <w:szCs w:val="14"/>
                <w:color w:val="auto"/>
              </w:rPr>
              <w:t>other</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200"/>
              <w:spacing w:after="0" w:line="149" w:lineRule="exact"/>
              <w:rPr>
                <w:sz w:val="20"/>
                <w:szCs w:val="20"/>
                <w:color w:val="auto"/>
              </w:rPr>
            </w:pPr>
            <w:r>
              <w:rPr>
                <w:rFonts w:ascii="Arial" w:cs="Arial" w:eastAsia="Arial" w:hAnsi="Arial"/>
                <w:sz w:val="14"/>
                <w:szCs w:val="14"/>
                <w:color w:val="auto"/>
              </w:rPr>
              <w:t>noncontrolling</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40" w:type="dxa"/>
            <w:vAlign w:val="bottom"/>
          </w:tcPr>
          <w:p>
            <w:pPr>
              <w:ind w:left="200"/>
              <w:spacing w:after="0"/>
              <w:rPr>
                <w:sz w:val="20"/>
                <w:szCs w:val="20"/>
                <w:color w:val="auto"/>
              </w:rPr>
            </w:pPr>
            <w:r>
              <w:rPr>
                <w:rFonts w:ascii="Arial" w:cs="Arial" w:eastAsia="Arial" w:hAnsi="Arial"/>
                <w:sz w:val="14"/>
                <w:szCs w:val="14"/>
                <w:color w:val="auto"/>
              </w:rPr>
              <w:t>interests</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63"/>
        </w:trPr>
        <w:tc>
          <w:tcPr>
            <w:tcW w:w="1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paid on</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6"/>
              </w:rPr>
              <w:t>common stock at</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$1.81 per share</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(210,091)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(210,091)</w:t>
            </w:r>
          </w:p>
        </w:tc>
        <w:tc>
          <w:tcPr>
            <w:tcW w:w="0" w:type="dxa"/>
            <w:vAlign w:val="bottom"/>
          </w:tcPr>
          <w:p>
            <w:pPr>
              <w:spacing w:after="0"/>
              <w:rPr>
                <w:sz w:val="1"/>
                <w:szCs w:val="1"/>
                <w:color w:val="auto"/>
              </w:rPr>
            </w:pPr>
          </w:p>
        </w:tc>
      </w:tr>
      <w:tr>
        <w:trPr>
          <w:trHeight w:val="133"/>
        </w:trPr>
        <w:tc>
          <w:tcPr>
            <w:tcW w:w="124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Balances at</w:t>
            </w: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240" w:type="dxa"/>
            <w:vAlign w:val="bottom"/>
          </w:tcPr>
          <w:p>
            <w:pPr>
              <w:ind w:left="40"/>
              <w:spacing w:after="0"/>
              <w:rPr>
                <w:sz w:val="20"/>
                <w:szCs w:val="20"/>
                <w:color w:val="auto"/>
              </w:rPr>
            </w:pPr>
            <w:r>
              <w:rPr>
                <w:rFonts w:ascii="Arial" w:cs="Arial" w:eastAsia="Arial" w:hAnsi="Arial"/>
                <w:sz w:val="14"/>
                <w:szCs w:val="14"/>
                <w:b w:val="1"/>
                <w:bCs w:val="1"/>
                <w:color w:val="auto"/>
                <w:w w:val="93"/>
              </w:rPr>
              <w:t>December 31, 2014</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88"/>
              </w:rPr>
              <w:t>$ 14,809</w:t>
            </w:r>
          </w:p>
        </w:tc>
        <w:tc>
          <w:tcPr>
            <w:tcW w:w="120" w:type="dxa"/>
            <w:vAlign w:val="bottom"/>
          </w:tcPr>
          <w:p>
            <w:pPr>
              <w:spacing w:after="0"/>
              <w:rPr>
                <w:sz w:val="16"/>
                <w:szCs w:val="16"/>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88"/>
              </w:rPr>
              <w:t>$ 41,903</w:t>
            </w:r>
          </w:p>
        </w:tc>
        <w:tc>
          <w:tcPr>
            <w:tcW w:w="100" w:type="dxa"/>
            <w:vAlign w:val="bottom"/>
          </w:tcPr>
          <w:p>
            <w:pPr>
              <w:spacing w:after="0"/>
              <w:rPr>
                <w:sz w:val="16"/>
                <w:szCs w:val="16"/>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1"/>
              </w:rPr>
              <w:t>$ 10,730</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3"/>
              </w:rPr>
              <w:t>13,710</w:t>
            </w:r>
          </w:p>
        </w:tc>
        <w:tc>
          <w:tcPr>
            <w:tcW w:w="120" w:type="dxa"/>
            <w:vAlign w:val="bottom"/>
          </w:tcPr>
          <w:p>
            <w:pPr>
              <w:spacing w:after="0"/>
              <w:rPr>
                <w:sz w:val="16"/>
                <w:szCs w:val="16"/>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92,422</w:t>
            </w:r>
          </w:p>
        </w:tc>
        <w:tc>
          <w:tcPr>
            <w:tcW w:w="100" w:type="dxa"/>
            <w:vAlign w:val="bottom"/>
          </w:tcPr>
          <w:p>
            <w:pPr>
              <w:spacing w:after="0"/>
              <w:rPr>
                <w:sz w:val="16"/>
                <w:szCs w:val="16"/>
                <w:color w:val="auto"/>
              </w:rPr>
            </w:pP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984</w:t>
            </w: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2"/>
              </w:rPr>
              <w:t>116,360,239</w:t>
            </w:r>
          </w:p>
        </w:tc>
        <w:tc>
          <w:tcPr>
            <w:tcW w:w="120" w:type="dxa"/>
            <w:vAlign w:val="bottom"/>
          </w:tcPr>
          <w:p>
            <w:pPr>
              <w:spacing w:after="0"/>
              <w:rPr>
                <w:sz w:val="16"/>
                <w:szCs w:val="16"/>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1,163</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1,995,484</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(1,484)</w:t>
            </w:r>
          </w:p>
        </w:tc>
        <w:tc>
          <w:tcPr>
            <w:tcW w:w="120" w:type="dxa"/>
            <w:vAlign w:val="bottom"/>
          </w:tcPr>
          <w:p>
            <w:pPr>
              <w:spacing w:after="0"/>
              <w:rPr>
                <w:sz w:val="16"/>
                <w:szCs w:val="16"/>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(257,738)</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1,911,983</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012" w:right="239" w:bottom="1440" w:gutter="0" w:footer="0" w:header="0"/>
        </w:sectPr>
      </w:pPr>
    </w:p>
    <w:bookmarkStart w:id="49" w:name="page50"/>
    <w:bookmarkEnd w:id="49"/>
    <w:p>
      <w:pPr>
        <w:jc w:val="center"/>
        <w:ind w:right="20"/>
        <w:spacing w:after="0"/>
        <w:rPr>
          <w:sz w:val="20"/>
          <w:szCs w:val="20"/>
          <w:color w:val="auto"/>
        </w:rPr>
      </w:pPr>
      <w:r>
        <w:rPr>
          <w:rFonts w:ascii="Arial" w:cs="Arial" w:eastAsia="Arial" w:hAnsi="Arial"/>
          <w:sz w:val="18"/>
          <w:szCs w:val="18"/>
          <w:b w:val="1"/>
          <w:bCs w:val="1"/>
          <w:color w:val="auto"/>
        </w:rPr>
        <w:t>Extra Space Storage Inc.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213995</wp:posOffset>
            </wp:positionV>
            <wp:extent cx="57562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6275" cy="8255"/>
                    </a:xfrm>
                    <a:prstGeom prst="rect">
                      <a:avLst/>
                    </a:prstGeom>
                    <a:noFill/>
                  </pic:spPr>
                </pic:pic>
              </a:graphicData>
            </a:graphic>
          </wp:anchor>
        </w:drawing>
      </w:r>
    </w:p>
    <w:p>
      <w:pPr>
        <w:sectPr>
          <w:pgSz w:w="11900" w:h="16838" w:orient="portrait"/>
          <w:cols w:equalWidth="0" w:num="1">
            <w:col w:w="11380"/>
          </w:cols>
          <w:pgMar w:left="280" w:top="1011"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2"/>
              </w:rPr>
              <w:t>Noncontrolling Interests</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1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10"/>
          </w:tcPr>
          <w:p>
            <w:pPr>
              <w:jc w:val="right"/>
              <w:ind w:right="308"/>
              <w:spacing w:after="0"/>
              <w:rPr>
                <w:sz w:val="20"/>
                <w:szCs w:val="20"/>
                <w:color w:val="auto"/>
              </w:rPr>
            </w:pPr>
            <w:r>
              <w:rPr>
                <w:rFonts w:ascii="Arial" w:cs="Arial" w:eastAsia="Arial" w:hAnsi="Arial"/>
                <w:sz w:val="14"/>
                <w:szCs w:val="14"/>
                <w:b w:val="1"/>
                <w:bCs w:val="1"/>
                <w:color w:val="auto"/>
              </w:rPr>
              <w:t>Preferred Operating Partnership</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240" w:type="dxa"/>
            <w:vAlign w:val="bottom"/>
          </w:tcPr>
          <w:p>
            <w:pPr>
              <w:spacing w:after="0"/>
              <w:rPr>
                <w:sz w:val="10"/>
                <w:szCs w:val="10"/>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Series A</w:t>
            </w: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Series B</w:t>
            </w:r>
          </w:p>
        </w:tc>
        <w:tc>
          <w:tcPr>
            <w:tcW w:w="120" w:type="dxa"/>
            <w:vAlign w:val="bottom"/>
          </w:tcPr>
          <w:p>
            <w:pPr>
              <w:spacing w:after="0"/>
              <w:rPr>
                <w:sz w:val="10"/>
                <w:szCs w:val="10"/>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Series C</w:t>
            </w: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Series D</w:t>
            </w:r>
          </w:p>
        </w:tc>
        <w:tc>
          <w:tcPr>
            <w:tcW w:w="900" w:type="dxa"/>
            <w:vAlign w:val="bottom"/>
            <w:gridSpan w:val="3"/>
          </w:tcPr>
          <w:p>
            <w:pPr>
              <w:ind w:left="80"/>
              <w:spacing w:after="0" w:line="126" w:lineRule="exact"/>
              <w:rPr>
                <w:sz w:val="20"/>
                <w:szCs w:val="20"/>
                <w:color w:val="auto"/>
              </w:rPr>
            </w:pPr>
            <w:r>
              <w:rPr>
                <w:rFonts w:ascii="Arial" w:cs="Arial" w:eastAsia="Arial" w:hAnsi="Arial"/>
                <w:sz w:val="14"/>
                <w:szCs w:val="14"/>
                <w:b w:val="1"/>
                <w:bCs w:val="1"/>
                <w:color w:val="auto"/>
              </w:rPr>
              <w:t>Operating</w:t>
            </w: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124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Partnership</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240" w:type="dxa"/>
            <w:vAlign w:val="bottom"/>
          </w:tcPr>
          <w:p>
            <w:pPr>
              <w:spacing w:after="0" w:line="143" w:lineRule="exact"/>
              <w:rPr>
                <w:sz w:val="20"/>
                <w:szCs w:val="20"/>
                <w:color w:val="auto"/>
              </w:rPr>
            </w:pPr>
            <w:r>
              <w:rPr>
                <w:rFonts w:ascii="Arial" w:cs="Arial" w:eastAsia="Arial" w:hAnsi="Arial"/>
                <w:sz w:val="14"/>
                <w:szCs w:val="14"/>
                <w:color w:val="auto"/>
                <w:w w:val="94"/>
              </w:rPr>
              <w:t>Issuance of common</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60"/>
              <w:spacing w:after="0" w:line="149" w:lineRule="exact"/>
              <w:rPr>
                <w:sz w:val="20"/>
                <w:szCs w:val="20"/>
                <w:color w:val="auto"/>
              </w:rPr>
            </w:pPr>
            <w:r>
              <w:rPr>
                <w:rFonts w:ascii="Arial" w:cs="Arial" w:eastAsia="Arial" w:hAnsi="Arial"/>
                <w:sz w:val="14"/>
                <w:szCs w:val="14"/>
                <w:color w:val="auto"/>
              </w:rPr>
              <w:t>stock upon the</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60"/>
              <w:spacing w:after="0" w:line="149" w:lineRule="exact"/>
              <w:rPr>
                <w:sz w:val="20"/>
                <w:szCs w:val="20"/>
                <w:color w:val="auto"/>
              </w:rPr>
            </w:pPr>
            <w:r>
              <w:rPr>
                <w:rFonts w:ascii="Arial" w:cs="Arial" w:eastAsia="Arial" w:hAnsi="Arial"/>
                <w:sz w:val="14"/>
                <w:szCs w:val="14"/>
                <w:color w:val="auto"/>
              </w:rPr>
              <w:t>exercise of</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40" w:type="dxa"/>
            <w:vAlign w:val="bottom"/>
          </w:tcPr>
          <w:p>
            <w:pPr>
              <w:ind w:left="160"/>
              <w:spacing w:after="0"/>
              <w:rPr>
                <w:sz w:val="20"/>
                <w:szCs w:val="20"/>
                <w:color w:val="auto"/>
              </w:rPr>
            </w:pPr>
            <w:r>
              <w:rPr>
                <w:rFonts w:ascii="Arial" w:cs="Arial" w:eastAsia="Arial" w:hAnsi="Arial"/>
                <w:sz w:val="14"/>
                <w:szCs w:val="14"/>
                <w:color w:val="auto"/>
              </w:rPr>
              <w:t>options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69"/>
        </w:trPr>
        <w:tc>
          <w:tcPr>
            <w:tcW w:w="1240" w:type="dxa"/>
            <w:vAlign w:val="bottom"/>
          </w:tcPr>
          <w:p>
            <w:pPr>
              <w:spacing w:after="0"/>
              <w:rPr>
                <w:sz w:val="20"/>
                <w:szCs w:val="20"/>
                <w:color w:val="auto"/>
              </w:rPr>
            </w:pPr>
            <w:r>
              <w:rPr>
                <w:rFonts w:ascii="Arial" w:cs="Arial" w:eastAsia="Arial" w:hAnsi="Arial"/>
                <w:sz w:val="14"/>
                <w:szCs w:val="14"/>
                <w:color w:val="auto"/>
              </w:rPr>
              <w:t>Restricted stock</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240" w:type="dxa"/>
            <w:vAlign w:val="bottom"/>
          </w:tcPr>
          <w:p>
            <w:pPr>
              <w:ind w:left="160"/>
              <w:spacing w:after="0"/>
              <w:rPr>
                <w:sz w:val="20"/>
                <w:szCs w:val="20"/>
                <w:color w:val="auto"/>
              </w:rPr>
            </w:pPr>
            <w:r>
              <w:rPr>
                <w:rFonts w:ascii="Arial" w:cs="Arial" w:eastAsia="Arial" w:hAnsi="Arial"/>
                <w:sz w:val="14"/>
                <w:szCs w:val="14"/>
                <w:color w:val="auto"/>
              </w:rPr>
              <w:t>grants issued</w:t>
            </w: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1240" w:type="dxa"/>
            <w:vAlign w:val="bottom"/>
          </w:tcPr>
          <w:p>
            <w:pPr>
              <w:spacing w:after="0"/>
              <w:rPr>
                <w:sz w:val="20"/>
                <w:szCs w:val="20"/>
                <w:color w:val="auto"/>
              </w:rPr>
            </w:pPr>
            <w:r>
              <w:rPr>
                <w:rFonts w:ascii="Arial" w:cs="Arial" w:eastAsia="Arial" w:hAnsi="Arial"/>
                <w:sz w:val="14"/>
                <w:szCs w:val="14"/>
                <w:color w:val="auto"/>
              </w:rPr>
              <w:t>Restricted stock</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240" w:type="dxa"/>
            <w:vAlign w:val="bottom"/>
          </w:tcPr>
          <w:p>
            <w:pPr>
              <w:ind w:left="160"/>
              <w:spacing w:after="0"/>
              <w:rPr>
                <w:sz w:val="20"/>
                <w:szCs w:val="20"/>
                <w:color w:val="auto"/>
              </w:rPr>
            </w:pPr>
            <w:r>
              <w:rPr>
                <w:rFonts w:ascii="Arial" w:cs="Arial" w:eastAsia="Arial" w:hAnsi="Arial"/>
                <w:sz w:val="14"/>
                <w:szCs w:val="14"/>
                <w:color w:val="auto"/>
              </w:rPr>
              <w:t>grants cancelled</w:t>
            </w: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1240" w:type="dxa"/>
            <w:vAlign w:val="bottom"/>
          </w:tcPr>
          <w:p>
            <w:pPr>
              <w:spacing w:after="0"/>
              <w:rPr>
                <w:sz w:val="20"/>
                <w:szCs w:val="20"/>
                <w:color w:val="auto"/>
              </w:rPr>
            </w:pPr>
            <w:r>
              <w:rPr>
                <w:rFonts w:ascii="Arial" w:cs="Arial" w:eastAsia="Arial" w:hAnsi="Arial"/>
                <w:sz w:val="14"/>
                <w:szCs w:val="14"/>
                <w:color w:val="auto"/>
                <w:w w:val="94"/>
              </w:rPr>
              <w:t>Issuance of common</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60"/>
              <w:spacing w:after="0" w:line="149" w:lineRule="exact"/>
              <w:rPr>
                <w:sz w:val="20"/>
                <w:szCs w:val="20"/>
                <w:color w:val="auto"/>
              </w:rPr>
            </w:pPr>
            <w:r>
              <w:rPr>
                <w:rFonts w:ascii="Arial" w:cs="Arial" w:eastAsia="Arial" w:hAnsi="Arial"/>
                <w:sz w:val="14"/>
                <w:szCs w:val="14"/>
                <w:color w:val="auto"/>
              </w:rPr>
              <w:t>stock, net of</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40" w:type="dxa"/>
            <w:vAlign w:val="bottom"/>
          </w:tcPr>
          <w:p>
            <w:pPr>
              <w:ind w:left="160"/>
              <w:spacing w:after="0"/>
              <w:rPr>
                <w:sz w:val="20"/>
                <w:szCs w:val="20"/>
                <w:color w:val="auto"/>
              </w:rPr>
            </w:pPr>
            <w:r>
              <w:rPr>
                <w:rFonts w:ascii="Arial" w:cs="Arial" w:eastAsia="Arial" w:hAnsi="Arial"/>
                <w:sz w:val="14"/>
                <w:szCs w:val="14"/>
                <w:color w:val="auto"/>
              </w:rPr>
              <w:t>offering costs</w:t>
            </w: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1240" w:type="dxa"/>
            <w:vAlign w:val="bottom"/>
          </w:tcPr>
          <w:p>
            <w:pPr>
              <w:spacing w:after="0"/>
              <w:rPr>
                <w:sz w:val="20"/>
                <w:szCs w:val="20"/>
                <w:color w:val="auto"/>
              </w:rPr>
            </w:pPr>
            <w:r>
              <w:rPr>
                <w:rFonts w:ascii="Arial" w:cs="Arial" w:eastAsia="Arial" w:hAnsi="Arial"/>
                <w:sz w:val="14"/>
                <w:szCs w:val="14"/>
                <w:color w:val="auto"/>
              </w:rPr>
              <w:t>Compensation</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60"/>
              <w:spacing w:after="0" w:line="149" w:lineRule="exact"/>
              <w:rPr>
                <w:sz w:val="20"/>
                <w:szCs w:val="20"/>
                <w:color w:val="auto"/>
              </w:rPr>
            </w:pPr>
            <w:r>
              <w:rPr>
                <w:rFonts w:ascii="Arial" w:cs="Arial" w:eastAsia="Arial" w:hAnsi="Arial"/>
                <w:sz w:val="14"/>
                <w:szCs w:val="14"/>
                <w:color w:val="auto"/>
                <w:w w:val="91"/>
              </w:rPr>
              <w:t>expense related to</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60"/>
              <w:spacing w:after="0" w:line="149" w:lineRule="exact"/>
              <w:rPr>
                <w:sz w:val="20"/>
                <w:szCs w:val="20"/>
                <w:color w:val="auto"/>
              </w:rPr>
            </w:pPr>
            <w:r>
              <w:rPr>
                <w:rFonts w:ascii="Arial" w:cs="Arial" w:eastAsia="Arial" w:hAnsi="Arial"/>
                <w:sz w:val="14"/>
                <w:szCs w:val="14"/>
                <w:color w:val="auto"/>
              </w:rPr>
              <w:t>stock-based</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40" w:type="dxa"/>
            <w:vAlign w:val="bottom"/>
          </w:tcPr>
          <w:p>
            <w:pPr>
              <w:ind w:left="160"/>
              <w:spacing w:after="0"/>
              <w:rPr>
                <w:sz w:val="20"/>
                <w:szCs w:val="20"/>
                <w:color w:val="auto"/>
              </w:rPr>
            </w:pPr>
            <w:r>
              <w:rPr>
                <w:rFonts w:ascii="Arial" w:cs="Arial" w:eastAsia="Arial" w:hAnsi="Arial"/>
                <w:sz w:val="14"/>
                <w:szCs w:val="14"/>
                <w:color w:val="auto"/>
              </w:rPr>
              <w:t>awards</w:t>
            </w: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1240" w:type="dxa"/>
            <w:vAlign w:val="bottom"/>
          </w:tcPr>
          <w:p>
            <w:pPr>
              <w:spacing w:after="0"/>
              <w:rPr>
                <w:sz w:val="20"/>
                <w:szCs w:val="20"/>
                <w:color w:val="auto"/>
              </w:rPr>
            </w:pPr>
            <w:r>
              <w:rPr>
                <w:rFonts w:ascii="Arial" w:cs="Arial" w:eastAsia="Arial" w:hAnsi="Arial"/>
                <w:sz w:val="14"/>
                <w:szCs w:val="14"/>
                <w:color w:val="auto"/>
              </w:rPr>
              <w:t>Purchase of</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60"/>
              <w:spacing w:after="0" w:line="149" w:lineRule="exact"/>
              <w:rPr>
                <w:sz w:val="20"/>
                <w:szCs w:val="20"/>
                <w:color w:val="auto"/>
              </w:rPr>
            </w:pPr>
            <w:r>
              <w:rPr>
                <w:rFonts w:ascii="Arial" w:cs="Arial" w:eastAsia="Arial" w:hAnsi="Arial"/>
                <w:sz w:val="14"/>
                <w:szCs w:val="14"/>
                <w:color w:val="auto"/>
              </w:rPr>
              <w:t>remaining equity</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60"/>
              <w:spacing w:after="0" w:line="149" w:lineRule="exact"/>
              <w:rPr>
                <w:sz w:val="20"/>
                <w:szCs w:val="20"/>
                <w:color w:val="auto"/>
              </w:rPr>
            </w:pPr>
            <w:r>
              <w:rPr>
                <w:rFonts w:ascii="Arial" w:cs="Arial" w:eastAsia="Arial" w:hAnsi="Arial"/>
                <w:sz w:val="14"/>
                <w:szCs w:val="14"/>
                <w:color w:val="auto"/>
              </w:rPr>
              <w:t>interest in</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60"/>
              <w:spacing w:after="0" w:line="149" w:lineRule="exact"/>
              <w:rPr>
                <w:sz w:val="20"/>
                <w:szCs w:val="20"/>
                <w:color w:val="auto"/>
              </w:rPr>
            </w:pPr>
            <w:r>
              <w:rPr>
                <w:rFonts w:ascii="Arial" w:cs="Arial" w:eastAsia="Arial" w:hAnsi="Arial"/>
                <w:sz w:val="14"/>
                <w:szCs w:val="14"/>
                <w:color w:val="auto"/>
              </w:rPr>
              <w:t>existing</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60"/>
              <w:spacing w:after="0" w:line="149" w:lineRule="exact"/>
              <w:rPr>
                <w:sz w:val="20"/>
                <w:szCs w:val="20"/>
                <w:color w:val="auto"/>
              </w:rPr>
            </w:pPr>
            <w:r>
              <w:rPr>
                <w:rFonts w:ascii="Arial" w:cs="Arial" w:eastAsia="Arial" w:hAnsi="Arial"/>
                <w:sz w:val="14"/>
                <w:szCs w:val="14"/>
                <w:color w:val="auto"/>
                <w:w w:val="97"/>
              </w:rPr>
              <w:t>consolidated joint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40" w:type="dxa"/>
            <w:vAlign w:val="bottom"/>
          </w:tcPr>
          <w:p>
            <w:pPr>
              <w:ind w:left="160"/>
              <w:spacing w:after="0"/>
              <w:rPr>
                <w:sz w:val="20"/>
                <w:szCs w:val="20"/>
                <w:color w:val="auto"/>
              </w:rPr>
            </w:pPr>
            <w:r>
              <w:rPr>
                <w:rFonts w:ascii="Arial" w:cs="Arial" w:eastAsia="Arial" w:hAnsi="Arial"/>
                <w:sz w:val="14"/>
                <w:szCs w:val="14"/>
                <w:color w:val="auto"/>
              </w:rPr>
              <w:t>venture</w:t>
            </w: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(822)</w:t>
            </w:r>
          </w:p>
        </w:tc>
        <w:tc>
          <w:tcPr>
            <w:tcW w:w="0" w:type="dxa"/>
            <w:vAlign w:val="bottom"/>
          </w:tcPr>
          <w:p>
            <w:pPr>
              <w:spacing w:after="0"/>
              <w:rPr>
                <w:sz w:val="1"/>
                <w:szCs w:val="1"/>
                <w:color w:val="auto"/>
              </w:rPr>
            </w:pPr>
          </w:p>
        </w:tc>
      </w:tr>
      <w:tr>
        <w:trPr>
          <w:trHeight w:val="169"/>
        </w:trPr>
        <w:tc>
          <w:tcPr>
            <w:tcW w:w="1240" w:type="dxa"/>
            <w:vAlign w:val="bottom"/>
          </w:tcPr>
          <w:p>
            <w:pPr>
              <w:spacing w:after="0"/>
              <w:rPr>
                <w:sz w:val="20"/>
                <w:szCs w:val="20"/>
                <w:color w:val="auto"/>
              </w:rPr>
            </w:pPr>
            <w:r>
              <w:rPr>
                <w:rFonts w:ascii="Arial" w:cs="Arial" w:eastAsia="Arial" w:hAnsi="Arial"/>
                <w:sz w:val="14"/>
                <w:szCs w:val="14"/>
                <w:color w:val="auto"/>
              </w:rPr>
              <w:t>Issuance of</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60"/>
              <w:spacing w:after="0" w:line="149" w:lineRule="exact"/>
              <w:rPr>
                <w:sz w:val="20"/>
                <w:szCs w:val="20"/>
                <w:color w:val="auto"/>
              </w:rPr>
            </w:pPr>
            <w:r>
              <w:rPr>
                <w:rFonts w:ascii="Arial" w:cs="Arial" w:eastAsia="Arial" w:hAnsi="Arial"/>
                <w:sz w:val="14"/>
                <w:szCs w:val="14"/>
                <w:color w:val="auto"/>
              </w:rPr>
              <w:t>Operating</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60"/>
              <w:spacing w:after="0" w:line="149" w:lineRule="exact"/>
              <w:rPr>
                <w:sz w:val="20"/>
                <w:szCs w:val="20"/>
                <w:color w:val="auto"/>
              </w:rPr>
            </w:pPr>
            <w:r>
              <w:rPr>
                <w:rFonts w:ascii="Arial" w:cs="Arial" w:eastAsia="Arial" w:hAnsi="Arial"/>
                <w:sz w:val="14"/>
                <w:szCs w:val="14"/>
                <w:color w:val="auto"/>
              </w:rPr>
              <w:t>Partnership units</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60"/>
              <w:spacing w:after="0" w:line="149" w:lineRule="exact"/>
              <w:rPr>
                <w:sz w:val="20"/>
                <w:szCs w:val="20"/>
                <w:color w:val="auto"/>
              </w:rPr>
            </w:pPr>
            <w:r>
              <w:rPr>
                <w:rFonts w:ascii="Arial" w:cs="Arial" w:eastAsia="Arial" w:hAnsi="Arial"/>
                <w:sz w:val="14"/>
                <w:szCs w:val="14"/>
                <w:color w:val="auto"/>
              </w:rPr>
              <w:t>in conjunction</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40" w:type="dxa"/>
            <w:vAlign w:val="bottom"/>
          </w:tcPr>
          <w:p>
            <w:pPr>
              <w:ind w:left="160"/>
              <w:spacing w:after="0"/>
              <w:rPr>
                <w:sz w:val="20"/>
                <w:szCs w:val="20"/>
                <w:color w:val="auto"/>
              </w:rPr>
            </w:pPr>
            <w:r>
              <w:rPr>
                <w:rFonts w:ascii="Arial" w:cs="Arial" w:eastAsia="Arial" w:hAnsi="Arial"/>
                <w:sz w:val="14"/>
                <w:szCs w:val="14"/>
                <w:color w:val="auto"/>
              </w:rPr>
              <w:t>with acquisitions</w:t>
            </w: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w w:val="98"/>
              </w:rPr>
              <w:t>142,399</w:t>
            </w:r>
          </w:p>
        </w:tc>
        <w:tc>
          <w:tcPr>
            <w:tcW w:w="100" w:type="dxa"/>
            <w:vAlign w:val="bottom"/>
          </w:tcPr>
          <w:p>
            <w:pPr>
              <w:spacing w:after="0"/>
              <w:rPr>
                <w:sz w:val="15"/>
                <w:szCs w:val="15"/>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1240" w:type="dxa"/>
            <w:vAlign w:val="bottom"/>
          </w:tcPr>
          <w:p>
            <w:pPr>
              <w:spacing w:after="0"/>
              <w:rPr>
                <w:sz w:val="20"/>
                <w:szCs w:val="20"/>
                <w:color w:val="auto"/>
              </w:rPr>
            </w:pPr>
            <w:r>
              <w:rPr>
                <w:rFonts w:ascii="Arial" w:cs="Arial" w:eastAsia="Arial" w:hAnsi="Arial"/>
                <w:sz w:val="14"/>
                <w:szCs w:val="14"/>
                <w:color w:val="auto"/>
              </w:rPr>
              <w:t>Redemption of</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60"/>
              <w:spacing w:after="0" w:line="149" w:lineRule="exact"/>
              <w:rPr>
                <w:sz w:val="20"/>
                <w:szCs w:val="20"/>
                <w:color w:val="auto"/>
              </w:rPr>
            </w:pPr>
            <w:r>
              <w:rPr>
                <w:rFonts w:ascii="Arial" w:cs="Arial" w:eastAsia="Arial" w:hAnsi="Arial"/>
                <w:sz w:val="14"/>
                <w:szCs w:val="14"/>
                <w:color w:val="auto"/>
              </w:rPr>
              <w:t>Operating</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60"/>
              <w:spacing w:after="0" w:line="149" w:lineRule="exact"/>
              <w:rPr>
                <w:sz w:val="20"/>
                <w:szCs w:val="20"/>
                <w:color w:val="auto"/>
              </w:rPr>
            </w:pPr>
            <w:r>
              <w:rPr>
                <w:rFonts w:ascii="Arial" w:cs="Arial" w:eastAsia="Arial" w:hAnsi="Arial"/>
                <w:sz w:val="14"/>
                <w:szCs w:val="14"/>
                <w:color w:val="auto"/>
              </w:rPr>
              <w:t>Partnership units</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40" w:type="dxa"/>
            <w:vAlign w:val="bottom"/>
          </w:tcPr>
          <w:p>
            <w:pPr>
              <w:ind w:left="160"/>
              <w:spacing w:after="0"/>
              <w:rPr>
                <w:sz w:val="20"/>
                <w:szCs w:val="20"/>
                <w:color w:val="auto"/>
              </w:rPr>
            </w:pPr>
            <w:r>
              <w:rPr>
                <w:rFonts w:ascii="Arial" w:cs="Arial" w:eastAsia="Arial" w:hAnsi="Arial"/>
                <w:sz w:val="14"/>
                <w:szCs w:val="14"/>
                <w:color w:val="auto"/>
                <w:w w:val="95"/>
              </w:rPr>
              <w:t>for common stock</w:t>
            </w: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(28,106)</w:t>
            </w:r>
          </w:p>
        </w:tc>
        <w:tc>
          <w:tcPr>
            <w:tcW w:w="100" w:type="dxa"/>
            <w:vAlign w:val="bottom"/>
          </w:tcPr>
          <w:p>
            <w:pPr>
              <w:spacing w:after="0"/>
              <w:rPr>
                <w:sz w:val="15"/>
                <w:szCs w:val="15"/>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1240" w:type="dxa"/>
            <w:vAlign w:val="bottom"/>
          </w:tcPr>
          <w:p>
            <w:pPr>
              <w:spacing w:after="0"/>
              <w:rPr>
                <w:sz w:val="20"/>
                <w:szCs w:val="20"/>
                <w:color w:val="auto"/>
              </w:rPr>
            </w:pPr>
            <w:r>
              <w:rPr>
                <w:rFonts w:ascii="Arial" w:cs="Arial" w:eastAsia="Arial" w:hAnsi="Arial"/>
                <w:sz w:val="14"/>
                <w:szCs w:val="14"/>
                <w:color w:val="auto"/>
              </w:rPr>
              <w:t>Repurchase of</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60"/>
              <w:spacing w:after="0" w:line="149" w:lineRule="exact"/>
              <w:rPr>
                <w:sz w:val="20"/>
                <w:szCs w:val="20"/>
                <w:color w:val="auto"/>
              </w:rPr>
            </w:pPr>
            <w:r>
              <w:rPr>
                <w:rFonts w:ascii="Arial" w:cs="Arial" w:eastAsia="Arial" w:hAnsi="Arial"/>
                <w:sz w:val="14"/>
                <w:szCs w:val="14"/>
                <w:color w:val="auto"/>
              </w:rPr>
              <w:t>equity portion of</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60"/>
              <w:spacing w:after="0" w:line="149"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60"/>
              <w:spacing w:after="0" w:line="149" w:lineRule="exact"/>
              <w:rPr>
                <w:sz w:val="20"/>
                <w:szCs w:val="20"/>
                <w:color w:val="auto"/>
              </w:rPr>
            </w:pPr>
            <w:r>
              <w:rPr>
                <w:rFonts w:ascii="Arial" w:cs="Arial" w:eastAsia="Arial" w:hAnsi="Arial"/>
                <w:sz w:val="14"/>
                <w:szCs w:val="14"/>
                <w:color w:val="auto"/>
              </w:rPr>
              <w:t>exchangeable</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40" w:type="dxa"/>
            <w:vAlign w:val="bottom"/>
          </w:tcPr>
          <w:p>
            <w:pPr>
              <w:ind w:left="160"/>
              <w:spacing w:after="0"/>
              <w:rPr>
                <w:sz w:val="20"/>
                <w:szCs w:val="20"/>
                <w:color w:val="auto"/>
              </w:rPr>
            </w:pPr>
            <w:r>
              <w:rPr>
                <w:rFonts w:ascii="Arial" w:cs="Arial" w:eastAsia="Arial" w:hAnsi="Arial"/>
                <w:sz w:val="14"/>
                <w:szCs w:val="14"/>
                <w:color w:val="auto"/>
              </w:rPr>
              <w:t>senior notes</w:t>
            </w: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1240" w:type="dxa"/>
            <w:vAlign w:val="bottom"/>
          </w:tcPr>
          <w:p>
            <w:pPr>
              <w:spacing w:after="0"/>
              <w:rPr>
                <w:sz w:val="20"/>
                <w:szCs w:val="20"/>
                <w:color w:val="auto"/>
              </w:rPr>
            </w:pPr>
            <w:r>
              <w:rPr>
                <w:rFonts w:ascii="Arial" w:cs="Arial" w:eastAsia="Arial" w:hAnsi="Arial"/>
                <w:sz w:val="14"/>
                <w:szCs w:val="14"/>
                <w:color w:val="auto"/>
              </w:rPr>
              <w:t>Issuance of 2015</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60"/>
              <w:spacing w:after="0" w:line="149" w:lineRule="exact"/>
              <w:rPr>
                <w:sz w:val="20"/>
                <w:szCs w:val="20"/>
                <w:color w:val="auto"/>
              </w:rPr>
            </w:pPr>
            <w:r>
              <w:rPr>
                <w:rFonts w:ascii="Arial" w:cs="Arial" w:eastAsia="Arial" w:hAnsi="Arial"/>
                <w:sz w:val="14"/>
                <w:szCs w:val="14"/>
                <w:color w:val="auto"/>
              </w:rPr>
              <w:t>exchangeable</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60"/>
              <w:spacing w:after="0" w:line="149" w:lineRule="exact"/>
              <w:rPr>
                <w:sz w:val="20"/>
                <w:szCs w:val="20"/>
                <w:color w:val="auto"/>
              </w:rPr>
            </w:pPr>
            <w:r>
              <w:rPr>
                <w:rFonts w:ascii="Arial" w:cs="Arial" w:eastAsia="Arial" w:hAnsi="Arial"/>
                <w:sz w:val="14"/>
                <w:szCs w:val="14"/>
                <w:color w:val="auto"/>
              </w:rPr>
              <w:t>senior notes -</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40" w:type="dxa"/>
            <w:vAlign w:val="bottom"/>
          </w:tcPr>
          <w:p>
            <w:pPr>
              <w:ind w:left="160"/>
              <w:spacing w:after="0"/>
              <w:rPr>
                <w:sz w:val="20"/>
                <w:szCs w:val="20"/>
                <w:color w:val="auto"/>
              </w:rPr>
            </w:pPr>
            <w:r>
              <w:rPr>
                <w:rFonts w:ascii="Arial" w:cs="Arial" w:eastAsia="Arial" w:hAnsi="Arial"/>
                <w:sz w:val="14"/>
                <w:szCs w:val="14"/>
                <w:color w:val="auto"/>
                <w:w w:val="95"/>
              </w:rPr>
              <w:t>equity component</w:t>
            </w: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240" w:type="dxa"/>
            <w:vAlign w:val="bottom"/>
          </w:tcPr>
          <w:p>
            <w:pPr>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7"/>
                <w:szCs w:val="17"/>
                <w:color w:val="auto"/>
              </w:rPr>
            </w:pPr>
          </w:p>
        </w:tc>
        <w:tc>
          <w:tcPr>
            <w:tcW w:w="520" w:type="dxa"/>
            <w:vAlign w:val="bottom"/>
            <w:vMerge w:val="restart"/>
          </w:tcPr>
          <w:p>
            <w:pPr>
              <w:jc w:val="right"/>
              <w:ind w:right="48"/>
              <w:spacing w:after="0"/>
              <w:rPr>
                <w:sz w:val="20"/>
                <w:szCs w:val="20"/>
                <w:color w:val="auto"/>
              </w:rPr>
            </w:pPr>
            <w:r>
              <w:rPr>
                <w:rFonts w:ascii="Arial" w:cs="Arial" w:eastAsia="Arial" w:hAnsi="Arial"/>
                <w:sz w:val="14"/>
                <w:szCs w:val="14"/>
                <w:color w:val="auto"/>
              </w:rPr>
              <w:t>6,445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vMerge w:val="restart"/>
          </w:tcPr>
          <w:p>
            <w:pPr>
              <w:jc w:val="right"/>
              <w:ind w:right="28"/>
              <w:spacing w:after="0"/>
              <w:rPr>
                <w:sz w:val="20"/>
                <w:szCs w:val="20"/>
                <w:color w:val="auto"/>
              </w:rPr>
            </w:pPr>
            <w:r>
              <w:rPr>
                <w:rFonts w:ascii="Arial" w:cs="Arial" w:eastAsia="Arial" w:hAnsi="Arial"/>
                <w:sz w:val="14"/>
                <w:szCs w:val="14"/>
                <w:color w:val="auto"/>
              </w:rPr>
              <w:t>2,514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vMerge w:val="restart"/>
          </w:tcPr>
          <w:p>
            <w:pPr>
              <w:jc w:val="right"/>
              <w:ind w:right="48"/>
              <w:spacing w:after="0"/>
              <w:rPr>
                <w:sz w:val="20"/>
                <w:szCs w:val="20"/>
                <w:color w:val="auto"/>
              </w:rPr>
            </w:pPr>
            <w:r>
              <w:rPr>
                <w:rFonts w:ascii="Arial" w:cs="Arial" w:eastAsia="Arial" w:hAnsi="Arial"/>
                <w:sz w:val="14"/>
                <w:szCs w:val="14"/>
                <w:color w:val="auto"/>
              </w:rPr>
              <w:t>2,074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rPr>
              <w:t>685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8,344</w:t>
            </w:r>
          </w:p>
        </w:tc>
        <w:tc>
          <w:tcPr>
            <w:tcW w:w="100" w:type="dxa"/>
            <w:vAlign w:val="bottom"/>
          </w:tcPr>
          <w:p>
            <w:pPr>
              <w:spacing w:after="0"/>
              <w:rPr>
                <w:sz w:val="17"/>
                <w:szCs w:val="17"/>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7"/>
        </w:trPr>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60"/>
              <w:spacing w:after="0" w:line="149" w:lineRule="exact"/>
              <w:rPr>
                <w:sz w:val="20"/>
                <w:szCs w:val="20"/>
                <w:color w:val="auto"/>
              </w:rPr>
            </w:pPr>
            <w:r>
              <w:rPr>
                <w:rFonts w:ascii="Arial" w:cs="Arial" w:eastAsia="Arial" w:hAnsi="Arial"/>
                <w:sz w:val="14"/>
                <w:szCs w:val="14"/>
                <w:color w:val="auto"/>
              </w:rPr>
              <w:t>comprehensive</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40" w:type="dxa"/>
            <w:vAlign w:val="bottom"/>
          </w:tcPr>
          <w:p>
            <w:pPr>
              <w:ind w:left="160"/>
              <w:spacing w:after="0"/>
              <w:rPr>
                <w:sz w:val="20"/>
                <w:szCs w:val="20"/>
                <w:color w:val="auto"/>
              </w:rPr>
            </w:pPr>
            <w:r>
              <w:rPr>
                <w:rFonts w:ascii="Arial" w:cs="Arial" w:eastAsia="Arial" w:hAnsi="Arial"/>
                <w:sz w:val="14"/>
                <w:szCs w:val="14"/>
                <w:color w:val="auto"/>
              </w:rPr>
              <w:t>income (loss)</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5"/>
                <w:szCs w:val="15"/>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1240" w:type="dxa"/>
            <w:vAlign w:val="bottom"/>
          </w:tcPr>
          <w:p>
            <w:pPr>
              <w:spacing w:after="0"/>
              <w:rPr>
                <w:sz w:val="20"/>
                <w:szCs w:val="20"/>
                <w:color w:val="auto"/>
              </w:rPr>
            </w:pPr>
            <w:r>
              <w:rPr>
                <w:rFonts w:ascii="Arial" w:cs="Arial" w:eastAsia="Arial" w:hAnsi="Arial"/>
                <w:sz w:val="14"/>
                <w:szCs w:val="14"/>
                <w:color w:val="auto"/>
              </w:rPr>
              <w:t>Tax effect from</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60"/>
              <w:spacing w:after="0" w:line="149" w:lineRule="exact"/>
              <w:rPr>
                <w:sz w:val="20"/>
                <w:szCs w:val="20"/>
                <w:color w:val="auto"/>
              </w:rPr>
            </w:pPr>
            <w:r>
              <w:rPr>
                <w:rFonts w:ascii="Arial" w:cs="Arial" w:eastAsia="Arial" w:hAnsi="Arial"/>
                <w:sz w:val="14"/>
                <w:szCs w:val="14"/>
                <w:color w:val="auto"/>
              </w:rPr>
              <w:t>vesting of</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60"/>
              <w:spacing w:after="0" w:line="149" w:lineRule="exact"/>
              <w:rPr>
                <w:sz w:val="20"/>
                <w:szCs w:val="20"/>
                <w:color w:val="auto"/>
              </w:rPr>
            </w:pPr>
            <w:r>
              <w:rPr>
                <w:rFonts w:ascii="Arial" w:cs="Arial" w:eastAsia="Arial" w:hAnsi="Arial"/>
                <w:sz w:val="14"/>
                <w:szCs w:val="14"/>
                <w:color w:val="auto"/>
              </w:rPr>
              <w:t>restricted stock</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60"/>
              <w:spacing w:after="0" w:line="149" w:lineRule="exact"/>
              <w:rPr>
                <w:sz w:val="20"/>
                <w:szCs w:val="20"/>
                <w:color w:val="auto"/>
              </w:rPr>
            </w:pPr>
            <w:r>
              <w:rPr>
                <w:rFonts w:ascii="Arial" w:cs="Arial" w:eastAsia="Arial" w:hAnsi="Arial"/>
                <w:sz w:val="14"/>
                <w:szCs w:val="14"/>
                <w:color w:val="auto"/>
              </w:rPr>
              <w:t>grants and stock</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40" w:type="dxa"/>
            <w:vAlign w:val="bottom"/>
          </w:tcPr>
          <w:p>
            <w:pPr>
              <w:ind w:left="160"/>
              <w:spacing w:after="0"/>
              <w:rPr>
                <w:sz w:val="20"/>
                <w:szCs w:val="20"/>
                <w:color w:val="auto"/>
              </w:rPr>
            </w:pPr>
            <w:r>
              <w:rPr>
                <w:rFonts w:ascii="Arial" w:cs="Arial" w:eastAsia="Arial" w:hAnsi="Arial"/>
                <w:sz w:val="14"/>
                <w:szCs w:val="14"/>
                <w:color w:val="auto"/>
              </w:rPr>
              <w:t>option exercises</w:t>
            </w: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1240" w:type="dxa"/>
            <w:vAlign w:val="bottom"/>
          </w:tcPr>
          <w:p>
            <w:pPr>
              <w:spacing w:after="0"/>
              <w:rPr>
                <w:sz w:val="20"/>
                <w:szCs w:val="20"/>
                <w:color w:val="auto"/>
              </w:rPr>
            </w:pPr>
            <w:r>
              <w:rPr>
                <w:rFonts w:ascii="Arial" w:cs="Arial" w:eastAsia="Arial" w:hAnsi="Arial"/>
                <w:sz w:val="14"/>
                <w:szCs w:val="14"/>
                <w:color w:val="auto"/>
              </w:rPr>
              <w:t>Distributions to</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60"/>
              <w:spacing w:after="0" w:line="149" w:lineRule="exact"/>
              <w:rPr>
                <w:sz w:val="20"/>
                <w:szCs w:val="20"/>
                <w:color w:val="auto"/>
              </w:rPr>
            </w:pPr>
            <w:r>
              <w:rPr>
                <w:rFonts w:ascii="Arial" w:cs="Arial" w:eastAsia="Arial" w:hAnsi="Arial"/>
                <w:sz w:val="14"/>
                <w:szCs w:val="14"/>
                <w:color w:val="auto"/>
              </w:rPr>
              <w:t>Operating</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60"/>
              <w:spacing w:after="0" w:line="149" w:lineRule="exact"/>
              <w:rPr>
                <w:sz w:val="20"/>
                <w:szCs w:val="20"/>
                <w:color w:val="auto"/>
              </w:rPr>
            </w:pPr>
            <w:r>
              <w:rPr>
                <w:rFonts w:ascii="Arial" w:cs="Arial" w:eastAsia="Arial" w:hAnsi="Arial"/>
                <w:sz w:val="14"/>
                <w:szCs w:val="14"/>
                <w:color w:val="auto"/>
              </w:rPr>
              <w:t>Partnership units</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60"/>
              <w:spacing w:after="0" w:line="149" w:lineRule="exact"/>
              <w:rPr>
                <w:sz w:val="20"/>
                <w:szCs w:val="20"/>
                <w:color w:val="auto"/>
              </w:rPr>
            </w:pPr>
            <w:r>
              <w:rPr>
                <w:rFonts w:ascii="Arial" w:cs="Arial" w:eastAsia="Arial" w:hAnsi="Arial"/>
                <w:sz w:val="14"/>
                <w:szCs w:val="14"/>
                <w:color w:val="auto"/>
              </w:rPr>
              <w:t>held by</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60"/>
              <w:spacing w:after="0" w:line="149" w:lineRule="exact"/>
              <w:rPr>
                <w:sz w:val="20"/>
                <w:szCs w:val="20"/>
                <w:color w:val="auto"/>
              </w:rPr>
            </w:pPr>
            <w:r>
              <w:rPr>
                <w:rFonts w:ascii="Arial" w:cs="Arial" w:eastAsia="Arial" w:hAnsi="Arial"/>
                <w:sz w:val="14"/>
                <w:szCs w:val="14"/>
                <w:color w:val="auto"/>
              </w:rPr>
              <w:t>noncontrolling</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40" w:type="dxa"/>
            <w:vAlign w:val="bottom"/>
          </w:tcPr>
          <w:p>
            <w:pPr>
              <w:ind w:left="160"/>
              <w:spacing w:after="0"/>
              <w:rPr>
                <w:sz w:val="20"/>
                <w:szCs w:val="20"/>
                <w:color w:val="auto"/>
              </w:rPr>
            </w:pPr>
            <w:r>
              <w:rPr>
                <w:rFonts w:ascii="Arial" w:cs="Arial" w:eastAsia="Arial" w:hAnsi="Arial"/>
                <w:sz w:val="14"/>
                <w:szCs w:val="14"/>
                <w:color w:val="auto"/>
              </w:rPr>
              <w:t>interests</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(7,050)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(2,515)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(2,074)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(685)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(12,179)</w:t>
            </w:r>
          </w:p>
        </w:tc>
        <w:tc>
          <w:tcPr>
            <w:tcW w:w="100" w:type="dxa"/>
            <w:vAlign w:val="bottom"/>
          </w:tcPr>
          <w:p>
            <w:pPr>
              <w:spacing w:after="0"/>
              <w:rPr>
                <w:sz w:val="15"/>
                <w:szCs w:val="15"/>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1240" w:type="dxa"/>
            <w:vAlign w:val="bottom"/>
          </w:tcPr>
          <w:p>
            <w:pPr>
              <w:spacing w:after="0"/>
              <w:rPr>
                <w:sz w:val="20"/>
                <w:szCs w:val="20"/>
                <w:color w:val="auto"/>
              </w:rPr>
            </w:pPr>
            <w:r>
              <w:rPr>
                <w:rFonts w:ascii="Arial" w:cs="Arial" w:eastAsia="Arial" w:hAnsi="Arial"/>
                <w:sz w:val="14"/>
                <w:szCs w:val="14"/>
                <w:color w:val="auto"/>
              </w:rPr>
              <w:t>Dividends paid on</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60"/>
              <w:spacing w:after="0" w:line="149" w:lineRule="exact"/>
              <w:rPr>
                <w:sz w:val="20"/>
                <w:szCs w:val="20"/>
                <w:color w:val="auto"/>
              </w:rPr>
            </w:pPr>
            <w:r>
              <w:rPr>
                <w:rFonts w:ascii="Arial" w:cs="Arial" w:eastAsia="Arial" w:hAnsi="Arial"/>
                <w:sz w:val="14"/>
                <w:szCs w:val="14"/>
                <w:color w:val="auto"/>
              </w:rPr>
              <w:t>common stock at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40" w:type="dxa"/>
            <w:vAlign w:val="bottom"/>
          </w:tcPr>
          <w:p>
            <w:pPr>
              <w:ind w:left="160"/>
              <w:spacing w:after="0"/>
              <w:rPr>
                <w:sz w:val="20"/>
                <w:szCs w:val="20"/>
                <w:color w:val="auto"/>
              </w:rPr>
            </w:pPr>
            <w:r>
              <w:rPr>
                <w:rFonts w:ascii="Arial" w:cs="Arial" w:eastAsia="Arial" w:hAnsi="Arial"/>
                <w:sz w:val="14"/>
                <w:szCs w:val="14"/>
                <w:color w:val="auto"/>
              </w:rPr>
              <w:t>$2.24 per share</w:t>
            </w:r>
          </w:p>
        </w:tc>
        <w:tc>
          <w:tcPr>
            <w:tcW w:w="10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1240" w:type="dxa"/>
            <w:vAlign w:val="bottom"/>
          </w:tcPr>
          <w:p>
            <w:pPr>
              <w:spacing w:after="0" w:line="139" w:lineRule="exact"/>
              <w:rPr>
                <w:sz w:val="20"/>
                <w:szCs w:val="20"/>
                <w:color w:val="auto"/>
              </w:rPr>
            </w:pPr>
            <w:r>
              <w:rPr>
                <w:rFonts w:ascii="Arial" w:cs="Arial" w:eastAsia="Arial" w:hAnsi="Arial"/>
                <w:sz w:val="14"/>
                <w:szCs w:val="14"/>
                <w:b w:val="1"/>
                <w:bCs w:val="1"/>
                <w:color w:val="auto"/>
              </w:rPr>
              <w:t>Balances at</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40" w:type="dxa"/>
            <w:vAlign w:val="bottom"/>
          </w:tcPr>
          <w:p>
            <w:pPr>
              <w:spacing w:after="0"/>
              <w:rPr>
                <w:sz w:val="20"/>
                <w:szCs w:val="20"/>
                <w:color w:val="auto"/>
              </w:rPr>
            </w:pPr>
            <w:r>
              <w:rPr>
                <w:rFonts w:ascii="Arial" w:cs="Arial" w:eastAsia="Arial" w:hAnsi="Arial"/>
                <w:sz w:val="14"/>
                <w:szCs w:val="14"/>
                <w:b w:val="1"/>
                <w:bCs w:val="1"/>
                <w:color w:val="auto"/>
                <w:w w:val="96"/>
              </w:rPr>
              <w:t>December 31, 2015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88"/>
              </w:rPr>
              <w:t>14,189</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88"/>
              </w:rPr>
              <w:t>41,902</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88"/>
              </w:rPr>
              <w:t>10,730</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3"/>
              </w:rPr>
              <w:t>13,710</w:t>
            </w:r>
          </w:p>
        </w:tc>
        <w:tc>
          <w:tcPr>
            <w:tcW w:w="100" w:type="dxa"/>
            <w:vAlign w:val="bottom"/>
          </w:tcPr>
          <w:p>
            <w:pPr>
              <w:spacing w:after="0"/>
              <w:rPr>
                <w:sz w:val="16"/>
                <w:szCs w:val="16"/>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8"/>
              </w:rPr>
              <w:t>202,834</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$162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8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10"/>
          </w:tcPr>
          <w:p>
            <w:pPr>
              <w:ind w:left="100"/>
              <w:spacing w:after="0"/>
              <w:rPr>
                <w:sz w:val="20"/>
                <w:szCs w:val="20"/>
                <w:color w:val="auto"/>
              </w:rPr>
            </w:pPr>
            <w:r>
              <w:rPr>
                <w:rFonts w:ascii="Arial" w:cs="Arial" w:eastAsia="Arial" w:hAnsi="Arial"/>
                <w:sz w:val="14"/>
                <w:szCs w:val="14"/>
                <w:b w:val="1"/>
                <w:bCs w:val="1"/>
                <w:color w:val="auto"/>
                <w:w w:val="93"/>
              </w:rPr>
              <w:t>Extra Space Storage Inc. Stockholders’ Equity</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3"/>
                <w:szCs w:val="13"/>
                <w:color w:val="auto"/>
              </w:rPr>
            </w:pPr>
          </w:p>
        </w:tc>
        <w:tc>
          <w:tcPr>
            <w:tcW w:w="10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center"/>
              <w:ind w:right="108"/>
              <w:spacing w:after="0" w:line="15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48"/>
        </w:trPr>
        <w:tc>
          <w:tcPr>
            <w:tcW w:w="8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Par Value</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Paid-in</w:t>
            </w: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3"/>
            <w:vMerge w:val="continue"/>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Interests and</w:t>
            </w:r>
          </w:p>
        </w:tc>
        <w:tc>
          <w:tcPr>
            <w:tcW w:w="0" w:type="dxa"/>
            <w:vAlign w:val="bottom"/>
          </w:tcPr>
          <w:p>
            <w:pPr>
              <w:spacing w:after="0"/>
              <w:rPr>
                <w:sz w:val="1"/>
                <w:szCs w:val="1"/>
                <w:color w:val="auto"/>
              </w:rPr>
            </w:pPr>
          </w:p>
        </w:tc>
      </w:tr>
      <w:tr>
        <w:trPr>
          <w:trHeight w:val="192"/>
        </w:trPr>
        <w:tc>
          <w:tcPr>
            <w:tcW w:w="8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622"/>
        </w:trPr>
        <w:tc>
          <w:tcPr>
            <w:tcW w:w="840" w:type="dxa"/>
            <w:vAlign w:val="bottom"/>
          </w:tcPr>
          <w:p>
            <w:pPr>
              <w:jc w:val="right"/>
              <w:ind w:right="28"/>
              <w:spacing w:after="0"/>
              <w:rPr>
                <w:sz w:val="20"/>
                <w:szCs w:val="20"/>
                <w:color w:val="auto"/>
              </w:rPr>
            </w:pPr>
            <w:r>
              <w:rPr>
                <w:rFonts w:ascii="Arial" w:cs="Arial" w:eastAsia="Arial" w:hAnsi="Arial"/>
                <w:sz w:val="14"/>
                <w:szCs w:val="14"/>
                <w:color w:val="auto"/>
              </w:rPr>
              <w:t>79,974</w:t>
            </w:r>
          </w:p>
        </w:tc>
        <w:tc>
          <w:tcPr>
            <w:tcW w:w="2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1,541</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1,542</w:t>
            </w:r>
          </w:p>
        </w:tc>
        <w:tc>
          <w:tcPr>
            <w:tcW w:w="0" w:type="dxa"/>
            <w:vAlign w:val="bottom"/>
          </w:tcPr>
          <w:p>
            <w:pPr>
              <w:spacing w:after="0"/>
              <w:rPr>
                <w:sz w:val="1"/>
                <w:szCs w:val="1"/>
                <w:color w:val="auto"/>
              </w:rPr>
            </w:pPr>
          </w:p>
        </w:tc>
      </w:tr>
      <w:tr>
        <w:trPr>
          <w:trHeight w:val="351"/>
        </w:trPr>
        <w:tc>
          <w:tcPr>
            <w:tcW w:w="840" w:type="dxa"/>
            <w:vAlign w:val="bottom"/>
          </w:tcPr>
          <w:p>
            <w:pPr>
              <w:jc w:val="right"/>
              <w:ind w:right="28"/>
              <w:spacing w:after="0"/>
              <w:rPr>
                <w:sz w:val="20"/>
                <w:szCs w:val="20"/>
                <w:color w:val="auto"/>
              </w:rPr>
            </w:pPr>
            <w:r>
              <w:rPr>
                <w:rFonts w:ascii="Arial" w:cs="Arial" w:eastAsia="Arial" w:hAnsi="Arial"/>
                <w:sz w:val="14"/>
                <w:szCs w:val="14"/>
                <w:color w:val="auto"/>
              </w:rPr>
              <w:t>174,558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351"/>
        </w:trPr>
        <w:tc>
          <w:tcPr>
            <w:tcW w:w="840" w:type="dxa"/>
            <w:vAlign w:val="bottom"/>
          </w:tcPr>
          <w:p>
            <w:pPr>
              <w:jc w:val="right"/>
              <w:spacing w:after="0"/>
              <w:rPr>
                <w:sz w:val="20"/>
                <w:szCs w:val="20"/>
                <w:color w:val="auto"/>
              </w:rPr>
            </w:pPr>
            <w:r>
              <w:rPr>
                <w:rFonts w:ascii="Arial" w:cs="Arial" w:eastAsia="Arial" w:hAnsi="Arial"/>
                <w:sz w:val="14"/>
                <w:szCs w:val="14"/>
                <w:color w:val="auto"/>
              </w:rPr>
              <w:t>(18,090)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99"/>
        </w:trPr>
        <w:tc>
          <w:tcPr>
            <w:tcW w:w="840" w:type="dxa"/>
            <w:vAlign w:val="bottom"/>
          </w:tcPr>
          <w:p>
            <w:pPr>
              <w:jc w:val="right"/>
              <w:ind w:right="28"/>
              <w:spacing w:after="0"/>
              <w:rPr>
                <w:sz w:val="20"/>
                <w:szCs w:val="20"/>
                <w:color w:val="auto"/>
              </w:rPr>
            </w:pPr>
            <w:r>
              <w:rPr>
                <w:rFonts w:ascii="Arial" w:cs="Arial" w:eastAsia="Arial" w:hAnsi="Arial"/>
                <w:sz w:val="14"/>
                <w:szCs w:val="14"/>
                <w:color w:val="auto"/>
              </w:rPr>
              <w:t>6,735,000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446,810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446,877</w:t>
            </w:r>
          </w:p>
        </w:tc>
        <w:tc>
          <w:tcPr>
            <w:tcW w:w="0" w:type="dxa"/>
            <w:vAlign w:val="bottom"/>
          </w:tcPr>
          <w:p>
            <w:pPr>
              <w:spacing w:after="0"/>
              <w:rPr>
                <w:sz w:val="1"/>
                <w:szCs w:val="1"/>
                <w:color w:val="auto"/>
              </w:rPr>
            </w:pPr>
          </w:p>
        </w:tc>
      </w:tr>
      <w:tr>
        <w:trPr>
          <w:trHeight w:val="647"/>
        </w:trPr>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6,055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6,055</w:t>
            </w:r>
          </w:p>
        </w:tc>
        <w:tc>
          <w:tcPr>
            <w:tcW w:w="0" w:type="dxa"/>
            <w:vAlign w:val="bottom"/>
          </w:tcPr>
          <w:p>
            <w:pPr>
              <w:spacing w:after="0"/>
              <w:rPr>
                <w:sz w:val="1"/>
                <w:szCs w:val="1"/>
                <w:color w:val="auto"/>
              </w:rPr>
            </w:pPr>
          </w:p>
        </w:tc>
      </w:tr>
      <w:tr>
        <w:trPr>
          <w:trHeight w:val="944"/>
        </w:trPr>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(1,268)</w:t>
            </w:r>
          </w:p>
        </w:tc>
        <w:tc>
          <w:tcPr>
            <w:tcW w:w="0" w:type="dxa"/>
            <w:vAlign w:val="bottom"/>
          </w:tcPr>
          <w:p>
            <w:pPr>
              <w:spacing w:after="0"/>
              <w:rPr>
                <w:sz w:val="1"/>
                <w:szCs w:val="1"/>
                <w:color w:val="auto"/>
              </w:rPr>
            </w:pPr>
          </w:p>
        </w:tc>
      </w:tr>
      <w:tr>
        <w:trPr>
          <w:trHeight w:val="796"/>
        </w:trPr>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142,399</w:t>
            </w:r>
          </w:p>
        </w:tc>
        <w:tc>
          <w:tcPr>
            <w:tcW w:w="0" w:type="dxa"/>
            <w:vAlign w:val="bottom"/>
          </w:tcPr>
          <w:p>
            <w:pPr>
              <w:spacing w:after="0"/>
              <w:rPr>
                <w:sz w:val="1"/>
                <w:szCs w:val="1"/>
                <w:color w:val="auto"/>
              </w:rPr>
            </w:pPr>
          </w:p>
        </w:tc>
      </w:tr>
      <w:tr>
        <w:trPr>
          <w:trHeight w:val="647"/>
        </w:trPr>
        <w:tc>
          <w:tcPr>
            <w:tcW w:w="840" w:type="dxa"/>
            <w:vAlign w:val="bottom"/>
          </w:tcPr>
          <w:p>
            <w:pPr>
              <w:jc w:val="right"/>
              <w:ind w:right="28"/>
              <w:spacing w:after="0"/>
              <w:rPr>
                <w:sz w:val="20"/>
                <w:szCs w:val="20"/>
                <w:color w:val="auto"/>
              </w:rPr>
            </w:pPr>
            <w:r>
              <w:rPr>
                <w:rFonts w:ascii="Arial" w:cs="Arial" w:eastAsia="Arial" w:hAnsi="Arial"/>
                <w:sz w:val="14"/>
                <w:szCs w:val="14"/>
                <w:color w:val="auto"/>
              </w:rPr>
              <w:t>787,850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28,098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6"/>
        </w:trPr>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(70,112)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(70,112)</w:t>
            </w:r>
          </w:p>
        </w:tc>
        <w:tc>
          <w:tcPr>
            <w:tcW w:w="0" w:type="dxa"/>
            <w:vAlign w:val="bottom"/>
          </w:tcPr>
          <w:p>
            <w:pPr>
              <w:spacing w:after="0"/>
              <w:rPr>
                <w:sz w:val="1"/>
                <w:szCs w:val="1"/>
                <w:color w:val="auto"/>
              </w:rPr>
            </w:pPr>
          </w:p>
        </w:tc>
      </w:tr>
      <w:tr>
        <w:trPr>
          <w:trHeight w:val="647"/>
        </w:trPr>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22,597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22,597</w:t>
            </w:r>
          </w:p>
        </w:tc>
        <w:tc>
          <w:tcPr>
            <w:tcW w:w="0" w:type="dxa"/>
            <w:vAlign w:val="bottom"/>
          </w:tcPr>
          <w:p>
            <w:pPr>
              <w:spacing w:after="0"/>
              <w:rPr>
                <w:sz w:val="1"/>
                <w:szCs w:val="1"/>
                <w:color w:val="auto"/>
              </w:rPr>
            </w:pPr>
          </w:p>
        </w:tc>
      </w:tr>
      <w:tr>
        <w:trPr>
          <w:trHeight w:val="270"/>
        </w:trPr>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189,474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209,536</w:t>
            </w:r>
          </w:p>
        </w:tc>
        <w:tc>
          <w:tcPr>
            <w:tcW w:w="0" w:type="dxa"/>
            <w:vAlign w:val="bottom"/>
          </w:tcPr>
          <w:p>
            <w:pPr>
              <w:spacing w:after="0"/>
              <w:rPr>
                <w:sz w:val="1"/>
                <w:szCs w:val="1"/>
                <w:color w:val="auto"/>
              </w:rPr>
            </w:pPr>
          </w:p>
        </w:tc>
      </w:tr>
      <w:tr>
        <w:trPr>
          <w:trHeight w:val="499"/>
        </w:trPr>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(4,868)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(4,929)</w:t>
            </w:r>
          </w:p>
        </w:tc>
        <w:tc>
          <w:tcPr>
            <w:tcW w:w="0" w:type="dxa"/>
            <w:vAlign w:val="bottom"/>
          </w:tcPr>
          <w:p>
            <w:pPr>
              <w:spacing w:after="0"/>
              <w:rPr>
                <w:sz w:val="1"/>
                <w:szCs w:val="1"/>
                <w:color w:val="auto"/>
              </w:rPr>
            </w:pPr>
          </w:p>
        </w:tc>
      </w:tr>
      <w:tr>
        <w:trPr>
          <w:trHeight w:val="796"/>
        </w:trPr>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1,727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1,727</w:t>
            </w:r>
          </w:p>
        </w:tc>
        <w:tc>
          <w:tcPr>
            <w:tcW w:w="0" w:type="dxa"/>
            <w:vAlign w:val="bottom"/>
          </w:tcPr>
          <w:p>
            <w:pPr>
              <w:spacing w:after="0"/>
              <w:rPr>
                <w:sz w:val="1"/>
                <w:szCs w:val="1"/>
                <w:color w:val="auto"/>
              </w:rPr>
            </w:pPr>
          </w:p>
        </w:tc>
      </w:tr>
      <w:tr>
        <w:trPr>
          <w:trHeight w:val="944"/>
        </w:trPr>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(24,503)</w:t>
            </w:r>
          </w:p>
        </w:tc>
        <w:tc>
          <w:tcPr>
            <w:tcW w:w="0" w:type="dxa"/>
            <w:vAlign w:val="bottom"/>
          </w:tcPr>
          <w:p>
            <w:pPr>
              <w:spacing w:after="0"/>
              <w:rPr>
                <w:sz w:val="1"/>
                <w:szCs w:val="1"/>
                <w:color w:val="auto"/>
              </w:rPr>
            </w:pPr>
          </w:p>
        </w:tc>
      </w:tr>
      <w:tr>
        <w:trPr>
          <w:trHeight w:val="505"/>
        </w:trPr>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(269,302)</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(269,302)</w:t>
            </w:r>
          </w:p>
        </w:tc>
        <w:tc>
          <w:tcPr>
            <w:tcW w:w="0" w:type="dxa"/>
            <w:vAlign w:val="bottom"/>
          </w:tcPr>
          <w:p>
            <w:pPr>
              <w:spacing w:after="0"/>
              <w:rPr>
                <w:sz w:val="1"/>
                <w:szCs w:val="1"/>
                <w:color w:val="auto"/>
              </w:rPr>
            </w:pPr>
          </w:p>
        </w:tc>
      </w:tr>
      <w:tr>
        <w:trPr>
          <w:trHeight w:val="331"/>
        </w:trPr>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2"/>
              </w:rPr>
              <w:t>124,119,531</w:t>
            </w:r>
          </w:p>
        </w:tc>
        <w:tc>
          <w:tcPr>
            <w:tcW w:w="120" w:type="dxa"/>
            <w:vAlign w:val="bottom"/>
          </w:tcPr>
          <w:p>
            <w:pPr>
              <w:spacing w:after="0"/>
              <w:rPr>
                <w:sz w:val="24"/>
                <w:szCs w:val="24"/>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1,241</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2,431,754</w:t>
            </w:r>
          </w:p>
        </w:tc>
        <w:tc>
          <w:tcPr>
            <w:tcW w:w="12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(6,352)</w:t>
            </w:r>
          </w:p>
        </w:tc>
        <w:tc>
          <w:tcPr>
            <w:tcW w:w="120" w:type="dxa"/>
            <w:vAlign w:val="bottom"/>
          </w:tcPr>
          <w:p>
            <w:pPr>
              <w:spacing w:after="0"/>
              <w:rPr>
                <w:sz w:val="24"/>
                <w:szCs w:val="24"/>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(337,566)</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2,372,604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-6158230</wp:posOffset>
            </wp:positionV>
            <wp:extent cx="7246620" cy="410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1084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-5524500</wp:posOffset>
            </wp:positionV>
            <wp:extent cx="7246620"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-4984750</wp:posOffset>
            </wp:positionV>
            <wp:extent cx="7246620" cy="410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1084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-3973830</wp:posOffset>
            </wp:positionV>
            <wp:extent cx="7246620" cy="5054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5054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-3057525</wp:posOffset>
            </wp:positionV>
            <wp:extent cx="7246620" cy="5054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5054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-2140585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-1652270</wp:posOffset>
            </wp:positionV>
            <wp:extent cx="7246620" cy="5054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5054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-547370</wp:posOffset>
            </wp:positionV>
            <wp:extent cx="7246620" cy="316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168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100"/>
            <w:col w:w="5800"/>
          </w:cols>
          <w:pgMar w:left="280" w:top="1011" w:right="239" w:bottom="1440" w:gutter="0" w:footer="0" w:header="0"/>
          <w:type w:val="continuous"/>
        </w:sectPr>
      </w:pP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380"/>
          </w:cols>
          <w:pgMar w:left="280" w:top="1011" w:right="239"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213995</wp:posOffset>
            </wp:positionV>
            <wp:extent cx="57645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64530" cy="8255"/>
                    </a:xfrm>
                    <a:prstGeom prst="rect">
                      <a:avLst/>
                    </a:prstGeom>
                    <a:noFill/>
                  </pic:spPr>
                </pic:pic>
              </a:graphicData>
            </a:graphic>
          </wp:anchor>
        </w:drawing>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3"/>
              </w:rPr>
              <w:t>Noncontrolling Interests</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10"/>
          </w:tcPr>
          <w:p>
            <w:pPr>
              <w:ind w:left="100"/>
              <w:spacing w:after="0"/>
              <w:rPr>
                <w:sz w:val="20"/>
                <w:szCs w:val="20"/>
                <w:color w:val="auto"/>
              </w:rPr>
            </w:pPr>
            <w:r>
              <w:rPr>
                <w:rFonts w:ascii="Arial" w:cs="Arial" w:eastAsia="Arial" w:hAnsi="Arial"/>
                <w:sz w:val="14"/>
                <w:szCs w:val="14"/>
                <w:b w:val="1"/>
                <w:bCs w:val="1"/>
                <w:color w:val="auto"/>
                <w:w w:val="93"/>
              </w:rPr>
              <w:t>Extra Space Storage Inc. Stockholders’ Equity</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80" w:type="dxa"/>
            <w:vAlign w:val="bottom"/>
            <w:gridSpan w:val="10"/>
            <w:vMerge w:val="restart"/>
          </w:tcPr>
          <w:p>
            <w:pPr>
              <w:jc w:val="right"/>
              <w:ind w:right="288"/>
              <w:spacing w:after="0"/>
              <w:rPr>
                <w:sz w:val="20"/>
                <w:szCs w:val="20"/>
                <w:color w:val="auto"/>
              </w:rPr>
            </w:pPr>
            <w:r>
              <w:rPr>
                <w:rFonts w:ascii="Arial" w:cs="Arial" w:eastAsia="Arial" w:hAnsi="Arial"/>
                <w:sz w:val="14"/>
                <w:szCs w:val="14"/>
                <w:b w:val="1"/>
                <w:bCs w:val="1"/>
                <w:color w:val="auto"/>
              </w:rPr>
              <w:t>Preferred Operating Partnership</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3"/>
                <w:szCs w:val="13"/>
                <w:color w:val="auto"/>
              </w:rPr>
            </w:pPr>
          </w:p>
        </w:tc>
        <w:tc>
          <w:tcPr>
            <w:tcW w:w="10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center"/>
              <w:ind w:right="108"/>
              <w:spacing w:after="0" w:line="15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8"/>
        </w:trPr>
        <w:tc>
          <w:tcPr>
            <w:tcW w:w="1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10"/>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19"/>
        </w:trPr>
        <w:tc>
          <w:tcPr>
            <w:tcW w:w="1260" w:type="dxa"/>
            <w:vAlign w:val="bottom"/>
          </w:tcPr>
          <w:p>
            <w:pPr>
              <w:spacing w:after="0"/>
              <w:rPr>
                <w:sz w:val="10"/>
                <w:szCs w:val="10"/>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Series A</w:t>
            </w: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Series B</w:t>
            </w:r>
          </w:p>
        </w:tc>
        <w:tc>
          <w:tcPr>
            <w:tcW w:w="100" w:type="dxa"/>
            <w:vAlign w:val="bottom"/>
          </w:tcPr>
          <w:p>
            <w:pPr>
              <w:spacing w:after="0"/>
              <w:rPr>
                <w:sz w:val="10"/>
                <w:szCs w:val="10"/>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Series C</w:t>
            </w:r>
          </w:p>
        </w:tc>
        <w:tc>
          <w:tcPr>
            <w:tcW w:w="7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Series D</w:t>
            </w:r>
          </w:p>
        </w:tc>
        <w:tc>
          <w:tcPr>
            <w:tcW w:w="88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Operating</w:t>
            </w:r>
          </w:p>
        </w:tc>
        <w:tc>
          <w:tcPr>
            <w:tcW w:w="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Other</w:t>
            </w:r>
          </w:p>
        </w:tc>
        <w:tc>
          <w:tcPr>
            <w:tcW w:w="8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0"/>
                <w:szCs w:val="10"/>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Paid-in</w:t>
            </w:r>
          </w:p>
        </w:tc>
        <w:tc>
          <w:tcPr>
            <w:tcW w:w="112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9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9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Interests and</w:t>
            </w: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Partnership</w:t>
            </w:r>
          </w:p>
        </w:tc>
        <w:tc>
          <w:tcPr>
            <w:tcW w:w="54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Income (Loss)</w:t>
            </w:r>
          </w:p>
        </w:tc>
        <w:tc>
          <w:tcPr>
            <w:tcW w:w="160" w:type="dxa"/>
            <w:vAlign w:val="bottom"/>
          </w:tcPr>
          <w:p>
            <w:pPr>
              <w:spacing w:after="0"/>
              <w:rPr>
                <w:sz w:val="16"/>
                <w:szCs w:val="16"/>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780" w:type="dxa"/>
            <w:vAlign w:val="bottom"/>
          </w:tcPr>
          <w:p>
            <w:pPr>
              <w:jc w:val="center"/>
              <w:ind w:right="1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3"/>
        </w:trPr>
        <w:tc>
          <w:tcPr>
            <w:tcW w:w="126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w w:val="92"/>
              </w:rPr>
              <w:t>Issuance of common</w:t>
            </w: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 upon the</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 of</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options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 —</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97,855</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1,444</w:t>
            </w:r>
          </w:p>
        </w:tc>
        <w:tc>
          <w:tcPr>
            <w:tcW w:w="0" w:type="dxa"/>
            <w:vAlign w:val="bottom"/>
          </w:tcPr>
          <w:p>
            <w:pPr>
              <w:spacing w:after="0"/>
              <w:rPr>
                <w:sz w:val="1"/>
                <w:szCs w:val="1"/>
                <w:color w:val="auto"/>
              </w:rPr>
            </w:pP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rPr>
              <w:t>Restricted stock</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200"/>
              <w:spacing w:after="0"/>
              <w:rPr>
                <w:sz w:val="20"/>
                <w:szCs w:val="20"/>
                <w:color w:val="auto"/>
              </w:rPr>
            </w:pPr>
            <w:r>
              <w:rPr>
                <w:rFonts w:ascii="Arial" w:cs="Arial" w:eastAsia="Arial" w:hAnsi="Arial"/>
                <w:sz w:val="14"/>
                <w:szCs w:val="14"/>
                <w:color w:val="auto"/>
              </w:rPr>
              <w:t>grants issued</w:t>
            </w:r>
          </w:p>
        </w:tc>
        <w:tc>
          <w:tcPr>
            <w:tcW w:w="12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119,931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stock</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grants cancelled</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w w:val="92"/>
              </w:rPr>
              <w:t>Issuance of common</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200"/>
              <w:spacing w:after="0" w:line="149" w:lineRule="exact"/>
              <w:rPr>
                <w:sz w:val="20"/>
                <w:szCs w:val="20"/>
                <w:color w:val="auto"/>
              </w:rPr>
            </w:pPr>
            <w:r>
              <w:rPr>
                <w:rFonts w:ascii="Arial" w:cs="Arial" w:eastAsia="Arial" w:hAnsi="Arial"/>
                <w:sz w:val="14"/>
                <w:szCs w:val="14"/>
                <w:color w:val="auto"/>
              </w:rPr>
              <w:t>stock, net of</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200"/>
              <w:spacing w:after="0"/>
              <w:rPr>
                <w:sz w:val="20"/>
                <w:szCs w:val="20"/>
                <w:color w:val="auto"/>
              </w:rPr>
            </w:pPr>
            <w:r>
              <w:rPr>
                <w:rFonts w:ascii="Arial" w:cs="Arial" w:eastAsia="Arial" w:hAnsi="Arial"/>
                <w:sz w:val="14"/>
                <w:szCs w:val="14"/>
                <w:color w:val="auto"/>
              </w:rPr>
              <w:t>offering costs</w:t>
            </w:r>
          </w:p>
        </w:tc>
        <w:tc>
          <w:tcPr>
            <w:tcW w:w="12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1,381,300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123,408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123,422</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0"/>
              </w:rPr>
              <w:t>expense related to</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stock-based</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awards</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8,045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8,045</w:t>
            </w:r>
          </w:p>
        </w:tc>
        <w:tc>
          <w:tcPr>
            <w:tcW w:w="0" w:type="dxa"/>
            <w:vAlign w:val="bottom"/>
          </w:tcPr>
          <w:p>
            <w:pPr>
              <w:spacing w:after="0"/>
              <w:rPr>
                <w:sz w:val="1"/>
                <w:szCs w:val="1"/>
                <w:color w:val="auto"/>
              </w:rPr>
            </w:pP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rPr>
              <w:t>Purchase of</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200"/>
              <w:spacing w:after="0" w:line="149" w:lineRule="exact"/>
              <w:rPr>
                <w:sz w:val="20"/>
                <w:szCs w:val="20"/>
                <w:color w:val="auto"/>
              </w:rPr>
            </w:pPr>
            <w:r>
              <w:rPr>
                <w:rFonts w:ascii="Arial" w:cs="Arial" w:eastAsia="Arial" w:hAnsi="Arial"/>
                <w:sz w:val="14"/>
                <w:szCs w:val="14"/>
                <w:color w:val="auto"/>
              </w:rPr>
              <w:t>remaining equity</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200"/>
              <w:spacing w:after="0" w:line="149" w:lineRule="exact"/>
              <w:rPr>
                <w:sz w:val="20"/>
                <w:szCs w:val="20"/>
                <w:color w:val="auto"/>
              </w:rPr>
            </w:pPr>
            <w:r>
              <w:rPr>
                <w:rFonts w:ascii="Arial" w:cs="Arial" w:eastAsia="Arial" w:hAnsi="Arial"/>
                <w:sz w:val="14"/>
                <w:szCs w:val="14"/>
                <w:color w:val="auto"/>
              </w:rPr>
              <w:t>interest in</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200"/>
              <w:spacing w:after="0" w:line="149" w:lineRule="exact"/>
              <w:rPr>
                <w:sz w:val="20"/>
                <w:szCs w:val="20"/>
                <w:color w:val="auto"/>
              </w:rPr>
            </w:pPr>
            <w:r>
              <w:rPr>
                <w:rFonts w:ascii="Arial" w:cs="Arial" w:eastAsia="Arial" w:hAnsi="Arial"/>
                <w:sz w:val="14"/>
                <w:szCs w:val="14"/>
                <w:color w:val="auto"/>
              </w:rPr>
              <w:t>existing</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200"/>
              <w:spacing w:after="0" w:line="149" w:lineRule="exact"/>
              <w:rPr>
                <w:sz w:val="20"/>
                <w:szCs w:val="20"/>
                <w:color w:val="auto"/>
              </w:rPr>
            </w:pPr>
            <w:r>
              <w:rPr>
                <w:rFonts w:ascii="Arial" w:cs="Arial" w:eastAsia="Arial" w:hAnsi="Arial"/>
                <w:sz w:val="14"/>
                <w:szCs w:val="14"/>
                <w:color w:val="auto"/>
                <w:w w:val="96"/>
              </w:rPr>
              <w:t>consolidated joint</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200"/>
              <w:spacing w:after="0"/>
              <w:rPr>
                <w:sz w:val="20"/>
                <w:szCs w:val="20"/>
                <w:color w:val="auto"/>
              </w:rPr>
            </w:pPr>
            <w:r>
              <w:rPr>
                <w:rFonts w:ascii="Arial" w:cs="Arial" w:eastAsia="Arial" w:hAnsi="Arial"/>
                <w:sz w:val="14"/>
                <w:szCs w:val="14"/>
                <w:color w:val="auto"/>
              </w:rPr>
              <w:t>venture</w:t>
            </w:r>
          </w:p>
        </w:tc>
        <w:tc>
          <w:tcPr>
            <w:tcW w:w="12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800</w:t>
            </w: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(638)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Operating</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8"/>
              </w:rPr>
              <w:t>Partnership units</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 conjunction</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with acquisitions</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7,247</w:t>
            </w: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7,247</w:t>
            </w:r>
          </w:p>
        </w:tc>
        <w:tc>
          <w:tcPr>
            <w:tcW w:w="0" w:type="dxa"/>
            <w:vAlign w:val="bottom"/>
          </w:tcPr>
          <w:p>
            <w:pPr>
              <w:spacing w:after="0"/>
              <w:rPr>
                <w:sz w:val="1"/>
                <w:szCs w:val="1"/>
                <w:color w:val="auto"/>
              </w:rPr>
            </w:pP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rPr>
              <w:t>Redemption of</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200"/>
              <w:spacing w:after="0" w:line="149" w:lineRule="exact"/>
              <w:rPr>
                <w:sz w:val="20"/>
                <w:szCs w:val="20"/>
                <w:color w:val="auto"/>
              </w:rPr>
            </w:pPr>
            <w:r>
              <w:rPr>
                <w:rFonts w:ascii="Arial" w:cs="Arial" w:eastAsia="Arial" w:hAnsi="Arial"/>
                <w:sz w:val="14"/>
                <w:szCs w:val="14"/>
                <w:color w:val="auto"/>
              </w:rPr>
              <w:t>Operating</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200"/>
              <w:spacing w:after="0" w:line="149" w:lineRule="exact"/>
              <w:rPr>
                <w:sz w:val="20"/>
                <w:szCs w:val="20"/>
                <w:color w:val="auto"/>
              </w:rPr>
            </w:pPr>
            <w:r>
              <w:rPr>
                <w:rFonts w:ascii="Arial" w:cs="Arial" w:eastAsia="Arial" w:hAnsi="Arial"/>
                <w:sz w:val="14"/>
                <w:szCs w:val="14"/>
                <w:color w:val="auto"/>
                <w:w w:val="98"/>
              </w:rPr>
              <w:t>Partnership units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200"/>
              <w:spacing w:after="0" w:line="149" w:lineRule="exact"/>
              <w:rPr>
                <w:sz w:val="20"/>
                <w:szCs w:val="20"/>
                <w:color w:val="auto"/>
              </w:rPr>
            </w:pPr>
            <w:r>
              <w:rPr>
                <w:rFonts w:ascii="Arial" w:cs="Arial" w:eastAsia="Arial" w:hAnsi="Arial"/>
                <w:sz w:val="14"/>
                <w:szCs w:val="14"/>
                <w:color w:val="auto"/>
              </w:rPr>
              <w:t>for sale of</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200"/>
              <w:spacing w:after="0"/>
              <w:rPr>
                <w:sz w:val="20"/>
                <w:szCs w:val="20"/>
                <w:color w:val="auto"/>
              </w:rPr>
            </w:pPr>
            <w:r>
              <w:rPr>
                <w:rFonts w:ascii="Arial" w:cs="Arial" w:eastAsia="Arial" w:hAnsi="Arial"/>
                <w:sz w:val="14"/>
                <w:szCs w:val="14"/>
                <w:color w:val="auto"/>
              </w:rPr>
              <w:t>property</w:t>
            </w:r>
          </w:p>
        </w:tc>
        <w:tc>
          <w:tcPr>
            <w:tcW w:w="12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(7,689)</w:t>
            </w:r>
          </w:p>
        </w:tc>
        <w:tc>
          <w:tcPr>
            <w:tcW w:w="100" w:type="dxa"/>
            <w:vAlign w:val="bottom"/>
          </w:tcPr>
          <w:p>
            <w:pPr>
              <w:spacing w:after="0"/>
              <w:rPr>
                <w:sz w:val="16"/>
                <w:szCs w:val="16"/>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(7,689)</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Redemption of</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Operating</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8"/>
              </w:rPr>
              <w:t>Partnership units</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for common</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and cash</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(1,083)</w:t>
            </w: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23,850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rPr>
              <w:t>Issuance of</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200"/>
              <w:spacing w:after="0" w:line="149" w:lineRule="exact"/>
              <w:rPr>
                <w:sz w:val="20"/>
                <w:szCs w:val="20"/>
                <w:color w:val="auto"/>
              </w:rPr>
            </w:pPr>
            <w:r>
              <w:rPr>
                <w:rFonts w:ascii="Arial" w:cs="Arial" w:eastAsia="Arial" w:hAnsi="Arial"/>
                <w:sz w:val="14"/>
                <w:szCs w:val="14"/>
                <w:color w:val="auto"/>
                <w:w w:val="96"/>
              </w:rPr>
              <w:t>Preferred D Units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200"/>
              <w:spacing w:after="0" w:line="149" w:lineRule="exact"/>
              <w:rPr>
                <w:sz w:val="20"/>
                <w:szCs w:val="20"/>
                <w:color w:val="auto"/>
              </w:rPr>
            </w:pPr>
            <w:r>
              <w:rPr>
                <w:rFonts w:ascii="Arial" w:cs="Arial" w:eastAsia="Arial" w:hAnsi="Arial"/>
                <w:sz w:val="14"/>
                <w:szCs w:val="14"/>
                <w:color w:val="auto"/>
              </w:rPr>
              <w:t>in the Operating</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200"/>
              <w:spacing w:after="0" w:line="149" w:lineRule="exact"/>
              <w:rPr>
                <w:sz w:val="20"/>
                <w:szCs w:val="20"/>
                <w:color w:val="auto"/>
              </w:rPr>
            </w:pPr>
            <w:r>
              <w:rPr>
                <w:rFonts w:ascii="Arial" w:cs="Arial" w:eastAsia="Arial" w:hAnsi="Arial"/>
                <w:sz w:val="14"/>
                <w:szCs w:val="14"/>
                <w:color w:val="auto"/>
              </w:rPr>
              <w:t>Partnership in</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200"/>
              <w:spacing w:after="0" w:line="149" w:lineRule="exact"/>
              <w:rPr>
                <w:sz w:val="20"/>
                <w:szCs w:val="20"/>
                <w:color w:val="auto"/>
              </w:rPr>
            </w:pPr>
            <w:r>
              <w:rPr>
                <w:rFonts w:ascii="Arial" w:cs="Arial" w:eastAsia="Arial" w:hAnsi="Arial"/>
                <w:sz w:val="14"/>
                <w:szCs w:val="14"/>
                <w:color w:val="auto"/>
              </w:rPr>
              <w:t>conjunction with</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200"/>
              <w:spacing w:after="0"/>
              <w:rPr>
                <w:sz w:val="20"/>
                <w:szCs w:val="20"/>
                <w:color w:val="auto"/>
              </w:rPr>
            </w:pPr>
            <w:r>
              <w:rPr>
                <w:rFonts w:ascii="Arial" w:cs="Arial" w:eastAsia="Arial" w:hAnsi="Arial"/>
                <w:sz w:val="14"/>
                <w:szCs w:val="14"/>
                <w:color w:val="auto"/>
              </w:rPr>
              <w:t>acquisitions</w:t>
            </w:r>
          </w:p>
        </w:tc>
        <w:tc>
          <w:tcPr>
            <w:tcW w:w="12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67,193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67,193</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Repurchase of</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portion of</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2013</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exchangeable</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senior notes</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148,940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190"/>
        </w:trPr>
        <w:tc>
          <w:tcPr>
            <w:tcW w:w="12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16"/>
                <w:szCs w:val="16"/>
                <w:color w:val="auto"/>
              </w:rPr>
            </w:pPr>
          </w:p>
        </w:tc>
        <w:tc>
          <w:tcPr>
            <w:tcW w:w="500" w:type="dxa"/>
            <w:vAlign w:val="bottom"/>
            <w:vMerge w:val="restart"/>
          </w:tcPr>
          <w:p>
            <w:pPr>
              <w:jc w:val="right"/>
              <w:ind w:right="28"/>
              <w:spacing w:after="0"/>
              <w:rPr>
                <w:sz w:val="20"/>
                <w:szCs w:val="20"/>
                <w:color w:val="auto"/>
              </w:rPr>
            </w:pPr>
            <w:r>
              <w:rPr>
                <w:rFonts w:ascii="Arial" w:cs="Arial" w:eastAsia="Arial" w:hAnsi="Arial"/>
                <w:sz w:val="14"/>
                <w:szCs w:val="14"/>
                <w:color w:val="auto"/>
              </w:rPr>
              <w:t>7,645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restart"/>
          </w:tcPr>
          <w:p>
            <w:pPr>
              <w:jc w:val="right"/>
              <w:ind w:right="48"/>
              <w:spacing w:after="0"/>
              <w:rPr>
                <w:sz w:val="20"/>
                <w:szCs w:val="20"/>
                <w:color w:val="auto"/>
              </w:rPr>
            </w:pPr>
            <w:r>
              <w:rPr>
                <w:rFonts w:ascii="Arial" w:cs="Arial" w:eastAsia="Arial" w:hAnsi="Arial"/>
                <w:sz w:val="14"/>
                <w:szCs w:val="14"/>
                <w:color w:val="auto"/>
              </w:rPr>
              <w:t>2,514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rPr>
              <w:t>2,570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restart"/>
          </w:tcPr>
          <w:p>
            <w:pPr>
              <w:jc w:val="right"/>
              <w:ind w:right="28"/>
              <w:spacing w:after="0"/>
              <w:rPr>
                <w:sz w:val="20"/>
                <w:szCs w:val="20"/>
                <w:color w:val="auto"/>
              </w:rPr>
            </w:pPr>
            <w:r>
              <w:rPr>
                <w:rFonts w:ascii="Arial" w:cs="Arial" w:eastAsia="Arial" w:hAnsi="Arial"/>
                <w:sz w:val="14"/>
                <w:szCs w:val="14"/>
                <w:color w:val="auto"/>
              </w:rPr>
              <w:t>1,971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16,262</w:t>
            </w:r>
          </w:p>
        </w:tc>
        <w:tc>
          <w:tcPr>
            <w:tcW w:w="100" w:type="dxa"/>
            <w:vAlign w:val="bottom"/>
          </w:tcPr>
          <w:p>
            <w:pPr>
              <w:spacing w:after="0"/>
              <w:rPr>
                <w:sz w:val="16"/>
                <w:szCs w:val="16"/>
                <w:color w:val="auto"/>
              </w:rPr>
            </w:pP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366,127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397,089</w:t>
            </w:r>
          </w:p>
        </w:tc>
        <w:tc>
          <w:tcPr>
            <w:tcW w:w="0" w:type="dxa"/>
            <w:vAlign w:val="bottom"/>
          </w:tcPr>
          <w:p>
            <w:pPr>
              <w:spacing w:after="0"/>
              <w:rPr>
                <w:sz w:val="1"/>
                <w:szCs w:val="1"/>
                <w:color w:val="auto"/>
              </w:rPr>
            </w:pPr>
          </w:p>
        </w:tc>
      </w:tr>
      <w:tr>
        <w:trPr>
          <w:trHeight w:val="73"/>
        </w:trPr>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income loss</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1,275</w:t>
            </w: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23,122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24,598</w:t>
            </w:r>
          </w:p>
        </w:tc>
        <w:tc>
          <w:tcPr>
            <w:tcW w:w="0" w:type="dxa"/>
            <w:vAlign w:val="bottom"/>
          </w:tcPr>
          <w:p>
            <w:pPr>
              <w:spacing w:after="0"/>
              <w:rPr>
                <w:sz w:val="1"/>
                <w:szCs w:val="1"/>
                <w:color w:val="auto"/>
              </w:rPr>
            </w:pP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rPr>
              <w:t>Tax effect from</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200"/>
              <w:spacing w:after="0" w:line="149" w:lineRule="exact"/>
              <w:rPr>
                <w:sz w:val="20"/>
                <w:szCs w:val="20"/>
                <w:color w:val="auto"/>
              </w:rPr>
            </w:pPr>
            <w:r>
              <w:rPr>
                <w:rFonts w:ascii="Arial" w:cs="Arial" w:eastAsia="Arial" w:hAnsi="Arial"/>
                <w:sz w:val="14"/>
                <w:szCs w:val="14"/>
                <w:color w:val="auto"/>
              </w:rPr>
              <w:t>vesting of</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200"/>
              <w:spacing w:after="0" w:line="149" w:lineRule="exact"/>
              <w:rPr>
                <w:sz w:val="20"/>
                <w:szCs w:val="20"/>
                <w:color w:val="auto"/>
              </w:rPr>
            </w:pPr>
            <w:r>
              <w:rPr>
                <w:rFonts w:ascii="Arial" w:cs="Arial" w:eastAsia="Arial" w:hAnsi="Arial"/>
                <w:sz w:val="14"/>
                <w:szCs w:val="14"/>
                <w:color w:val="auto"/>
              </w:rPr>
              <w:t>restricted stock</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200"/>
              <w:spacing w:after="0" w:line="149" w:lineRule="exact"/>
              <w:rPr>
                <w:sz w:val="20"/>
                <w:szCs w:val="20"/>
                <w:color w:val="auto"/>
              </w:rPr>
            </w:pPr>
            <w:r>
              <w:rPr>
                <w:rFonts w:ascii="Arial" w:cs="Arial" w:eastAsia="Arial" w:hAnsi="Arial"/>
                <w:sz w:val="14"/>
                <w:szCs w:val="14"/>
                <w:color w:val="auto"/>
              </w:rPr>
              <w:t>grants and stock</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200"/>
              <w:spacing w:after="0"/>
              <w:rPr>
                <w:sz w:val="20"/>
                <w:szCs w:val="20"/>
                <w:color w:val="auto"/>
              </w:rPr>
            </w:pPr>
            <w:r>
              <w:rPr>
                <w:rFonts w:ascii="Arial" w:cs="Arial" w:eastAsia="Arial" w:hAnsi="Arial"/>
                <w:sz w:val="14"/>
                <w:szCs w:val="14"/>
                <w:color w:val="auto"/>
              </w:rPr>
              <w:t>option exercises</w:t>
            </w:r>
          </w:p>
        </w:tc>
        <w:tc>
          <w:tcPr>
            <w:tcW w:w="12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2,404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2,404</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to</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Operating</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8"/>
              </w:rPr>
              <w:t>Partnership units</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held by</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noncontrolling</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interests</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(7,650)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(2,514)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(2,570)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(1,971)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(16,292)</w:t>
            </w: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(30,997)</w:t>
            </w:r>
          </w:p>
        </w:tc>
        <w:tc>
          <w:tcPr>
            <w:tcW w:w="0" w:type="dxa"/>
            <w:vAlign w:val="bottom"/>
          </w:tcPr>
          <w:p>
            <w:pPr>
              <w:spacing w:after="0"/>
              <w:rPr>
                <w:sz w:val="1"/>
                <w:szCs w:val="1"/>
                <w:color w:val="auto"/>
              </w:rPr>
            </w:pP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rPr>
              <w:t>Dividends paid on</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200"/>
              <w:spacing w:after="0" w:line="149" w:lineRule="exact"/>
              <w:rPr>
                <w:sz w:val="20"/>
                <w:szCs w:val="20"/>
                <w:color w:val="auto"/>
              </w:rPr>
            </w:pPr>
            <w:r>
              <w:rPr>
                <w:rFonts w:ascii="Arial" w:cs="Arial" w:eastAsia="Arial" w:hAnsi="Arial"/>
                <w:sz w:val="14"/>
                <w:szCs w:val="14"/>
                <w:color w:val="auto"/>
                <w:w w:val="98"/>
              </w:rPr>
              <w:t>common stock at</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6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$2.93 per share</w:t>
            </w: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(367,818)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(367,818)</w:t>
            </w:r>
          </w:p>
        </w:tc>
        <w:tc>
          <w:tcPr>
            <w:tcW w:w="0" w:type="dxa"/>
            <w:vAlign w:val="bottom"/>
          </w:tcPr>
          <w:p>
            <w:pPr>
              <w:spacing w:after="0"/>
              <w:rPr>
                <w:sz w:val="1"/>
                <w:szCs w:val="1"/>
                <w:color w:val="auto"/>
              </w:rPr>
            </w:pPr>
          </w:p>
        </w:tc>
      </w:tr>
      <w:tr>
        <w:trPr>
          <w:trHeight w:val="139"/>
        </w:trPr>
        <w:tc>
          <w:tcPr>
            <w:tcW w:w="1260" w:type="dxa"/>
            <w:vAlign w:val="bottom"/>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Balances at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88"/>
              </w:rPr>
              <w:t>14,385</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88"/>
              </w:rPr>
              <w:t>41,902</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3"/>
              </w:rPr>
              <w:t>10,730</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88"/>
              </w:rPr>
              <w:t>80,903</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203,354</w:t>
            </w:r>
          </w:p>
        </w:tc>
        <w:tc>
          <w:tcPr>
            <w:tcW w:w="10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 —</w:t>
            </w: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5"/>
              </w:rPr>
              <w:t>125,881,460</w:t>
            </w:r>
          </w:p>
        </w:tc>
        <w:tc>
          <w:tcPr>
            <w:tcW w:w="28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1,259</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2,566,120</w:t>
            </w:r>
          </w:p>
        </w:tc>
        <w:tc>
          <w:tcPr>
            <w:tcW w:w="12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16,770</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(339,257)</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2,596,166</w:t>
            </w:r>
          </w:p>
        </w:tc>
        <w:tc>
          <w:tcPr>
            <w:tcW w:w="0" w:type="dxa"/>
            <w:vAlign w:val="bottom"/>
          </w:tcPr>
          <w:p>
            <w:pPr>
              <w:spacing w:after="0"/>
              <w:rPr>
                <w:sz w:val="1"/>
                <w:szCs w:val="1"/>
                <w:color w:val="auto"/>
              </w:rPr>
            </w:pPr>
          </w:p>
        </w:tc>
      </w:tr>
      <w:tr>
        <w:trPr>
          <w:trHeight w:val="185"/>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95"/>
              </w:rPr>
              <w:t>December 31, 2016</w:t>
            </w:r>
          </w:p>
        </w:tc>
        <w:tc>
          <w:tcPr>
            <w:tcW w:w="120" w:type="dxa"/>
            <w:vAlign w:val="bottom"/>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012" w:right="2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012" w:right="239" w:bottom="1440" w:gutter="0" w:footer="0" w:header="0"/>
          <w:type w:val="continuous"/>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Extra Space Storage Inc.</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w:t>
      </w:r>
    </w:p>
    <w:p>
      <w:pPr>
        <w:spacing w:after="0" w:line="166"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4271010</wp:posOffset>
            </wp:positionH>
            <wp:positionV relativeFrom="paragraph">
              <wp:posOffset>23495</wp:posOffset>
            </wp:positionV>
            <wp:extent cx="29635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63545"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76"/>
        </w:trPr>
        <w:tc>
          <w:tcPr>
            <w:tcW w:w="67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7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6720" w:type="dxa"/>
            <w:vAlign w:val="bottom"/>
          </w:tcPr>
          <w:p>
            <w:pPr>
              <w:ind w:left="380"/>
              <w:spacing w:after="0"/>
              <w:rPr>
                <w:sz w:val="20"/>
                <w:szCs w:val="20"/>
                <w:color w:val="auto"/>
              </w:rPr>
            </w:pPr>
            <w:r>
              <w:rPr>
                <w:rFonts w:ascii="Arial" w:cs="Arial" w:eastAsia="Arial" w:hAnsi="Arial"/>
                <w:sz w:val="14"/>
                <w:szCs w:val="14"/>
                <w:color w:val="auto"/>
              </w:rPr>
              <w:t>Net income</w:t>
            </w: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397,089</w:t>
            </w:r>
          </w:p>
        </w:tc>
        <w:tc>
          <w:tcPr>
            <w:tcW w:w="120" w:type="dxa"/>
            <w:vAlign w:val="bottom"/>
          </w:tcPr>
          <w:p>
            <w:pPr>
              <w:spacing w:after="0"/>
              <w:rPr>
                <w:sz w:val="16"/>
                <w:szCs w:val="16"/>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209,536</w:t>
            </w:r>
          </w:p>
        </w:tc>
        <w:tc>
          <w:tcPr>
            <w:tcW w:w="120" w:type="dxa"/>
            <w:vAlign w:val="bottom"/>
          </w:tcPr>
          <w:p>
            <w:pPr>
              <w:spacing w:after="0"/>
              <w:rPr>
                <w:sz w:val="16"/>
                <w:szCs w:val="16"/>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195,896</w:t>
            </w:r>
          </w:p>
        </w:tc>
        <w:tc>
          <w:tcPr>
            <w:tcW w:w="0" w:type="dxa"/>
            <w:vAlign w:val="bottom"/>
          </w:tcPr>
          <w:p>
            <w:pPr>
              <w:spacing w:after="0"/>
              <w:rPr>
                <w:sz w:val="1"/>
                <w:szCs w:val="1"/>
                <w:color w:val="auto"/>
              </w:rPr>
            </w:pPr>
          </w:p>
        </w:tc>
      </w:tr>
      <w:tr>
        <w:trPr>
          <w:trHeight w:val="73"/>
        </w:trPr>
        <w:tc>
          <w:tcPr>
            <w:tcW w:w="672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67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720" w:type="dxa"/>
            <w:vAlign w:val="bottom"/>
          </w:tcPr>
          <w:p>
            <w:pPr>
              <w:ind w:left="70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182,560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133,457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115,076</w:t>
            </w:r>
          </w:p>
        </w:tc>
        <w:tc>
          <w:tcPr>
            <w:tcW w:w="0" w:type="dxa"/>
            <w:vAlign w:val="bottom"/>
          </w:tcPr>
          <w:p>
            <w:pPr>
              <w:spacing w:after="0"/>
              <w:rPr>
                <w:sz w:val="1"/>
                <w:szCs w:val="1"/>
                <w:color w:val="auto"/>
              </w:rPr>
            </w:pPr>
          </w:p>
        </w:tc>
      </w:tr>
      <w:tr>
        <w:trPr>
          <w:trHeight w:val="73"/>
        </w:trPr>
        <w:tc>
          <w:tcPr>
            <w:tcW w:w="67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ind w:left="700"/>
              <w:spacing w:after="0"/>
              <w:rPr>
                <w:sz w:val="20"/>
                <w:szCs w:val="20"/>
                <w:color w:val="auto"/>
              </w:rPr>
            </w:pPr>
            <w:r>
              <w:rPr>
                <w:rFonts w:ascii="Arial" w:cs="Arial" w:eastAsia="Arial" w:hAnsi="Arial"/>
                <w:sz w:val="14"/>
                <w:szCs w:val="14"/>
                <w:color w:val="auto"/>
              </w:rPr>
              <w:t>Amortization of deferred financing costs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12,922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7,779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6,592</w:t>
            </w:r>
          </w:p>
        </w:tc>
        <w:tc>
          <w:tcPr>
            <w:tcW w:w="0" w:type="dxa"/>
            <w:vAlign w:val="bottom"/>
          </w:tcPr>
          <w:p>
            <w:pPr>
              <w:spacing w:after="0"/>
              <w:rPr>
                <w:sz w:val="1"/>
                <w:szCs w:val="1"/>
                <w:color w:val="auto"/>
              </w:rPr>
            </w:pPr>
          </w:p>
        </w:tc>
      </w:tr>
      <w:tr>
        <w:trPr>
          <w:trHeight w:val="79"/>
        </w:trPr>
        <w:tc>
          <w:tcPr>
            <w:tcW w:w="67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6720" w:type="dxa"/>
            <w:vAlign w:val="bottom"/>
          </w:tcPr>
          <w:p>
            <w:pPr>
              <w:ind w:left="700"/>
              <w:spacing w:after="0" w:line="157" w:lineRule="exact"/>
              <w:rPr>
                <w:sz w:val="20"/>
                <w:szCs w:val="20"/>
                <w:color w:val="auto"/>
              </w:rPr>
            </w:pPr>
            <w:r>
              <w:rPr>
                <w:rFonts w:ascii="Arial" w:cs="Arial" w:eastAsia="Arial" w:hAnsi="Arial"/>
                <w:sz w:val="14"/>
                <w:szCs w:val="14"/>
                <w:color w:val="auto"/>
                <w:w w:val="96"/>
              </w:rPr>
              <w:t>Non-cash interest expense related to amortization of discount on equity component of exchangeable</w:t>
            </w: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6720" w:type="dxa"/>
            <w:vAlign w:val="bottom"/>
          </w:tcPr>
          <w:p>
            <w:pPr>
              <w:ind w:left="880"/>
              <w:spacing w:after="0"/>
              <w:rPr>
                <w:sz w:val="20"/>
                <w:szCs w:val="20"/>
                <w:color w:val="auto"/>
              </w:rPr>
            </w:pPr>
            <w:r>
              <w:rPr>
                <w:rFonts w:ascii="Arial" w:cs="Arial" w:eastAsia="Arial" w:hAnsi="Arial"/>
                <w:sz w:val="14"/>
                <w:szCs w:val="14"/>
                <w:color w:val="auto"/>
              </w:rPr>
              <w:t>senior notes</w:t>
            </w:r>
          </w:p>
        </w:tc>
        <w:tc>
          <w:tcPr>
            <w:tcW w:w="360" w:type="dxa"/>
            <w:vAlign w:val="bottom"/>
          </w:tcPr>
          <w:p>
            <w:pPr>
              <w:spacing w:after="0"/>
              <w:rPr>
                <w:sz w:val="16"/>
                <w:szCs w:val="16"/>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4,980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3,310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2,683</w:t>
            </w: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ind w:left="700"/>
              <w:spacing w:after="0"/>
              <w:rPr>
                <w:sz w:val="20"/>
                <w:szCs w:val="20"/>
                <w:color w:val="auto"/>
              </w:rPr>
            </w:pPr>
            <w:r>
              <w:rPr>
                <w:rFonts w:ascii="Arial" w:cs="Arial" w:eastAsia="Arial" w:hAnsi="Arial"/>
                <w:sz w:val="14"/>
                <w:szCs w:val="14"/>
                <w:color w:val="auto"/>
              </w:rPr>
              <w:t>Non-cash interest expense related to amortization of premium on notes payable</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(872)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(2,409)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(3,079)</w:t>
            </w:r>
          </w:p>
        </w:tc>
        <w:tc>
          <w:tcPr>
            <w:tcW w:w="0" w:type="dxa"/>
            <w:vAlign w:val="bottom"/>
          </w:tcPr>
          <w:p>
            <w:pPr>
              <w:spacing w:after="0"/>
              <w:rPr>
                <w:sz w:val="1"/>
                <w:szCs w:val="1"/>
                <w:color w:val="auto"/>
              </w:rPr>
            </w:pPr>
          </w:p>
        </w:tc>
      </w:tr>
      <w:tr>
        <w:trPr>
          <w:trHeight w:val="79"/>
        </w:trPr>
        <w:tc>
          <w:tcPr>
            <w:tcW w:w="67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720" w:type="dxa"/>
            <w:vAlign w:val="bottom"/>
          </w:tcPr>
          <w:p>
            <w:pPr>
              <w:ind w:left="700"/>
              <w:spacing w:after="0"/>
              <w:rPr>
                <w:sz w:val="20"/>
                <w:szCs w:val="20"/>
                <w:color w:val="auto"/>
              </w:rPr>
            </w:pPr>
            <w:r>
              <w:rPr>
                <w:rFonts w:ascii="Arial" w:cs="Arial" w:eastAsia="Arial" w:hAnsi="Arial"/>
                <w:sz w:val="14"/>
                <w:szCs w:val="14"/>
                <w:color w:val="auto"/>
              </w:rPr>
              <w:t>Compensation expense related to stock-based awards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8,045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6,055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4,984</w:t>
            </w:r>
          </w:p>
        </w:tc>
        <w:tc>
          <w:tcPr>
            <w:tcW w:w="0" w:type="dxa"/>
            <w:vAlign w:val="bottom"/>
          </w:tcPr>
          <w:p>
            <w:pPr>
              <w:spacing w:after="0"/>
              <w:rPr>
                <w:sz w:val="1"/>
                <w:szCs w:val="1"/>
                <w:color w:val="auto"/>
              </w:rPr>
            </w:pPr>
          </w:p>
        </w:tc>
      </w:tr>
      <w:tr>
        <w:trPr>
          <w:trHeight w:val="73"/>
        </w:trPr>
        <w:tc>
          <w:tcPr>
            <w:tcW w:w="67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ind w:left="700"/>
              <w:spacing w:after="0"/>
              <w:rPr>
                <w:sz w:val="20"/>
                <w:szCs w:val="20"/>
                <w:color w:val="auto"/>
              </w:rPr>
            </w:pPr>
            <w:r>
              <w:rPr>
                <w:rFonts w:ascii="Arial" w:cs="Arial" w:eastAsia="Arial" w:hAnsi="Arial"/>
                <w:sz w:val="14"/>
                <w:szCs w:val="14"/>
                <w:color w:val="auto"/>
              </w:rPr>
              <w:t>Gain on sale of real estate assets and purchase of joint venture partners' interests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(69,199)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(2,857)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(3,438)</w:t>
            </w:r>
          </w:p>
        </w:tc>
        <w:tc>
          <w:tcPr>
            <w:tcW w:w="0" w:type="dxa"/>
            <w:vAlign w:val="bottom"/>
          </w:tcPr>
          <w:p>
            <w:pPr>
              <w:spacing w:after="0"/>
              <w:rPr>
                <w:sz w:val="1"/>
                <w:szCs w:val="1"/>
                <w:color w:val="auto"/>
              </w:rPr>
            </w:pPr>
          </w:p>
        </w:tc>
      </w:tr>
      <w:tr>
        <w:trPr>
          <w:trHeight w:val="79"/>
        </w:trPr>
        <w:tc>
          <w:tcPr>
            <w:tcW w:w="67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720" w:type="dxa"/>
            <w:vAlign w:val="bottom"/>
          </w:tcPr>
          <w:p>
            <w:pPr>
              <w:ind w:left="700"/>
              <w:spacing w:after="0"/>
              <w:rPr>
                <w:sz w:val="20"/>
                <w:szCs w:val="20"/>
                <w:color w:val="auto"/>
              </w:rPr>
            </w:pPr>
            <w:r>
              <w:rPr>
                <w:rFonts w:ascii="Arial" w:cs="Arial" w:eastAsia="Arial" w:hAnsi="Arial"/>
                <w:sz w:val="14"/>
                <w:szCs w:val="14"/>
                <w:color w:val="auto"/>
              </w:rPr>
              <w:t>Loss (gain) on real estate transactions, earnout from prior acquisition and sale of other assets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(8,465)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(1,501)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2,500</w:t>
            </w:r>
          </w:p>
        </w:tc>
        <w:tc>
          <w:tcPr>
            <w:tcW w:w="0" w:type="dxa"/>
            <w:vAlign w:val="bottom"/>
          </w:tcPr>
          <w:p>
            <w:pPr>
              <w:spacing w:after="0"/>
              <w:rPr>
                <w:sz w:val="1"/>
                <w:szCs w:val="1"/>
                <w:color w:val="auto"/>
              </w:rPr>
            </w:pPr>
          </w:p>
        </w:tc>
      </w:tr>
      <w:tr>
        <w:trPr>
          <w:trHeight w:val="73"/>
        </w:trPr>
        <w:tc>
          <w:tcPr>
            <w:tcW w:w="67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ind w:left="700"/>
              <w:spacing w:after="0"/>
              <w:rPr>
                <w:sz w:val="20"/>
                <w:szCs w:val="20"/>
                <w:color w:val="auto"/>
              </w:rPr>
            </w:pPr>
            <w:r>
              <w:rPr>
                <w:rFonts w:ascii="Arial" w:cs="Arial" w:eastAsia="Arial" w:hAnsi="Arial"/>
                <w:sz w:val="14"/>
                <w:szCs w:val="14"/>
                <w:color w:val="auto"/>
              </w:rPr>
              <w:t>Property casualty loss</w:t>
            </w:r>
          </w:p>
        </w:tc>
        <w:tc>
          <w:tcPr>
            <w:tcW w:w="36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1,724</w:t>
            </w:r>
          </w:p>
        </w:tc>
        <w:tc>
          <w:tcPr>
            <w:tcW w:w="0" w:type="dxa"/>
            <w:vAlign w:val="bottom"/>
          </w:tcPr>
          <w:p>
            <w:pPr>
              <w:spacing w:after="0"/>
              <w:rPr>
                <w:sz w:val="1"/>
                <w:szCs w:val="1"/>
                <w:color w:val="auto"/>
              </w:rPr>
            </w:pPr>
          </w:p>
        </w:tc>
      </w:tr>
      <w:tr>
        <w:trPr>
          <w:trHeight w:val="79"/>
        </w:trPr>
        <w:tc>
          <w:tcPr>
            <w:tcW w:w="67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720" w:type="dxa"/>
            <w:vAlign w:val="bottom"/>
          </w:tcPr>
          <w:p>
            <w:pPr>
              <w:ind w:left="700"/>
              <w:spacing w:after="0"/>
              <w:rPr>
                <w:sz w:val="20"/>
                <w:szCs w:val="20"/>
                <w:color w:val="auto"/>
              </w:rPr>
            </w:pPr>
            <w:r>
              <w:rPr>
                <w:rFonts w:ascii="Arial" w:cs="Arial" w:eastAsia="Arial" w:hAnsi="Arial"/>
                <w:sz w:val="14"/>
                <w:szCs w:val="14"/>
                <w:color w:val="auto"/>
              </w:rPr>
              <w:t>Distributions from unconsolidated real estate ventures in excess of earnings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3,534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4,531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4,510</w:t>
            </w:r>
          </w:p>
        </w:tc>
        <w:tc>
          <w:tcPr>
            <w:tcW w:w="0" w:type="dxa"/>
            <w:vAlign w:val="bottom"/>
          </w:tcPr>
          <w:p>
            <w:pPr>
              <w:spacing w:after="0"/>
              <w:rPr>
                <w:sz w:val="1"/>
                <w:szCs w:val="1"/>
                <w:color w:val="auto"/>
              </w:rPr>
            </w:pPr>
          </w:p>
        </w:tc>
      </w:tr>
      <w:tr>
        <w:trPr>
          <w:trHeight w:val="73"/>
        </w:trPr>
        <w:tc>
          <w:tcPr>
            <w:tcW w:w="67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ind w:left="700"/>
              <w:spacing w:after="0"/>
              <w:rPr>
                <w:sz w:val="20"/>
                <w:szCs w:val="20"/>
                <w:color w:val="auto"/>
              </w:rPr>
            </w:pPr>
            <w:r>
              <w:rPr>
                <w:rFonts w:ascii="Arial" w:cs="Arial" w:eastAsia="Arial" w:hAnsi="Arial"/>
                <w:sz w:val="14"/>
                <w:szCs w:val="14"/>
                <w:color w:val="auto"/>
              </w:rPr>
              <w:t>Changes in operating assets and liabilities: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67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720" w:type="dxa"/>
            <w:vAlign w:val="bottom"/>
          </w:tcPr>
          <w:p>
            <w:pPr>
              <w:ind w:left="1140"/>
              <w:spacing w:after="0"/>
              <w:rPr>
                <w:sz w:val="20"/>
                <w:szCs w:val="20"/>
                <w:color w:val="auto"/>
              </w:rPr>
            </w:pPr>
            <w:r>
              <w:rPr>
                <w:rFonts w:ascii="Arial" w:cs="Arial" w:eastAsia="Arial" w:hAnsi="Arial"/>
                <w:sz w:val="14"/>
                <w:szCs w:val="14"/>
                <w:color w:val="auto"/>
              </w:rPr>
              <w:t>Receivables from related parties and affiliated real estate joint ventures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1,367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(1,436)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73"/>
        </w:trPr>
        <w:tc>
          <w:tcPr>
            <w:tcW w:w="67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Other assets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(2,981)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(1,498)</w:t>
            </w:r>
          </w:p>
        </w:tc>
        <w:tc>
          <w:tcPr>
            <w:tcW w:w="0" w:type="dxa"/>
            <w:vAlign w:val="bottom"/>
          </w:tcPr>
          <w:p>
            <w:pPr>
              <w:spacing w:after="0"/>
              <w:rPr>
                <w:sz w:val="1"/>
                <w:szCs w:val="1"/>
                <w:color w:val="auto"/>
              </w:rPr>
            </w:pPr>
          </w:p>
        </w:tc>
      </w:tr>
      <w:tr>
        <w:trPr>
          <w:trHeight w:val="79"/>
        </w:trPr>
        <w:tc>
          <w:tcPr>
            <w:tcW w:w="67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720" w:type="dxa"/>
            <w:vAlign w:val="bottom"/>
          </w:tcPr>
          <w:p>
            <w:pPr>
              <w:ind w:left="1140"/>
              <w:spacing w:after="0"/>
              <w:rPr>
                <w:sz w:val="20"/>
                <w:szCs w:val="20"/>
                <w:color w:val="auto"/>
              </w:rPr>
            </w:pPr>
            <w:r>
              <w:rPr>
                <w:rFonts w:ascii="Arial" w:cs="Arial" w:eastAsia="Arial" w:hAnsi="Arial"/>
                <w:sz w:val="14"/>
                <w:szCs w:val="14"/>
                <w:color w:val="auto"/>
              </w:rPr>
              <w:t>Accounts payable and accrued expenses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10,075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4,920</w:t>
            </w:r>
          </w:p>
        </w:tc>
        <w:tc>
          <w:tcPr>
            <w:tcW w:w="0" w:type="dxa"/>
            <w:vAlign w:val="bottom"/>
          </w:tcPr>
          <w:p>
            <w:pPr>
              <w:spacing w:after="0"/>
              <w:rPr>
                <w:sz w:val="1"/>
                <w:szCs w:val="1"/>
                <w:color w:val="auto"/>
              </w:rPr>
            </w:pPr>
          </w:p>
        </w:tc>
      </w:tr>
      <w:tr>
        <w:trPr>
          <w:trHeight w:val="73"/>
        </w:trPr>
        <w:tc>
          <w:tcPr>
            <w:tcW w:w="67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Other liabilities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11,928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6,640</w:t>
            </w:r>
          </w:p>
        </w:tc>
        <w:tc>
          <w:tcPr>
            <w:tcW w:w="0" w:type="dxa"/>
            <w:vAlign w:val="bottom"/>
          </w:tcPr>
          <w:p>
            <w:pPr>
              <w:spacing w:after="0"/>
              <w:rPr>
                <w:sz w:val="1"/>
                <w:szCs w:val="1"/>
                <w:color w:val="auto"/>
              </w:rPr>
            </w:pPr>
          </w:p>
        </w:tc>
      </w:tr>
      <w:tr>
        <w:trPr>
          <w:trHeight w:val="79"/>
        </w:trPr>
        <w:tc>
          <w:tcPr>
            <w:tcW w:w="67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6720" w:type="dxa"/>
            <w:vAlign w:val="bottom"/>
          </w:tcPr>
          <w:p>
            <w:pPr>
              <w:ind w:left="70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Pr>
          <w:p>
            <w:pPr>
              <w:spacing w:after="0"/>
              <w:rPr>
                <w:sz w:val="14"/>
                <w:szCs w:val="14"/>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539,263</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367,329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337,581</w:t>
            </w:r>
          </w:p>
        </w:tc>
        <w:tc>
          <w:tcPr>
            <w:tcW w:w="0" w:type="dxa"/>
            <w:vAlign w:val="bottom"/>
          </w:tcPr>
          <w:p>
            <w:pPr>
              <w:spacing w:after="0"/>
              <w:rPr>
                <w:sz w:val="1"/>
                <w:szCs w:val="1"/>
                <w:color w:val="auto"/>
              </w:rPr>
            </w:pPr>
          </w:p>
        </w:tc>
      </w:tr>
      <w:tr>
        <w:trPr>
          <w:trHeight w:val="67"/>
        </w:trPr>
        <w:tc>
          <w:tcPr>
            <w:tcW w:w="6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29475"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9475" cy="179705"/>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b w:val="1"/>
          <w:bCs w:val="1"/>
          <w:color w:val="auto"/>
        </w:rPr>
        <w:t>Cash flows from investing activities:</w:t>
      </w:r>
    </w:p>
    <w:p>
      <w:pPr>
        <w:sectPr>
          <w:pgSz w:w="11900" w:h="16838" w:orient="portrait"/>
          <w:cols w:equalWidth="0" w:num="1">
            <w:col w:w="11400"/>
          </w:cols>
          <w:pgMar w:left="240" w:top="796" w:right="259" w:bottom="0" w:gutter="0" w:footer="0" w:header="0"/>
        </w:sectPr>
      </w:pPr>
    </w:p>
    <w:p>
      <w:pPr>
        <w:spacing w:after="0" w:line="12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Acquisition of SmartStop,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Acquisition of real estate assets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Development and redevelopment of real estate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2"/>
          <w:szCs w:val="12"/>
          <w:color w:val="auto"/>
        </w:rPr>
        <w:t>Proceeds from sale of real estate assets, investments in real estate ventures and other assets</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Change in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Investment in unconsolidated real estate ventures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Return of investment in unconsolidated real estate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Purchase/issuance of notes receivable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Principal payments received from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Purchase of equipment and fixtures</w:t>
      </w:r>
    </w:p>
    <w:p>
      <w:pPr>
        <w:spacing w:after="0" w:line="10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9475" cy="17970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financing activities: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(1,200,853)</w:t>
            </w:r>
          </w:p>
        </w:tc>
        <w:tc>
          <w:tcPr>
            <w:tcW w:w="120" w:type="dxa"/>
            <w:vAlign w:val="bottom"/>
          </w:tcPr>
          <w:p>
            <w:pPr>
              <w:spacing w:after="0"/>
              <w:rPr>
                <w:sz w:val="15"/>
                <w:szCs w:val="15"/>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1500" w:type="dxa"/>
            <w:vAlign w:val="bottom"/>
          </w:tcPr>
          <w:p>
            <w:pPr>
              <w:jc w:val="right"/>
              <w:ind w:right="8"/>
              <w:spacing w:after="0"/>
              <w:rPr>
                <w:sz w:val="20"/>
                <w:szCs w:val="20"/>
                <w:color w:val="auto"/>
              </w:rPr>
            </w:pPr>
            <w:r>
              <w:rPr>
                <w:rFonts w:ascii="Arial" w:cs="Arial" w:eastAsia="Arial" w:hAnsi="Arial"/>
                <w:sz w:val="14"/>
                <w:szCs w:val="14"/>
                <w:color w:val="auto"/>
              </w:rPr>
              <w:t>(1,086,523)</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(349,897)</w:t>
            </w: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(503,538)</w:t>
            </w:r>
          </w:p>
        </w:tc>
      </w:tr>
      <w:tr>
        <w:trPr>
          <w:trHeight w:val="270"/>
        </w:trPr>
        <w:tc>
          <w:tcPr>
            <w:tcW w:w="1500" w:type="dxa"/>
            <w:vAlign w:val="bottom"/>
          </w:tcPr>
          <w:p>
            <w:pPr>
              <w:jc w:val="right"/>
              <w:ind w:right="8"/>
              <w:spacing w:after="0"/>
              <w:rPr>
                <w:sz w:val="20"/>
                <w:szCs w:val="20"/>
                <w:color w:val="auto"/>
              </w:rPr>
            </w:pPr>
            <w:r>
              <w:rPr>
                <w:rFonts w:ascii="Arial" w:cs="Arial" w:eastAsia="Arial" w:hAnsi="Arial"/>
                <w:sz w:val="14"/>
                <w:szCs w:val="14"/>
                <w:color w:val="auto"/>
              </w:rPr>
              <w:t>(23,279)</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(26,931)</w:t>
            </w: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(23,528)</w:t>
            </w:r>
          </w:p>
        </w:tc>
      </w:tr>
      <w:tr>
        <w:trPr>
          <w:trHeight w:val="270"/>
        </w:trPr>
        <w:tc>
          <w:tcPr>
            <w:tcW w:w="1500" w:type="dxa"/>
            <w:vAlign w:val="bottom"/>
          </w:tcPr>
          <w:p>
            <w:pPr>
              <w:jc w:val="right"/>
              <w:ind w:right="48"/>
              <w:spacing w:after="0"/>
              <w:rPr>
                <w:sz w:val="20"/>
                <w:szCs w:val="20"/>
                <w:color w:val="auto"/>
              </w:rPr>
            </w:pPr>
            <w:r>
              <w:rPr>
                <w:rFonts w:ascii="Arial" w:cs="Arial" w:eastAsia="Arial" w:hAnsi="Arial"/>
                <w:sz w:val="14"/>
                <w:szCs w:val="14"/>
                <w:color w:val="auto"/>
              </w:rPr>
              <w:t>60,813</w:t>
            </w:r>
          </w:p>
        </w:tc>
        <w:tc>
          <w:tcPr>
            <w:tcW w:w="12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800</w:t>
            </w:r>
          </w:p>
        </w:tc>
        <w:tc>
          <w:tcPr>
            <w:tcW w:w="120" w:type="dxa"/>
            <w:vAlign w:val="bottom"/>
          </w:tcPr>
          <w:p>
            <w:pPr>
              <w:spacing w:after="0"/>
              <w:rPr>
                <w:sz w:val="23"/>
                <w:szCs w:val="23"/>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1500" w:type="dxa"/>
            <w:vAlign w:val="bottom"/>
          </w:tcPr>
          <w:p>
            <w:pPr>
              <w:jc w:val="right"/>
              <w:ind w:right="48"/>
              <w:spacing w:after="0"/>
              <w:rPr>
                <w:sz w:val="20"/>
                <w:szCs w:val="20"/>
                <w:color w:val="auto"/>
              </w:rPr>
            </w:pPr>
            <w:r>
              <w:rPr>
                <w:rFonts w:ascii="Arial" w:cs="Arial" w:eastAsia="Arial" w:hAnsi="Arial"/>
                <w:sz w:val="14"/>
                <w:szCs w:val="14"/>
                <w:color w:val="auto"/>
              </w:rPr>
              <w:t>16,854</w:t>
            </w:r>
          </w:p>
        </w:tc>
        <w:tc>
          <w:tcPr>
            <w:tcW w:w="12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1,282</w:t>
            </w: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(3,794)</w:t>
            </w:r>
          </w:p>
        </w:tc>
      </w:tr>
      <w:tr>
        <w:trPr>
          <w:trHeight w:val="270"/>
        </w:trPr>
        <w:tc>
          <w:tcPr>
            <w:tcW w:w="1500" w:type="dxa"/>
            <w:vAlign w:val="bottom"/>
          </w:tcPr>
          <w:p>
            <w:pPr>
              <w:jc w:val="right"/>
              <w:ind w:right="8"/>
              <w:spacing w:after="0"/>
              <w:rPr>
                <w:sz w:val="20"/>
                <w:szCs w:val="20"/>
                <w:color w:val="auto"/>
              </w:rPr>
            </w:pPr>
            <w:r>
              <w:rPr>
                <w:rFonts w:ascii="Arial" w:cs="Arial" w:eastAsia="Arial" w:hAnsi="Arial"/>
                <w:sz w:val="14"/>
                <w:szCs w:val="14"/>
                <w:color w:val="auto"/>
              </w:rPr>
              <w:t>(28,241)</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(3,434)</w:t>
            </w:r>
          </w:p>
        </w:tc>
        <w:tc>
          <w:tcPr>
            <w:tcW w:w="120" w:type="dxa"/>
            <w:vAlign w:val="bottom"/>
          </w:tcPr>
          <w:p>
            <w:pPr>
              <w:spacing w:after="0"/>
              <w:rPr>
                <w:sz w:val="23"/>
                <w:szCs w:val="23"/>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1500" w:type="dxa"/>
            <w:vAlign w:val="bottom"/>
          </w:tcPr>
          <w:p>
            <w:pPr>
              <w:jc w:val="right"/>
              <w:ind w:right="48"/>
              <w:spacing w:after="0"/>
              <w:rPr>
                <w:sz w:val="20"/>
                <w:szCs w:val="20"/>
                <w:color w:val="auto"/>
              </w:rPr>
            </w:pPr>
            <w:r>
              <w:rPr>
                <w:rFonts w:ascii="Arial" w:cs="Arial" w:eastAsia="Arial" w:hAnsi="Arial"/>
                <w:sz w:val="14"/>
                <w:szCs w:val="14"/>
                <w:color w:val="auto"/>
              </w:rPr>
              <w:t>16,953</w:t>
            </w:r>
          </w:p>
        </w:tc>
        <w:tc>
          <w:tcPr>
            <w:tcW w:w="12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45,080</w:t>
            </w:r>
          </w:p>
        </w:tc>
        <w:tc>
          <w:tcPr>
            <w:tcW w:w="120" w:type="dxa"/>
            <w:vAlign w:val="bottom"/>
          </w:tcPr>
          <w:p>
            <w:pPr>
              <w:spacing w:after="0"/>
              <w:rPr>
                <w:sz w:val="23"/>
                <w:szCs w:val="23"/>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1500" w:type="dxa"/>
            <w:vAlign w:val="bottom"/>
          </w:tcPr>
          <w:p>
            <w:pPr>
              <w:jc w:val="right"/>
              <w:ind w:right="8"/>
              <w:spacing w:after="0"/>
              <w:rPr>
                <w:sz w:val="20"/>
                <w:szCs w:val="20"/>
                <w:color w:val="auto"/>
              </w:rPr>
            </w:pPr>
            <w:r>
              <w:rPr>
                <w:rFonts w:ascii="Arial" w:cs="Arial" w:eastAsia="Arial" w:hAnsi="Arial"/>
                <w:sz w:val="14"/>
                <w:szCs w:val="14"/>
                <w:color w:val="auto"/>
              </w:rPr>
              <w:t>(26,429)</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(84,331)</w:t>
            </w: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(29,258)</w:t>
            </w:r>
          </w:p>
        </w:tc>
      </w:tr>
      <w:tr>
        <w:trPr>
          <w:trHeight w:val="270"/>
        </w:trPr>
        <w:tc>
          <w:tcPr>
            <w:tcW w:w="1500" w:type="dxa"/>
            <w:vAlign w:val="bottom"/>
          </w:tcPr>
          <w:p>
            <w:pPr>
              <w:jc w:val="right"/>
              <w:ind w:right="48"/>
              <w:spacing w:after="0"/>
              <w:rPr>
                <w:sz w:val="20"/>
                <w:szCs w:val="20"/>
                <w:color w:val="auto"/>
              </w:rPr>
            </w:pPr>
            <w:r>
              <w:rPr>
                <w:rFonts w:ascii="Arial" w:cs="Arial" w:eastAsia="Arial" w:hAnsi="Arial"/>
                <w:sz w:val="14"/>
                <w:szCs w:val="14"/>
                <w:color w:val="auto"/>
              </w:rPr>
              <w:t>42,785</w:t>
            </w:r>
          </w:p>
        </w:tc>
        <w:tc>
          <w:tcPr>
            <w:tcW w:w="12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(4,968)</w:t>
            </w:r>
          </w:p>
        </w:tc>
        <w:tc>
          <w:tcPr>
            <w:tcW w:w="120" w:type="dxa"/>
            <w:vAlign w:val="bottom"/>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(7,380)</w:t>
            </w:r>
          </w:p>
        </w:tc>
        <w:tc>
          <w:tcPr>
            <w:tcW w:w="120" w:type="dxa"/>
            <w:vAlign w:val="bottom"/>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(4,830)</w:t>
            </w:r>
          </w:p>
        </w:tc>
      </w:tr>
      <w:tr>
        <w:trPr>
          <w:trHeight w:val="250"/>
        </w:trPr>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(1,032,035)</w:t>
            </w:r>
          </w:p>
        </w:tc>
        <w:tc>
          <w:tcPr>
            <w:tcW w:w="12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(1,625,664)</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(564,948)</w:t>
            </w:r>
          </w:p>
        </w:tc>
      </w:tr>
    </w:tbl>
    <w:p>
      <w:pPr>
        <w:spacing w:after="0" w:line="277" w:lineRule="exact"/>
        <w:rPr>
          <w:sz w:val="20"/>
          <w:szCs w:val="20"/>
          <w:color w:val="auto"/>
        </w:rPr>
      </w:pPr>
    </w:p>
    <w:p>
      <w:pPr>
        <w:sectPr>
          <w:pgSz w:w="11900" w:h="16838" w:orient="portrait"/>
          <w:cols w:equalWidth="0" w:num="2">
            <w:col w:w="6000" w:space="720"/>
            <w:col w:w="4680"/>
          </w:cols>
          <w:pgMar w:left="240" w:top="796" w:right="259" w:bottom="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6720" w:type="dxa"/>
            <w:vAlign w:val="bottom"/>
          </w:tcPr>
          <w:p>
            <w:pPr>
              <w:ind w:left="380"/>
              <w:spacing w:after="0"/>
              <w:rPr>
                <w:sz w:val="20"/>
                <w:szCs w:val="20"/>
                <w:color w:val="auto"/>
              </w:rPr>
            </w:pPr>
            <w:r>
              <w:rPr>
                <w:rFonts w:ascii="Arial" w:cs="Arial" w:eastAsia="Arial" w:hAnsi="Arial"/>
                <w:sz w:val="14"/>
                <w:szCs w:val="14"/>
                <w:color w:val="auto"/>
              </w:rPr>
              <w:t>Proceeds from the sale of common stock, net of offering costs</w:t>
            </w:r>
          </w:p>
        </w:tc>
        <w:tc>
          <w:tcPr>
            <w:tcW w:w="440" w:type="dxa"/>
            <w:vAlign w:val="bottom"/>
          </w:tcPr>
          <w:p>
            <w:pPr>
              <w:spacing w:after="0"/>
              <w:rPr>
                <w:sz w:val="15"/>
                <w:szCs w:val="15"/>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123,424</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446,877</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6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proceeds from the issuance of 2015 exchangeable senior notes</w:t>
            </w:r>
          </w:p>
        </w:tc>
        <w:tc>
          <w:tcPr>
            <w:tcW w:w="44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563,500</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
        </w:trPr>
        <w:tc>
          <w:tcPr>
            <w:tcW w:w="67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720" w:type="dxa"/>
            <w:vAlign w:val="bottom"/>
          </w:tcPr>
          <w:p>
            <w:pPr>
              <w:ind w:left="380"/>
              <w:spacing w:after="0"/>
              <w:rPr>
                <w:sz w:val="20"/>
                <w:szCs w:val="20"/>
                <w:color w:val="auto"/>
              </w:rPr>
            </w:pPr>
            <w:r>
              <w:rPr>
                <w:rFonts w:ascii="Arial" w:cs="Arial" w:eastAsia="Arial" w:hAnsi="Arial"/>
                <w:sz w:val="14"/>
                <w:szCs w:val="14"/>
                <w:color w:val="auto"/>
              </w:rPr>
              <w:t>Repurchase of exchangeable senior notes</w:t>
            </w:r>
          </w:p>
        </w:tc>
        <w:tc>
          <w:tcPr>
            <w:tcW w:w="440" w:type="dxa"/>
            <w:vAlign w:val="bottom"/>
          </w:tcPr>
          <w:p>
            <w:pPr>
              <w:spacing w:after="0"/>
              <w:rPr>
                <w:sz w:val="16"/>
                <w:szCs w:val="16"/>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(22,195)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(227,212)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6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notes payable and revolving lines of credit</w:t>
            </w:r>
          </w:p>
        </w:tc>
        <w:tc>
          <w:tcPr>
            <w:tcW w:w="44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1,900,357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2,121,802</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917,664</w:t>
            </w:r>
          </w:p>
        </w:tc>
        <w:tc>
          <w:tcPr>
            <w:tcW w:w="0" w:type="dxa"/>
            <w:vAlign w:val="bottom"/>
          </w:tcPr>
          <w:p>
            <w:pPr>
              <w:spacing w:after="0"/>
              <w:rPr>
                <w:sz w:val="1"/>
                <w:szCs w:val="1"/>
                <w:color w:val="auto"/>
              </w:rPr>
            </w:pPr>
          </w:p>
        </w:tc>
      </w:tr>
      <w:tr>
        <w:trPr>
          <w:trHeight w:val="79"/>
        </w:trPr>
        <w:tc>
          <w:tcPr>
            <w:tcW w:w="67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720" w:type="dxa"/>
            <w:vAlign w:val="bottom"/>
          </w:tcPr>
          <w:p>
            <w:pPr>
              <w:ind w:left="380"/>
              <w:spacing w:after="0"/>
              <w:rPr>
                <w:sz w:val="20"/>
                <w:szCs w:val="20"/>
                <w:color w:val="auto"/>
              </w:rPr>
            </w:pPr>
            <w:r>
              <w:rPr>
                <w:rFonts w:ascii="Arial" w:cs="Arial" w:eastAsia="Arial" w:hAnsi="Arial"/>
                <w:sz w:val="14"/>
                <w:szCs w:val="14"/>
                <w:color w:val="auto"/>
              </w:rPr>
              <w:t>Principal payments on notes payable and revolving lines of credit</w:t>
            </w:r>
          </w:p>
        </w:tc>
        <w:tc>
          <w:tcPr>
            <w:tcW w:w="440" w:type="dxa"/>
            <w:vAlign w:val="bottom"/>
          </w:tcPr>
          <w:p>
            <w:pPr>
              <w:spacing w:after="0"/>
              <w:rPr>
                <w:sz w:val="16"/>
                <w:szCs w:val="16"/>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(1,122,442)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(1,313,570)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(533,128)</w:t>
            </w:r>
          </w:p>
        </w:tc>
        <w:tc>
          <w:tcPr>
            <w:tcW w:w="0" w:type="dxa"/>
            <w:vAlign w:val="bottom"/>
          </w:tcPr>
          <w:p>
            <w:pPr>
              <w:spacing w:after="0"/>
              <w:rPr>
                <w:sz w:val="1"/>
                <w:szCs w:val="1"/>
                <w:color w:val="auto"/>
              </w:rPr>
            </w:pPr>
          </w:p>
        </w:tc>
      </w:tr>
      <w:tr>
        <w:trPr>
          <w:trHeight w:val="73"/>
        </w:trPr>
        <w:tc>
          <w:tcPr>
            <w:tcW w:w="6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financing costs</w:t>
            </w:r>
          </w:p>
        </w:tc>
        <w:tc>
          <w:tcPr>
            <w:tcW w:w="44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(17,486)</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(9,779)</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(5,305)</w:t>
            </w:r>
          </w:p>
        </w:tc>
        <w:tc>
          <w:tcPr>
            <w:tcW w:w="0" w:type="dxa"/>
            <w:vAlign w:val="bottom"/>
          </w:tcPr>
          <w:p>
            <w:pPr>
              <w:spacing w:after="0"/>
              <w:rPr>
                <w:sz w:val="1"/>
                <w:szCs w:val="1"/>
                <w:color w:val="auto"/>
              </w:rPr>
            </w:pPr>
          </w:p>
        </w:tc>
      </w:tr>
      <w:tr>
        <w:trPr>
          <w:trHeight w:val="79"/>
        </w:trPr>
        <w:tc>
          <w:tcPr>
            <w:tcW w:w="67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720" w:type="dxa"/>
            <w:vAlign w:val="bottom"/>
          </w:tcPr>
          <w:p>
            <w:pPr>
              <w:ind w:left="380"/>
              <w:spacing w:after="0"/>
              <w:rPr>
                <w:sz w:val="20"/>
                <w:szCs w:val="20"/>
                <w:color w:val="auto"/>
              </w:rPr>
            </w:pPr>
            <w:r>
              <w:rPr>
                <w:rFonts w:ascii="Arial" w:cs="Arial" w:eastAsia="Arial" w:hAnsi="Arial"/>
                <w:sz w:val="14"/>
                <w:szCs w:val="14"/>
                <w:color w:val="auto"/>
              </w:rPr>
              <w:t>Net proceeds from exercise of stock options</w:t>
            </w:r>
          </w:p>
        </w:tc>
        <w:tc>
          <w:tcPr>
            <w:tcW w:w="44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1,444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1,542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3,095</w:t>
            </w:r>
          </w:p>
        </w:tc>
        <w:tc>
          <w:tcPr>
            <w:tcW w:w="0" w:type="dxa"/>
            <w:vAlign w:val="bottom"/>
          </w:tcPr>
          <w:p>
            <w:pPr>
              <w:spacing w:after="0"/>
              <w:rPr>
                <w:sz w:val="1"/>
                <w:szCs w:val="1"/>
                <w:color w:val="auto"/>
              </w:rPr>
            </w:pPr>
          </w:p>
        </w:tc>
      </w:tr>
      <w:tr>
        <w:trPr>
          <w:trHeight w:val="73"/>
        </w:trPr>
        <w:tc>
          <w:tcPr>
            <w:tcW w:w="6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termination of interest rate cap</w:t>
            </w:r>
          </w:p>
        </w:tc>
        <w:tc>
          <w:tcPr>
            <w:tcW w:w="44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1,650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
        </w:trPr>
        <w:tc>
          <w:tcPr>
            <w:tcW w:w="67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720" w:type="dxa"/>
            <w:vAlign w:val="bottom"/>
          </w:tcPr>
          <w:p>
            <w:pPr>
              <w:ind w:left="380"/>
              <w:spacing w:after="0"/>
              <w:rPr>
                <w:sz w:val="20"/>
                <w:szCs w:val="20"/>
                <w:color w:val="auto"/>
              </w:rPr>
            </w:pPr>
            <w:r>
              <w:rPr>
                <w:rFonts w:ascii="Arial" w:cs="Arial" w:eastAsia="Arial" w:hAnsi="Arial"/>
                <w:sz w:val="14"/>
                <w:szCs w:val="14"/>
                <w:color w:val="auto"/>
              </w:rPr>
              <w:t>Purchase of interest rate cap</w:t>
            </w:r>
          </w:p>
        </w:tc>
        <w:tc>
          <w:tcPr>
            <w:tcW w:w="440" w:type="dxa"/>
            <w:vAlign w:val="bottom"/>
          </w:tcPr>
          <w:p>
            <w:pPr>
              <w:spacing w:after="0"/>
              <w:rPr>
                <w:sz w:val="16"/>
                <w:szCs w:val="16"/>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(2,884)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6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 of earnout from prior acquisition</w:t>
            </w:r>
          </w:p>
        </w:tc>
        <w:tc>
          <w:tcPr>
            <w:tcW w:w="44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(4,600)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
        </w:trPr>
        <w:tc>
          <w:tcPr>
            <w:tcW w:w="67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720" w:type="dxa"/>
            <w:vAlign w:val="bottom"/>
          </w:tcPr>
          <w:p>
            <w:pPr>
              <w:ind w:left="380"/>
              <w:spacing w:after="0"/>
              <w:rPr>
                <w:sz w:val="20"/>
                <w:szCs w:val="20"/>
                <w:color w:val="auto"/>
              </w:rPr>
            </w:pPr>
            <w:r>
              <w:rPr>
                <w:rFonts w:ascii="Arial" w:cs="Arial" w:eastAsia="Arial" w:hAnsi="Arial"/>
                <w:sz w:val="14"/>
                <w:szCs w:val="14"/>
                <w:color w:val="auto"/>
              </w:rPr>
              <w:t>Redemption of Operating Partnership units held by noncontrolling interests</w:t>
            </w:r>
          </w:p>
        </w:tc>
        <w:tc>
          <w:tcPr>
            <w:tcW w:w="440" w:type="dxa"/>
            <w:vAlign w:val="bottom"/>
          </w:tcPr>
          <w:p>
            <w:pPr>
              <w:spacing w:after="0"/>
              <w:rPr>
                <w:sz w:val="16"/>
                <w:szCs w:val="16"/>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(506)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(4,794)</w:t>
            </w:r>
          </w:p>
        </w:tc>
        <w:tc>
          <w:tcPr>
            <w:tcW w:w="0" w:type="dxa"/>
            <w:vAlign w:val="bottom"/>
          </w:tcPr>
          <w:p>
            <w:pPr>
              <w:spacing w:after="0"/>
              <w:rPr>
                <w:sz w:val="1"/>
                <w:szCs w:val="1"/>
                <w:color w:val="auto"/>
              </w:rPr>
            </w:pPr>
          </w:p>
        </w:tc>
      </w:tr>
      <w:tr>
        <w:trPr>
          <w:trHeight w:val="73"/>
        </w:trPr>
        <w:tc>
          <w:tcPr>
            <w:tcW w:w="6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Dividends paid on common stock</w:t>
            </w: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(367,818)</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(269,302)</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(210,091)</w:t>
            </w:r>
          </w:p>
        </w:tc>
        <w:tc>
          <w:tcPr>
            <w:tcW w:w="0" w:type="dxa"/>
            <w:vAlign w:val="bottom"/>
          </w:tcPr>
          <w:p>
            <w:pPr>
              <w:spacing w:after="0"/>
              <w:rPr>
                <w:sz w:val="1"/>
                <w:szCs w:val="1"/>
                <w:color w:val="auto"/>
              </w:rPr>
            </w:pPr>
          </w:p>
        </w:tc>
      </w:tr>
      <w:tr>
        <w:trPr>
          <w:trHeight w:val="190"/>
        </w:trPr>
        <w:tc>
          <w:tcPr>
            <w:tcW w:w="6720" w:type="dxa"/>
            <w:vAlign w:val="bottom"/>
          </w:tcPr>
          <w:p>
            <w:pPr>
              <w:ind w:left="380"/>
              <w:spacing w:after="0"/>
              <w:rPr>
                <w:sz w:val="20"/>
                <w:szCs w:val="20"/>
                <w:color w:val="auto"/>
              </w:rPr>
            </w:pPr>
            <w:r>
              <w:rPr>
                <w:rFonts w:ascii="Arial" w:cs="Arial" w:eastAsia="Arial" w:hAnsi="Arial"/>
                <w:sz w:val="14"/>
                <w:szCs w:val="14"/>
                <w:color w:val="auto"/>
              </w:rPr>
              <w:t>Distributions to noncontrolling interests</w:t>
            </w:r>
          </w:p>
        </w:tc>
        <w:tc>
          <w:tcPr>
            <w:tcW w:w="440" w:type="dxa"/>
            <w:vAlign w:val="bottom"/>
          </w:tcPr>
          <w:p>
            <w:pPr>
              <w:spacing w:after="0"/>
              <w:rPr>
                <w:sz w:val="16"/>
                <w:szCs w:val="16"/>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(30,997)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(24,503)</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(19,134)</w:t>
            </w:r>
          </w:p>
        </w:tc>
        <w:tc>
          <w:tcPr>
            <w:tcW w:w="0" w:type="dxa"/>
            <w:vAlign w:val="bottom"/>
          </w:tcPr>
          <w:p>
            <w:pPr>
              <w:spacing w:after="0"/>
              <w:rPr>
                <w:sz w:val="1"/>
                <w:szCs w:val="1"/>
                <w:color w:val="auto"/>
              </w:rPr>
            </w:pPr>
          </w:p>
        </w:tc>
      </w:tr>
      <w:tr>
        <w:trPr>
          <w:trHeight w:val="73"/>
        </w:trPr>
        <w:tc>
          <w:tcPr>
            <w:tcW w:w="67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6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4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460,831</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1,286,471</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148,307</w:t>
            </w:r>
          </w:p>
        </w:tc>
        <w:tc>
          <w:tcPr>
            <w:tcW w:w="0" w:type="dxa"/>
            <w:vAlign w:val="bottom"/>
          </w:tcPr>
          <w:p>
            <w:pPr>
              <w:spacing w:after="0"/>
              <w:rPr>
                <w:sz w:val="1"/>
                <w:szCs w:val="1"/>
                <w:color w:val="auto"/>
              </w:rPr>
            </w:pPr>
          </w:p>
        </w:tc>
      </w:tr>
      <w:tr>
        <w:trPr>
          <w:trHeight w:val="79"/>
        </w:trPr>
        <w:tc>
          <w:tcPr>
            <w:tcW w:w="672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6720" w:type="dxa"/>
            <w:vAlign w:val="bottom"/>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440" w:type="dxa"/>
            <w:vAlign w:val="bottom"/>
          </w:tcPr>
          <w:p>
            <w:pPr>
              <w:spacing w:after="0"/>
              <w:rPr>
                <w:sz w:val="14"/>
                <w:szCs w:val="14"/>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(31,941)</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28,136</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(79,060)</w:t>
            </w:r>
          </w:p>
        </w:tc>
        <w:tc>
          <w:tcPr>
            <w:tcW w:w="0" w:type="dxa"/>
            <w:vAlign w:val="bottom"/>
          </w:tcPr>
          <w:p>
            <w:pPr>
              <w:spacing w:after="0"/>
              <w:rPr>
                <w:sz w:val="1"/>
                <w:szCs w:val="1"/>
                <w:color w:val="auto"/>
              </w:rPr>
            </w:pPr>
          </w:p>
        </w:tc>
      </w:tr>
      <w:tr>
        <w:trPr>
          <w:trHeight w:val="73"/>
        </w:trPr>
        <w:tc>
          <w:tcPr>
            <w:tcW w:w="6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the period</w:t>
            </w:r>
          </w:p>
        </w:tc>
        <w:tc>
          <w:tcPr>
            <w:tcW w:w="44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75,799</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47,663</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126,723</w:t>
            </w:r>
          </w:p>
        </w:tc>
        <w:tc>
          <w:tcPr>
            <w:tcW w:w="0" w:type="dxa"/>
            <w:vAlign w:val="bottom"/>
          </w:tcPr>
          <w:p>
            <w:pPr>
              <w:spacing w:after="0"/>
              <w:rPr>
                <w:sz w:val="1"/>
                <w:szCs w:val="1"/>
                <w:color w:val="auto"/>
              </w:rPr>
            </w:pPr>
          </w:p>
        </w:tc>
      </w:tr>
      <w:tr>
        <w:trPr>
          <w:trHeight w:val="79"/>
        </w:trPr>
        <w:tc>
          <w:tcPr>
            <w:tcW w:w="672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6720" w:type="dxa"/>
            <w:vAlign w:val="bottom"/>
          </w:tcPr>
          <w:p>
            <w:pPr>
              <w:ind w:left="40"/>
              <w:spacing w:after="0"/>
              <w:rPr>
                <w:sz w:val="20"/>
                <w:szCs w:val="20"/>
                <w:color w:val="auto"/>
              </w:rPr>
            </w:pPr>
            <w:r>
              <w:rPr>
                <w:rFonts w:ascii="Arial" w:cs="Arial" w:eastAsia="Arial" w:hAnsi="Arial"/>
                <w:sz w:val="14"/>
                <w:szCs w:val="14"/>
                <w:b w:val="1"/>
                <w:bCs w:val="1"/>
                <w:color w:val="auto"/>
              </w:rPr>
              <w:t>Cash and cash equivalents, end of the period</w:t>
            </w: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43,858</w:t>
            </w:r>
          </w:p>
        </w:tc>
        <w:tc>
          <w:tcPr>
            <w:tcW w:w="120" w:type="dxa"/>
            <w:vAlign w:val="bottom"/>
          </w:tcPr>
          <w:p>
            <w:pPr>
              <w:spacing w:after="0"/>
              <w:rPr>
                <w:sz w:val="14"/>
                <w:szCs w:val="14"/>
                <w:color w:val="auto"/>
              </w:rPr>
            </w:pP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75,799</w:t>
            </w:r>
          </w:p>
        </w:tc>
        <w:tc>
          <w:tcPr>
            <w:tcW w:w="120" w:type="dxa"/>
            <w:vAlign w:val="bottom"/>
          </w:tcPr>
          <w:p>
            <w:pPr>
              <w:spacing w:after="0"/>
              <w:rPr>
                <w:sz w:val="14"/>
                <w:szCs w:val="14"/>
                <w:color w:val="auto"/>
              </w:rPr>
            </w:pPr>
          </w:p>
        </w:tc>
        <w:tc>
          <w:tcPr>
            <w:tcW w:w="4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47,663</w:t>
            </w:r>
          </w:p>
        </w:tc>
        <w:tc>
          <w:tcPr>
            <w:tcW w:w="0" w:type="dxa"/>
            <w:vAlign w:val="bottom"/>
          </w:tcPr>
          <w:p>
            <w:pPr>
              <w:spacing w:after="0"/>
              <w:rPr>
                <w:sz w:val="1"/>
                <w:szCs w:val="1"/>
                <w:color w:val="auto"/>
              </w:rPr>
            </w:pPr>
          </w:p>
        </w:tc>
      </w:tr>
      <w:tr>
        <w:trPr>
          <w:trHeight w:val="100"/>
        </w:trPr>
        <w:tc>
          <w:tcPr>
            <w:tcW w:w="6720" w:type="dxa"/>
            <w:vAlign w:val="bottom"/>
            <w:tcBorders>
              <w:bottom w:val="single" w:sz="8" w:color="CCEEFF"/>
            </w:tcBorders>
          </w:tcPr>
          <w:p>
            <w:pPr>
              <w:spacing w:after="0"/>
              <w:rPr>
                <w:sz w:val="8"/>
                <w:szCs w:val="8"/>
                <w:color w:val="auto"/>
              </w:rPr>
            </w:pPr>
          </w:p>
        </w:tc>
        <w:tc>
          <w:tcPr>
            <w:tcW w:w="440" w:type="dxa"/>
            <w:vAlign w:val="bottom"/>
            <w:tcBorders>
              <w:bottom w:val="single" w:sz="8" w:color="auto"/>
            </w:tcBorders>
            <w:vMerge w:val="continue"/>
          </w:tcPr>
          <w:p>
            <w:pPr>
              <w:spacing w:after="0"/>
              <w:rPr>
                <w:sz w:val="8"/>
                <w:szCs w:val="8"/>
                <w:color w:val="auto"/>
              </w:rPr>
            </w:pPr>
          </w:p>
        </w:tc>
        <w:tc>
          <w:tcPr>
            <w:tcW w:w="106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40" w:type="dxa"/>
            <w:vAlign w:val="bottom"/>
            <w:tcBorders>
              <w:bottom w:val="single" w:sz="8" w:color="auto"/>
            </w:tcBorders>
            <w:vMerge w:val="continue"/>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60" w:type="dxa"/>
            <w:vAlign w:val="bottom"/>
            <w:tcBorders>
              <w:bottom w:val="single" w:sz="8" w:color="auto"/>
            </w:tcBorders>
            <w:vMerge w:val="continue"/>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672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b w:val="1"/>
                <w:bCs w:val="1"/>
                <w:color w:val="auto"/>
              </w:rPr>
              <w:t>Supplemental schedule of cash flow information</w:t>
            </w:r>
          </w:p>
        </w:tc>
        <w:tc>
          <w:tcPr>
            <w:tcW w:w="4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67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6720" w:type="dxa"/>
            <w:vAlign w:val="bottom"/>
          </w:tcPr>
          <w:p>
            <w:pPr>
              <w:ind w:left="40"/>
              <w:spacing w:after="0"/>
              <w:rPr>
                <w:sz w:val="20"/>
                <w:szCs w:val="20"/>
                <w:color w:val="auto"/>
              </w:rPr>
            </w:pPr>
            <w:r>
              <w:rPr>
                <w:rFonts w:ascii="Arial" w:cs="Arial" w:eastAsia="Arial" w:hAnsi="Arial"/>
                <w:sz w:val="14"/>
                <w:szCs w:val="14"/>
                <w:color w:val="auto"/>
              </w:rPr>
              <w:t>Interest paid</w:t>
            </w:r>
          </w:p>
        </w:tc>
        <w:tc>
          <w:tcPr>
            <w:tcW w:w="44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122,265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89,507</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75,218</w:t>
            </w:r>
          </w:p>
        </w:tc>
        <w:tc>
          <w:tcPr>
            <w:tcW w:w="0" w:type="dxa"/>
            <w:vAlign w:val="bottom"/>
          </w:tcPr>
          <w:p>
            <w:pPr>
              <w:spacing w:after="0"/>
              <w:rPr>
                <w:sz w:val="1"/>
                <w:szCs w:val="1"/>
                <w:color w:val="auto"/>
              </w:rPr>
            </w:pPr>
          </w:p>
        </w:tc>
      </w:tr>
      <w:tr>
        <w:trPr>
          <w:trHeight w:val="73"/>
        </w:trPr>
        <w:tc>
          <w:tcPr>
            <w:tcW w:w="6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taxes paid</w:t>
            </w:r>
          </w:p>
        </w:tc>
        <w:tc>
          <w:tcPr>
            <w:tcW w:w="44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14,864</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1,782</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3,418</w:t>
            </w:r>
          </w:p>
        </w:tc>
        <w:tc>
          <w:tcPr>
            <w:tcW w:w="0" w:type="dxa"/>
            <w:vAlign w:val="bottom"/>
          </w:tcPr>
          <w:p>
            <w:pPr>
              <w:spacing w:after="0"/>
              <w:rPr>
                <w:sz w:val="1"/>
                <w:szCs w:val="1"/>
                <w:color w:val="auto"/>
              </w:rPr>
            </w:pPr>
          </w:p>
        </w:tc>
      </w:tr>
      <w:tr>
        <w:trPr>
          <w:trHeight w:val="79"/>
        </w:trPr>
        <w:tc>
          <w:tcPr>
            <w:tcW w:w="67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Supplemental schedule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Redemption of Operating Partnership units held by noncontrolling interests for common stock</w:t>
      </w:r>
    </w:p>
    <w:p>
      <w:pPr>
        <w:sectPr>
          <w:pgSz w:w="11900" w:h="16838" w:orient="portrait"/>
          <w:cols w:equalWidth="0" w:num="1">
            <w:col w:w="11400"/>
          </w:cols>
          <w:pgMar w:left="240" w:top="796" w:right="259" w:bottom="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181"/>
        </w:trPr>
        <w:tc>
          <w:tcPr>
            <w:tcW w:w="5400" w:type="dxa"/>
            <w:vAlign w:val="bottom"/>
          </w:tcPr>
          <w:p>
            <w:pPr>
              <w:ind w:left="380"/>
              <w:spacing w:after="0"/>
              <w:rPr>
                <w:sz w:val="20"/>
                <w:szCs w:val="20"/>
                <w:color w:val="auto"/>
              </w:rPr>
            </w:pPr>
            <w:r>
              <w:rPr>
                <w:rFonts w:ascii="Arial" w:cs="Arial" w:eastAsia="Arial" w:hAnsi="Arial"/>
                <w:sz w:val="14"/>
                <w:szCs w:val="14"/>
                <w:color w:val="auto"/>
              </w:rPr>
              <w:t>Noncontrolling interests in Operating Partnership</w:t>
            </w:r>
          </w:p>
        </w:tc>
        <w:tc>
          <w:tcPr>
            <w:tcW w:w="18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(577)</w:t>
            </w:r>
          </w:p>
        </w:tc>
        <w:tc>
          <w:tcPr>
            <w:tcW w:w="5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(28,106)</w:t>
            </w:r>
          </w:p>
        </w:tc>
        <w:tc>
          <w:tcPr>
            <w:tcW w:w="5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(10,638)</w:t>
            </w:r>
          </w:p>
        </w:tc>
        <w:tc>
          <w:tcPr>
            <w:tcW w:w="0" w:type="dxa"/>
            <w:vAlign w:val="bottom"/>
          </w:tcPr>
          <w:p>
            <w:pPr>
              <w:spacing w:after="0"/>
              <w:rPr>
                <w:sz w:val="1"/>
                <w:szCs w:val="1"/>
                <w:color w:val="auto"/>
              </w:rPr>
            </w:pPr>
          </w:p>
        </w:tc>
      </w:tr>
      <w:tr>
        <w:trPr>
          <w:trHeight w:val="79"/>
        </w:trPr>
        <w:tc>
          <w:tcPr>
            <w:tcW w:w="54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Common stock and paid-in capital</w:t>
            </w:r>
          </w:p>
        </w:tc>
        <w:tc>
          <w:tcPr>
            <w:tcW w:w="18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577</w:t>
            </w:r>
          </w:p>
        </w:tc>
        <w:tc>
          <w:tcPr>
            <w:tcW w:w="56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28,106</w:t>
            </w:r>
          </w:p>
        </w:tc>
        <w:tc>
          <w:tcPr>
            <w:tcW w:w="58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10,638</w:t>
            </w:r>
          </w:p>
        </w:tc>
        <w:tc>
          <w:tcPr>
            <w:tcW w:w="0" w:type="dxa"/>
            <w:vAlign w:val="bottom"/>
          </w:tcPr>
          <w:p>
            <w:pPr>
              <w:spacing w:after="0"/>
              <w:rPr>
                <w:sz w:val="1"/>
                <w:szCs w:val="1"/>
                <w:color w:val="auto"/>
              </w:rPr>
            </w:pPr>
          </w:p>
        </w:tc>
      </w:tr>
      <w:tr>
        <w:trPr>
          <w:trHeight w:val="79"/>
        </w:trPr>
        <w:tc>
          <w:tcPr>
            <w:tcW w:w="540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400" w:type="dxa"/>
            <w:vAlign w:val="bottom"/>
          </w:tcPr>
          <w:p>
            <w:pPr>
              <w:ind w:left="40"/>
              <w:spacing w:after="0"/>
              <w:rPr>
                <w:sz w:val="20"/>
                <w:szCs w:val="20"/>
                <w:color w:val="auto"/>
              </w:rPr>
            </w:pPr>
            <w:r>
              <w:rPr>
                <w:rFonts w:ascii="Arial" w:cs="Arial" w:eastAsia="Arial" w:hAnsi="Arial"/>
                <w:sz w:val="14"/>
                <w:szCs w:val="14"/>
                <w:color w:val="auto"/>
              </w:rPr>
              <w:t>Tax effect from vesting of restricted stock grants and option exercises</w:t>
            </w:r>
          </w:p>
        </w:tc>
        <w:tc>
          <w:tcPr>
            <w:tcW w:w="1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54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assets</w:t>
            </w:r>
          </w:p>
        </w:tc>
        <w:tc>
          <w:tcPr>
            <w:tcW w:w="1840" w:type="dxa"/>
            <w:vAlign w:val="bottom"/>
            <w:vMerge w:val="restart"/>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2,404</w:t>
            </w:r>
          </w:p>
        </w:tc>
        <w:tc>
          <w:tcPr>
            <w:tcW w:w="560" w:type="dxa"/>
            <w:vAlign w:val="bottom"/>
            <w:vMerge w:val="restart"/>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1,727</w:t>
            </w:r>
          </w:p>
        </w:tc>
        <w:tc>
          <w:tcPr>
            <w:tcW w:w="580" w:type="dxa"/>
            <w:vAlign w:val="bottom"/>
            <w:vMerge w:val="restart"/>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3,613</w:t>
            </w:r>
          </w:p>
        </w:tc>
        <w:tc>
          <w:tcPr>
            <w:tcW w:w="0" w:type="dxa"/>
            <w:vAlign w:val="bottom"/>
          </w:tcPr>
          <w:p>
            <w:pPr>
              <w:spacing w:after="0"/>
              <w:rPr>
                <w:sz w:val="1"/>
                <w:szCs w:val="1"/>
                <w:color w:val="auto"/>
              </w:rPr>
            </w:pPr>
          </w:p>
        </w:tc>
      </w:tr>
      <w:tr>
        <w:trPr>
          <w:trHeight w:val="79"/>
        </w:trPr>
        <w:tc>
          <w:tcPr>
            <w:tcW w:w="5400" w:type="dxa"/>
            <w:vAlign w:val="bottom"/>
            <w:shd w:val="clear" w:color="auto" w:fill="CCEEFF"/>
          </w:tcPr>
          <w:p>
            <w:pPr>
              <w:spacing w:after="0"/>
              <w:rPr>
                <w:sz w:val="6"/>
                <w:szCs w:val="6"/>
                <w:color w:val="auto"/>
              </w:rPr>
            </w:pPr>
          </w:p>
        </w:tc>
        <w:tc>
          <w:tcPr>
            <w:tcW w:w="184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400" w:type="dxa"/>
            <w:vAlign w:val="bottom"/>
          </w:tcPr>
          <w:p>
            <w:pPr>
              <w:ind w:left="380"/>
              <w:spacing w:after="0"/>
              <w:rPr>
                <w:sz w:val="20"/>
                <w:szCs w:val="20"/>
                <w:color w:val="auto"/>
              </w:rPr>
            </w:pPr>
            <w:r>
              <w:rPr>
                <w:rFonts w:ascii="Arial" w:cs="Arial" w:eastAsia="Arial" w:hAnsi="Arial"/>
                <w:sz w:val="14"/>
                <w:szCs w:val="14"/>
                <w:color w:val="auto"/>
              </w:rPr>
              <w:t>Additional paid-in capital</w:t>
            </w:r>
          </w:p>
        </w:tc>
        <w:tc>
          <w:tcPr>
            <w:tcW w:w="184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(2,404)</w:t>
            </w:r>
          </w:p>
        </w:tc>
        <w:tc>
          <w:tcPr>
            <w:tcW w:w="56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(1,727)</w:t>
            </w:r>
          </w:p>
        </w:tc>
        <w:tc>
          <w:tcPr>
            <w:tcW w:w="5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(3,613)</w:t>
            </w:r>
          </w:p>
        </w:tc>
        <w:tc>
          <w:tcPr>
            <w:tcW w:w="0" w:type="dxa"/>
            <w:vAlign w:val="bottom"/>
          </w:tcPr>
          <w:p>
            <w:pPr>
              <w:spacing w:after="0"/>
              <w:rPr>
                <w:sz w:val="1"/>
                <w:szCs w:val="1"/>
                <w:color w:val="auto"/>
              </w:rPr>
            </w:pPr>
          </w:p>
        </w:tc>
      </w:tr>
      <w:tr>
        <w:trPr>
          <w:trHeight w:val="73"/>
        </w:trPr>
        <w:tc>
          <w:tcPr>
            <w:tcW w:w="54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Acquisitions of real estate assets</w:t>
            </w:r>
          </w:p>
        </w:tc>
        <w:tc>
          <w:tcPr>
            <w:tcW w:w="18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540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400" w:type="dxa"/>
            <w:vAlign w:val="bottom"/>
          </w:tcPr>
          <w:p>
            <w:pPr>
              <w:ind w:left="380"/>
              <w:spacing w:after="0"/>
              <w:rPr>
                <w:sz w:val="20"/>
                <w:szCs w:val="20"/>
                <w:color w:val="auto"/>
              </w:rPr>
            </w:pPr>
            <w:r>
              <w:rPr>
                <w:rFonts w:ascii="Arial" w:cs="Arial" w:eastAsia="Arial" w:hAnsi="Arial"/>
                <w:sz w:val="14"/>
                <w:szCs w:val="14"/>
                <w:color w:val="auto"/>
              </w:rPr>
              <w:t>Real estate assets, net</w:t>
            </w:r>
          </w:p>
        </w:tc>
        <w:tc>
          <w:tcPr>
            <w:tcW w:w="1840" w:type="dxa"/>
            <w:vAlign w:val="bottom"/>
            <w:vMerge w:val="restart"/>
          </w:tcPr>
          <w:p>
            <w:pPr>
              <w:jc w:val="right"/>
              <w:ind w:right="34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88"/>
              <w:spacing w:after="0"/>
              <w:rPr>
                <w:sz w:val="20"/>
                <w:szCs w:val="20"/>
                <w:color w:val="auto"/>
              </w:rPr>
            </w:pPr>
            <w:r>
              <w:rPr>
                <w:rFonts w:ascii="Arial" w:cs="Arial" w:eastAsia="Arial" w:hAnsi="Arial"/>
                <w:sz w:val="14"/>
                <w:szCs w:val="14"/>
                <w:color w:val="auto"/>
              </w:rPr>
              <w:t>84,163</w:t>
            </w:r>
          </w:p>
        </w:tc>
        <w:tc>
          <w:tcPr>
            <w:tcW w:w="56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68"/>
              <w:spacing w:after="0"/>
              <w:rPr>
                <w:sz w:val="20"/>
                <w:szCs w:val="20"/>
                <w:color w:val="auto"/>
              </w:rPr>
            </w:pPr>
            <w:r>
              <w:rPr>
                <w:rFonts w:ascii="Arial" w:cs="Arial" w:eastAsia="Arial" w:hAnsi="Arial"/>
                <w:sz w:val="14"/>
                <w:szCs w:val="14"/>
                <w:color w:val="auto"/>
              </w:rPr>
              <w:t>158,009</w:t>
            </w:r>
          </w:p>
        </w:tc>
        <w:tc>
          <w:tcPr>
            <w:tcW w:w="580" w:type="dxa"/>
            <w:vAlign w:val="bottom"/>
            <w:vMerge w:val="restart"/>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77,158</w:t>
            </w:r>
          </w:p>
        </w:tc>
        <w:tc>
          <w:tcPr>
            <w:tcW w:w="0" w:type="dxa"/>
            <w:vAlign w:val="bottom"/>
          </w:tcPr>
          <w:p>
            <w:pPr>
              <w:spacing w:after="0"/>
              <w:rPr>
                <w:sz w:val="1"/>
                <w:szCs w:val="1"/>
                <w:color w:val="auto"/>
              </w:rPr>
            </w:pPr>
          </w:p>
        </w:tc>
      </w:tr>
      <w:tr>
        <w:trPr>
          <w:trHeight w:val="73"/>
        </w:trPr>
        <w:tc>
          <w:tcPr>
            <w:tcW w:w="54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Value of Operating Partnership units issued</w:t>
            </w:r>
          </w:p>
        </w:tc>
        <w:tc>
          <w:tcPr>
            <w:tcW w:w="18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(74,440)</w:t>
            </w:r>
          </w:p>
        </w:tc>
        <w:tc>
          <w:tcPr>
            <w:tcW w:w="56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(142,399)</w:t>
            </w:r>
          </w:p>
        </w:tc>
        <w:tc>
          <w:tcPr>
            <w:tcW w:w="5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(38,811)</w:t>
            </w:r>
          </w:p>
        </w:tc>
        <w:tc>
          <w:tcPr>
            <w:tcW w:w="0" w:type="dxa"/>
            <w:vAlign w:val="bottom"/>
          </w:tcPr>
          <w:p>
            <w:pPr>
              <w:spacing w:after="0"/>
              <w:rPr>
                <w:sz w:val="1"/>
                <w:szCs w:val="1"/>
                <w:color w:val="auto"/>
              </w:rPr>
            </w:pPr>
          </w:p>
        </w:tc>
      </w:tr>
      <w:tr>
        <w:trPr>
          <w:trHeight w:val="79"/>
        </w:trPr>
        <w:tc>
          <w:tcPr>
            <w:tcW w:w="540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400" w:type="dxa"/>
            <w:vAlign w:val="bottom"/>
          </w:tcPr>
          <w:p>
            <w:pPr>
              <w:ind w:left="380"/>
              <w:spacing w:after="0"/>
              <w:rPr>
                <w:sz w:val="20"/>
                <w:szCs w:val="20"/>
                <w:color w:val="auto"/>
              </w:rPr>
            </w:pPr>
            <w:r>
              <w:rPr>
                <w:rFonts w:ascii="Arial" w:cs="Arial" w:eastAsia="Arial" w:hAnsi="Arial"/>
                <w:sz w:val="14"/>
                <w:szCs w:val="14"/>
                <w:color w:val="auto"/>
              </w:rPr>
              <w:t>Notes payable assumed</w:t>
            </w:r>
          </w:p>
        </w:tc>
        <w:tc>
          <w:tcPr>
            <w:tcW w:w="184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(9,723)</w:t>
            </w:r>
          </w:p>
        </w:tc>
        <w:tc>
          <w:tcPr>
            <w:tcW w:w="560" w:type="dxa"/>
            <w:vAlign w:val="bottom"/>
          </w:tcPr>
          <w:p>
            <w:pPr>
              <w:spacing w:after="0"/>
              <w:rPr>
                <w:sz w:val="16"/>
                <w:szCs w:val="16"/>
                <w:color w:val="auto"/>
              </w:rPr>
            </w:pPr>
          </w:p>
        </w:tc>
        <w:tc>
          <w:tcPr>
            <w:tcW w:w="10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(38,347)</w:t>
            </w:r>
          </w:p>
        </w:tc>
        <w:tc>
          <w:tcPr>
            <w:tcW w:w="0" w:type="dxa"/>
            <w:vAlign w:val="bottom"/>
          </w:tcPr>
          <w:p>
            <w:pPr>
              <w:spacing w:after="0"/>
              <w:rPr>
                <w:sz w:val="1"/>
                <w:szCs w:val="1"/>
                <w:color w:val="auto"/>
              </w:rPr>
            </w:pPr>
          </w:p>
        </w:tc>
      </w:tr>
      <w:tr>
        <w:trPr>
          <w:trHeight w:val="67"/>
        </w:trPr>
        <w:tc>
          <w:tcPr>
            <w:tcW w:w="54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2" w:right="259" w:bottom="1440" w:gutter="0" w:footer="0" w:header="0"/>
        </w:sectPr>
      </w:pPr>
    </w:p>
    <w:bookmarkStart w:id="53" w:name="page54"/>
    <w:bookmarkEnd w:id="53"/>
    <w:p>
      <w:pPr>
        <w:ind w:left="3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602615</wp:posOffset>
            </wp:positionV>
            <wp:extent cx="722947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t>Receivables from related parties and affiliated real estate joint ventures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Accrued construction costs and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2947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Acquisition of real estate assets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Development and redevelopment of real estate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2947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 liabilities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Distribution of real estate from investments in unconsolidated real estate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2947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Real estate assets, net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Investments in unconsolidated real estate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2947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Disposition of real estate assets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Real estate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2947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Operating Partnership units redeemed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Acquisition of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2947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Operating Partnership units issued</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2947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Additional paid-in capital</w:t>
      </w:r>
    </w:p>
    <w:p>
      <w:pPr>
        <w:spacing w:after="0" w:line="86" w:lineRule="exact"/>
        <w:rPr>
          <w:sz w:val="20"/>
          <w:szCs w:val="20"/>
          <w:color w:val="auto"/>
        </w:rPr>
      </w:pPr>
    </w:p>
    <w:p>
      <w:pPr>
        <w:jc w:val="center"/>
        <w:ind w:left="4760"/>
        <w:spacing w:after="0"/>
        <w:rPr>
          <w:sz w:val="20"/>
          <w:szCs w:val="20"/>
          <w:color w:val="auto"/>
        </w:rPr>
      </w:pPr>
      <w:r>
        <w:rPr>
          <w:rFonts w:ascii="Arial" w:cs="Arial" w:eastAsia="Arial" w:hAnsi="Arial"/>
          <w:sz w:val="15"/>
          <w:szCs w:val="15"/>
          <w:color w:val="auto"/>
        </w:rPr>
        <w:t>See accompanying notes.</w:t>
      </w:r>
    </w:p>
    <w:p>
      <w:pPr>
        <w:spacing w:after="0" w:line="28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8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(15,610)</w:t>
            </w:r>
          </w:p>
        </w:tc>
        <w:tc>
          <w:tcPr>
            <w:tcW w:w="6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540"/>
        </w:trPr>
        <w:tc>
          <w:tcPr>
            <w:tcW w:w="480" w:type="dxa"/>
            <w:vAlign w:val="bottom"/>
          </w:tcPr>
          <w:p>
            <w:pPr>
              <w:jc w:val="right"/>
              <w:ind w:right="36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8,497</w:t>
            </w:r>
          </w:p>
        </w:tc>
        <w:tc>
          <w:tcPr>
            <w:tcW w:w="60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2,332</w:t>
            </w:r>
          </w:p>
        </w:tc>
        <w:tc>
          <w:tcPr>
            <w:tcW w:w="6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2,799</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125</w:t>
            </w:r>
          </w:p>
        </w:tc>
        <w:tc>
          <w:tcPr>
            <w:tcW w:w="60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(8,622)</w:t>
            </w:r>
          </w:p>
        </w:tc>
        <w:tc>
          <w:tcPr>
            <w:tcW w:w="6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(2,332)</w:t>
            </w:r>
          </w:p>
        </w:tc>
        <w:tc>
          <w:tcPr>
            <w:tcW w:w="6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(2,799)</w:t>
            </w:r>
          </w:p>
        </w:tc>
      </w:tr>
      <w:tr>
        <w:trPr>
          <w:trHeight w:val="540"/>
        </w:trPr>
        <w:tc>
          <w:tcPr>
            <w:tcW w:w="480" w:type="dxa"/>
            <w:vAlign w:val="bottom"/>
          </w:tcPr>
          <w:p>
            <w:pPr>
              <w:jc w:val="right"/>
              <w:ind w:right="36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25,055</w:t>
            </w:r>
          </w:p>
        </w:tc>
        <w:tc>
          <w:tcPr>
            <w:tcW w:w="60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(25,055)</w:t>
            </w:r>
          </w:p>
        </w:tc>
        <w:tc>
          <w:tcPr>
            <w:tcW w:w="60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540"/>
        </w:trPr>
        <w:tc>
          <w:tcPr>
            <w:tcW w:w="480" w:type="dxa"/>
            <w:vAlign w:val="bottom"/>
          </w:tcPr>
          <w:p>
            <w:pPr>
              <w:jc w:val="right"/>
              <w:ind w:right="36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(7,689)</w:t>
            </w:r>
          </w:p>
        </w:tc>
        <w:tc>
          <w:tcPr>
            <w:tcW w:w="60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7,689</w:t>
            </w:r>
          </w:p>
        </w:tc>
        <w:tc>
          <w:tcPr>
            <w:tcW w:w="60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540"/>
        </w:trPr>
        <w:tc>
          <w:tcPr>
            <w:tcW w:w="480" w:type="dxa"/>
            <w:vAlign w:val="bottom"/>
          </w:tcPr>
          <w:p>
            <w:pPr>
              <w:jc w:val="right"/>
              <w:ind w:right="36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(800)</w:t>
            </w:r>
          </w:p>
        </w:tc>
        <w:tc>
          <w:tcPr>
            <w:tcW w:w="60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162</w:t>
            </w:r>
          </w:p>
        </w:tc>
        <w:tc>
          <w:tcPr>
            <w:tcW w:w="60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638</w:t>
            </w:r>
          </w:p>
        </w:tc>
        <w:tc>
          <w:tcPr>
            <w:tcW w:w="60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bl>
    <w:p>
      <w:pPr>
        <w:sectPr>
          <w:pgSz w:w="11900" w:h="16838" w:orient="portrait"/>
          <w:cols w:equalWidth="0" w:num="2">
            <w:col w:w="6580" w:space="140"/>
            <w:col w:w="4580"/>
          </w:cols>
          <w:pgMar w:left="280" w:top="957" w:right="31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Extra Space Storage Inc. (the “Company”) is a fully integrated, self-administered and self-managed real estate investment trust (“REIT”), formed as a Maryland Corporation on April 30, 2004, to own, operate, manage, acquire, develop and redevelop professionally managed self-storage properties located throughout the United States. The Company continues the business of Extra Space Storage LLC and its subsidiaries, which had engaged in the self-storage business since 1977. The Company’s interest in its stores is held through its operating partnership, Extra Space Storage LP (the “Operating Partnership”), which was formed on May 5, 2004. The Company’s primary assets are general partner and limited partner interests in the Operating Partnership. This structure is commonly referred to as an umbrella partnership REIT, or UPREIT. The Company has elected to be taxed as a REIT under the Internal Revenue Code of 1986, as amended (the “Internal Revenue Code”). To the extent the Company continues to qualify as a REIT, it will not be subject to tax, with certain limited exceptions, on the taxable income that is distributed to its stockholders.</w:t>
      </w:r>
    </w:p>
    <w:p>
      <w:pPr>
        <w:spacing w:after="0" w:line="177" w:lineRule="exact"/>
        <w:rPr>
          <w:sz w:val="20"/>
          <w:szCs w:val="20"/>
          <w:color w:val="auto"/>
        </w:rPr>
      </w:pPr>
    </w:p>
    <w:p>
      <w:pPr>
        <w:jc w:val="both"/>
        <w:ind w:right="180" w:firstLine="432"/>
        <w:spacing w:after="0" w:line="286" w:lineRule="auto"/>
        <w:rPr>
          <w:sz w:val="20"/>
          <w:szCs w:val="20"/>
          <w:color w:val="auto"/>
        </w:rPr>
      </w:pPr>
      <w:r>
        <w:rPr>
          <w:rFonts w:ascii="Arial" w:cs="Arial" w:eastAsia="Arial" w:hAnsi="Arial"/>
          <w:sz w:val="17"/>
          <w:szCs w:val="17"/>
          <w:color w:val="auto"/>
        </w:rPr>
        <w:t>The Company invests in stores by acquiring wholly-owned stores or by acquiring an equity interest in real estate entities. At December 31, 2016, the Company had direct and indirect equity interests in 1,016 storage facilities. In addition, the Company managed 411 stores for third parties bringing the total number of stores which it owns and/or manages to 1,427. These stores are located in 38 states, Washington, D.C. and Puerto Rico.</w:t>
      </w:r>
    </w:p>
    <w:p>
      <w:pPr>
        <w:spacing w:after="0" w:line="165" w:lineRule="exact"/>
        <w:rPr>
          <w:sz w:val="20"/>
          <w:szCs w:val="20"/>
          <w:color w:val="auto"/>
        </w:rPr>
      </w:pPr>
    </w:p>
    <w:p>
      <w:pPr>
        <w:ind w:right="60" w:firstLine="432"/>
        <w:spacing w:after="0" w:line="301" w:lineRule="auto"/>
        <w:rPr>
          <w:sz w:val="20"/>
          <w:szCs w:val="20"/>
          <w:color w:val="auto"/>
        </w:rPr>
      </w:pPr>
      <w:r>
        <w:rPr>
          <w:rFonts w:ascii="Arial" w:cs="Arial" w:eastAsia="Arial" w:hAnsi="Arial"/>
          <w:sz w:val="16"/>
          <w:szCs w:val="16"/>
          <w:color w:val="auto"/>
        </w:rPr>
        <w:t>The Company operates in three distinct segments: (1) rental operations; (2) tenant reinsurance; and (3) property management, acquisition and development. The rental operations activities include rental operations of stores in which the Company has an ownership interest. No single tenant accounts for more than 5.0% of rental income. Tenant reinsurance activities include the reinsurance of risks relating to the loss of goods stored by tenants in the Company’s stores. The Company’s property management, acquisition and development activities include managing, acquiring, developing and selling stores.</w:t>
      </w:r>
    </w:p>
    <w:p>
      <w:pPr>
        <w:spacing w:after="0" w:line="260" w:lineRule="exact"/>
        <w:rPr>
          <w:sz w:val="20"/>
          <w:szCs w:val="20"/>
          <w:color w:val="auto"/>
        </w:rPr>
      </w:pPr>
    </w:p>
    <w:p>
      <w:pPr>
        <w:ind w:right="6320" w:firstLine="8"/>
        <w:spacing w:after="0" w:line="377" w:lineRule="auto"/>
        <w:tabs>
          <w:tab w:leader="none" w:pos="359"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The consolidated financial statements are presented on the accrual basis of accounting in accordance with U.S. generally accepted accounting principles (“GAAP”) and include the accounts of the Company and its wholly- or majority-owned subsidiaries. All intercompany balances and transactions have been eliminated in consolidation.</w:t>
      </w:r>
    </w:p>
    <w:p>
      <w:pPr>
        <w:spacing w:after="0" w:line="29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Certain prior year amounts have been reclassified to conform to the current year’s presentation. In our Segment Information in Note 19, $2,857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$4,022 of equity in earnings of unconsolidated real estate ventures-gain on sale of real estate assets and purchase of partners’ interests was reclassified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rental operations segment to the property management, acquisition and development segment for the years ended December 31, 2015 and 2014,</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21"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The Company accounts for arrangements that are not controlled through voting or similar rights as variable interest entities (“VIEs”). An enterprise is required to consolidate a VIE if it is the primary beneficiary of the VIE. A VIE is created when (i) the equity investment at risk is not sufficient to permit the entity to finance its activities without additional subordinated financial support from other parties, or (ii) the entity’s equity holders as a group either: (a) lack the power, through voting or similar rights, to direct the activities of the entity that most significantly impact the entity’s economic performance, (b) are not obligated to absorb expected losses of the entity if they occur, or (c) do not have the right to receive expected residual returns of the entity if they occur. If an entity is deemed to be a VIE, the enterprise that is deemed to have a variable interest, or combination of variable interests, that provides the enterprise with a controlling financial interest in the VIE, is considered the primary beneficiary and must consolidate the VIE.</w:t>
      </w:r>
    </w:p>
    <w:p>
      <w:pPr>
        <w:spacing w:after="0" w:line="273"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The Company has concluded that under certain circumstances when the Company enters into arrangements for the formation of joint ventures, a VIE may be created under condition (i), (ii) (b) or (c) of the previous paragraph. For each VIE created, the Company has performed a qualitative analysis, including considering which party, if any, has the power to direct the activities most significant to the economic performance of each VIE and whether that party has the obligation to absorb</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121" w:right="2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5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losses of the VIE or the right to receive benefits from the VIE that could be significant to the VIE. If the Company is determined to be the primary beneficiary of the VIE, the assets, liabilities and operations of the VIE are consolidated with the Company’s financial statements. Additionally, the Operating Partnership has notes payable to three trusts that are VIEs under condition (ii)(a) above. Since the Operating Partnership is not the primary beneficiary of the trusts, these VIEs are not consolidated.</w:t>
      </w:r>
    </w:p>
    <w:p>
      <w:pPr>
        <w:spacing w:after="0" w:line="186" w:lineRule="exact"/>
        <w:rPr>
          <w:sz w:val="20"/>
          <w:szCs w:val="20"/>
          <w:color w:val="auto"/>
        </w:rPr>
      </w:pPr>
    </w:p>
    <w:p>
      <w:pPr>
        <w:ind w:right="180" w:firstLine="432"/>
        <w:spacing w:after="0" w:line="263" w:lineRule="auto"/>
        <w:rPr>
          <w:sz w:val="20"/>
          <w:szCs w:val="20"/>
          <w:color w:val="auto"/>
        </w:rPr>
      </w:pPr>
      <w:r>
        <w:rPr>
          <w:rFonts w:ascii="Arial" w:cs="Arial" w:eastAsia="Arial" w:hAnsi="Arial"/>
          <w:sz w:val="18"/>
          <w:szCs w:val="18"/>
          <w:color w:val="auto"/>
        </w:rPr>
        <w:t>The Company’s investments in real estate joint ventures, where the Company has significant influence, but not control, and joint ventures which are VIEs in which the Company is not the primary beneficiary, are recorded under the equity method of accounting on the accompanying consolidated financial statements.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00" w:firstLine="432"/>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17" w:lineRule="exact"/>
        <w:rPr>
          <w:sz w:val="20"/>
          <w:szCs w:val="20"/>
          <w:color w:val="auto"/>
        </w:rPr>
      </w:pPr>
    </w:p>
    <w:p>
      <w:pPr>
        <w:ind w:right="60" w:firstLine="432"/>
        <w:spacing w:after="0" w:line="296" w:lineRule="auto"/>
        <w:rPr>
          <w:sz w:val="20"/>
          <w:szCs w:val="20"/>
          <w:color w:val="auto"/>
        </w:rPr>
      </w:pPr>
      <w:r>
        <w:rPr>
          <w:rFonts w:ascii="Arial" w:cs="Arial" w:eastAsia="Arial" w:hAnsi="Arial"/>
          <w:sz w:val="16"/>
          <w:szCs w:val="16"/>
          <w:color w:val="auto"/>
        </w:rPr>
        <w:t>Currently, the Company uses interest rate swaps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The fair values of interest rate swaps are determined using the market standard methodology of netting the discounted future fixed cash payments and the discounted expected variable cash receipts. The variable cash receipts are based on an expectation of future interest rates (forward curves) derived from observable market interest rate forward curves.</w:t>
      </w:r>
    </w:p>
    <w:p>
      <w:pPr>
        <w:spacing w:after="0" w:line="160" w:lineRule="exact"/>
        <w:rPr>
          <w:sz w:val="20"/>
          <w:szCs w:val="20"/>
          <w:color w:val="auto"/>
        </w:rPr>
      </w:pPr>
    </w:p>
    <w:p>
      <w:pPr>
        <w:ind w:right="100" w:firstLine="432"/>
        <w:spacing w:after="0" w:line="296" w:lineRule="auto"/>
        <w:rPr>
          <w:sz w:val="20"/>
          <w:szCs w:val="20"/>
          <w:color w:val="auto"/>
        </w:rPr>
      </w:pPr>
      <w:r>
        <w:rPr>
          <w:rFonts w:ascii="Arial" w:cs="Arial" w:eastAsia="Arial" w:hAnsi="Arial"/>
          <w:sz w:val="16"/>
          <w:szCs w:val="16"/>
          <w:color w:val="auto"/>
        </w:rPr>
        <w:t>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In conjunction with the Financial Accounting Standard Board’s fair value measurement guidance, the Company made an accounting policy election to measure the credit risk of its derivative financial instruments that are subject to master netting agreements on a net basis by counterparty portfolio.</w:t>
      </w:r>
    </w:p>
    <w:p>
      <w:pPr>
        <w:spacing w:after="0" w:line="160" w:lineRule="exact"/>
        <w:rPr>
          <w:sz w:val="20"/>
          <w:szCs w:val="20"/>
          <w:color w:val="auto"/>
        </w:rPr>
      </w:pPr>
    </w:p>
    <w:p>
      <w:pPr>
        <w:ind w:right="260" w:firstLine="432"/>
        <w:spacing w:after="0" w:line="255" w:lineRule="auto"/>
        <w:rPr>
          <w:sz w:val="20"/>
          <w:szCs w:val="20"/>
          <w:color w:val="auto"/>
        </w:rPr>
      </w:pPr>
      <w:r>
        <w:rPr>
          <w:rFonts w:ascii="Arial" w:cs="Arial" w:eastAsia="Arial" w:hAnsi="Arial"/>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December 31, 2016, the Company has assessed the significance of the impact of the credit valuation adjustments on the overall valuation of its derivative positions and has determined that the credit valuation adjustments are not significant to the overall valuation of its derivatives. As a result, the Company has determined that its derivative valuations in their entirety are classified in Level 2 of the fair value hierarchy.</w:t>
      </w:r>
    </w:p>
    <w:p>
      <w:pPr>
        <w:spacing w:after="0" w:line="191"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table below presents the Company’s assets and liabilities measured at fair value on a recurring basis as of December 31, 2016, aggregated by the level in the fair value hierarchy within which those measurements fall.</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980" w:type="dxa"/>
            <w:vAlign w:val="bottom"/>
            <w:tcBorders>
              <w:bottom w:val="single" w:sz="8" w:color="auto"/>
            </w:tcBorders>
            <w:gridSpan w:val="7"/>
          </w:tcPr>
          <w:p>
            <w:pPr>
              <w:ind w:left="90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2"/>
              </w:rPr>
              <w:t>Quoted Prices in Active</w:t>
            </w:r>
          </w:p>
        </w:tc>
        <w:tc>
          <w:tcPr>
            <w:tcW w:w="180" w:type="dxa"/>
            <w:vAlign w:val="bottom"/>
          </w:tcPr>
          <w:p>
            <w:pPr>
              <w:spacing w:after="0"/>
              <w:rPr>
                <w:sz w:val="13"/>
                <w:szCs w:val="13"/>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Significant Other</w:t>
            </w:r>
          </w:p>
        </w:tc>
        <w:tc>
          <w:tcPr>
            <w:tcW w:w="140" w:type="dxa"/>
            <w:vAlign w:val="bottom"/>
          </w:tcPr>
          <w:p>
            <w:pPr>
              <w:spacing w:after="0"/>
              <w:rPr>
                <w:sz w:val="13"/>
                <w:szCs w:val="13"/>
                <w:color w:val="auto"/>
              </w:rPr>
            </w:pPr>
          </w:p>
        </w:tc>
        <w:tc>
          <w:tcPr>
            <w:tcW w:w="14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Markets for Identical</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December 31, 2016</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 w:type="dxa"/>
            <w:vAlign w:val="bottom"/>
          </w:tcPr>
          <w:p>
            <w:pPr>
              <w:spacing w:after="0"/>
              <w:rPr>
                <w:sz w:val="12"/>
                <w:szCs w:val="12"/>
                <w:color w:val="auto"/>
              </w:rPr>
            </w:pPr>
          </w:p>
        </w:tc>
        <w:tc>
          <w:tcPr>
            <w:tcW w:w="146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4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 Cash Flow Hedge Swap Agreements</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23,844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liabilities - Cash Flow Hedge Swap Agreements</w:t>
            </w: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900" w:type="dxa"/>
            <w:vAlign w:val="bottom"/>
          </w:tcPr>
          <w:p>
            <w:pPr>
              <w:ind w:left="300"/>
              <w:spacing w:after="0"/>
              <w:rPr>
                <w:sz w:val="20"/>
                <w:szCs w:val="20"/>
                <w:color w:val="auto"/>
              </w:rPr>
            </w:pPr>
            <w:r>
              <w:rPr>
                <w:rFonts w:ascii="Arial" w:cs="Arial" w:eastAsia="Arial" w:hAnsi="Arial"/>
                <w:sz w:val="18"/>
                <w:szCs w:val="18"/>
                <w:color w:val="auto"/>
              </w:rPr>
              <w:t>(2,447)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(2,447)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4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60" w:firstLine="432"/>
        <w:spacing w:after="0" w:line="341" w:lineRule="auto"/>
        <w:rPr>
          <w:sz w:val="20"/>
          <w:szCs w:val="20"/>
          <w:color w:val="auto"/>
        </w:rPr>
      </w:pPr>
      <w:r>
        <w:rPr>
          <w:rFonts w:ascii="Arial" w:cs="Arial" w:eastAsia="Arial" w:hAnsi="Arial"/>
          <w:sz w:val="16"/>
          <w:szCs w:val="16"/>
          <w:color w:val="auto"/>
        </w:rPr>
        <w:t>There were no transfers of assets and liabilities between Level 1 and Level 2 during the year ended December 31, 2016. The Company did not have any significant assets or liabilities that are re-measured on a recurring basis using significant unobservable inputs as of December 31, 2016 or 2015.</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117" w:lineRule="exact"/>
        <w:rPr>
          <w:sz w:val="20"/>
          <w:szCs w:val="20"/>
          <w:color w:val="auto"/>
        </w:rPr>
      </w:pPr>
    </w:p>
    <w:p>
      <w:pPr>
        <w:ind w:right="100" w:firstLine="432"/>
        <w:spacing w:after="0" w:line="256" w:lineRule="auto"/>
        <w:rPr>
          <w:sz w:val="20"/>
          <w:szCs w:val="20"/>
          <w:color w:val="auto"/>
        </w:rPr>
      </w:pPr>
      <w:r>
        <w:rPr>
          <w:rFonts w:ascii="Arial" w:cs="Arial" w:eastAsia="Arial" w:hAnsi="Arial"/>
          <w:sz w:val="18"/>
          <w:szCs w:val="18"/>
          <w:color w:val="auto"/>
        </w:rPr>
        <w:t>Long-lived assets held for use are evaluated for impairment when events or circumstances indicate there may be impairment. The Company reviews each store at least annually to determine if any such events or circumstances have occurred or exist. The Company focuses on stores where occupancy and/or rental income have decreased by a significant amount. For these stores, the Company determines whether the decrease is temporary or permanent, and whether the store will likely recover the lost occupancy and/or revenue in the short term. In addition, the Company reviews stores in the lease-up stage and compares actual operating results to original projections.</w:t>
      </w:r>
    </w:p>
    <w:p>
      <w:pPr>
        <w:spacing w:after="0" w:line="19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When the Company determines that an event that may indicate impairment has occurred, the Company compares the carrying value of the related long-lived assets to the undiscounted future net operating cash flows attributable to the assets. An impairment loss is recorded if the net carrying value of the assets exceeds the undiscounted future net operating cash flows attributable to the assets. The impairment loss recognized equals the excess of net carrying value over the related fair value of the assets.</w:t>
      </w:r>
    </w:p>
    <w:p>
      <w:pPr>
        <w:spacing w:after="0" w:line="186" w:lineRule="exact"/>
        <w:rPr>
          <w:sz w:val="20"/>
          <w:szCs w:val="20"/>
          <w:color w:val="auto"/>
        </w:rPr>
      </w:pPr>
    </w:p>
    <w:p>
      <w:pPr>
        <w:ind w:firstLine="432"/>
        <w:spacing w:after="0" w:line="296" w:lineRule="auto"/>
        <w:rPr>
          <w:sz w:val="20"/>
          <w:szCs w:val="20"/>
          <w:color w:val="auto"/>
        </w:rPr>
      </w:pPr>
      <w:r>
        <w:rPr>
          <w:rFonts w:ascii="Arial" w:cs="Arial" w:eastAsia="Arial" w:hAnsi="Arial"/>
          <w:sz w:val="16"/>
          <w:szCs w:val="16"/>
          <w:color w:val="auto"/>
        </w:rPr>
        <w:t>When real estate assets are identified by management as held for sale, the Company discontinues depreciating the assets and estimates the fair value of the assets, net of selling costs. If the estimated fair value, net of selling costs, of the assets that have been identified as held for sale is less than the net carrying value of the assets, the Company would recognize a loss on the assets held for sale. The operations of assets held for sale or sold during the period are presented as part of normal operations for all periods presented. As of December 31, 2016, the Company had two parcels of undeveloped land classified as held for sale. The estimated fair value less selling costs of these assets is greater than the carrying value of the assets, and therefore no loss has been recorded.</w:t>
      </w:r>
    </w:p>
    <w:p>
      <w:pPr>
        <w:spacing w:after="0" w:line="160" w:lineRule="exact"/>
        <w:rPr>
          <w:sz w:val="20"/>
          <w:szCs w:val="20"/>
          <w:color w:val="auto"/>
        </w:rPr>
      </w:pPr>
    </w:p>
    <w:p>
      <w:pPr>
        <w:ind w:right="300" w:firstLine="432"/>
        <w:spacing w:after="0" w:line="279" w:lineRule="auto"/>
        <w:rPr>
          <w:sz w:val="20"/>
          <w:szCs w:val="20"/>
          <w:color w:val="auto"/>
        </w:rPr>
      </w:pPr>
      <w:r>
        <w:rPr>
          <w:rFonts w:ascii="Arial" w:cs="Arial" w:eastAsia="Arial" w:hAnsi="Arial"/>
          <w:sz w:val="17"/>
          <w:szCs w:val="17"/>
          <w:color w:val="auto"/>
        </w:rPr>
        <w:t>The Company assesses annually whether there are any indicators that the value of the Company’s investments in unconsolidated real estate ventures may be impaired and when events or circumstances indicate that there may be impairment. An investment is impaired if management’s estimate of the fair value of the investment is less than its carrying value. To the extent impairment has occurred, and is considered to be other than temporary, the loss is measured as the excess of the carrying amount of the investment over the fair value of the investment.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2016 and 2015, the Company did not have any assets or liabilities measured at fair value on a nonrecurring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jc w:val="both"/>
        <w:ind w:right="60" w:firstLine="432"/>
        <w:spacing w:after="0" w:line="263" w:lineRule="auto"/>
        <w:rPr>
          <w:sz w:val="20"/>
          <w:szCs w:val="20"/>
          <w:color w:val="auto"/>
        </w:rPr>
      </w:pPr>
      <w:r>
        <w:rPr>
          <w:rFonts w:ascii="Arial" w:cs="Arial" w:eastAsia="Arial" w:hAnsi="Arial"/>
          <w:sz w:val="18"/>
          <w:szCs w:val="18"/>
          <w:color w:val="auto"/>
        </w:rPr>
        <w:t>The carrying values of cash and cash equivalents, restricted cash, receivables, other financial instruments included in other assets, accounts payable and accrued expenses, variable-rate notes payable, revolving lines of credit and other liabilities reflected in the consolidated balance sheets at December 31, 2016 and 2015, approximate fair value.</w:t>
      </w:r>
    </w:p>
    <w:p>
      <w:pPr>
        <w:spacing w:after="0" w:line="183"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The fair values of the Company’s notes receivable from Preferred Operating Partnership unit holders and other fixed rate notes receivable were based on the discounted estimated future cash flow of the notes (categorized within Level 3 of the fair value hierarchy); the discount rate used approximated the current market rate for loans with similar maturities and credit quality. The fair values of the Company’s fixed rate notes payable and notes payable to trusts were estimated using the discounted estimated future cash payments to be made on such debt (categorized within Level 3 of the fair value hierarchy); the discount rates used approximated current market rates for loans, or groups of loans, with similar maturities and credit quality. The fair value of the Company’s exchangeable senior notes was estimated using an average market price for similar securities obtained from a third party.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1"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the Company’s fixed-rate assets and liabilities were as follows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76"/>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4"/>
                <w:szCs w:val="14"/>
                <w:b w:val="1"/>
                <w:bCs w:val="1"/>
                <w:color w:val="auto"/>
              </w:rPr>
              <w:t>December 31, 2015</w:t>
            </w:r>
          </w:p>
        </w:tc>
      </w:tr>
      <w:tr>
        <w:trPr>
          <w:trHeight w:val="156"/>
        </w:trPr>
        <w:tc>
          <w:tcPr>
            <w:tcW w:w="5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gridSpan w:val="2"/>
          </w:tcPr>
          <w:p>
            <w:pPr>
              <w:jc w:val="center"/>
              <w:ind w:right="500"/>
              <w:spacing w:after="0" w:line="156" w:lineRule="exact"/>
              <w:rPr>
                <w:sz w:val="20"/>
                <w:szCs w:val="20"/>
                <w:color w:val="auto"/>
              </w:rPr>
            </w:pPr>
            <w:r>
              <w:rPr>
                <w:rFonts w:ascii="Arial" w:cs="Arial" w:eastAsia="Arial" w:hAnsi="Arial"/>
                <w:sz w:val="14"/>
                <w:szCs w:val="14"/>
                <w:color w:val="auto"/>
                <w:w w:val="91"/>
              </w:rPr>
              <w:t>Fair</w:t>
            </w:r>
          </w:p>
        </w:tc>
        <w:tc>
          <w:tcPr>
            <w:tcW w:w="300" w:type="dxa"/>
            <w:vAlign w:val="bottom"/>
          </w:tcPr>
          <w:p>
            <w:pPr>
              <w:spacing w:after="0"/>
              <w:rPr>
                <w:sz w:val="13"/>
                <w:szCs w:val="13"/>
                <w:color w:val="auto"/>
              </w:rPr>
            </w:pPr>
          </w:p>
        </w:tc>
        <w:tc>
          <w:tcPr>
            <w:tcW w:w="1280" w:type="dxa"/>
            <w:vAlign w:val="bottom"/>
            <w:gridSpan w:val="2"/>
          </w:tcPr>
          <w:p>
            <w:pPr>
              <w:jc w:val="center"/>
              <w:ind w:right="440"/>
              <w:spacing w:after="0" w:line="156" w:lineRule="exact"/>
              <w:rPr>
                <w:sz w:val="20"/>
                <w:szCs w:val="20"/>
                <w:color w:val="auto"/>
              </w:rPr>
            </w:pPr>
            <w:r>
              <w:rPr>
                <w:rFonts w:ascii="Arial" w:cs="Arial" w:eastAsia="Arial" w:hAnsi="Arial"/>
                <w:sz w:val="14"/>
                <w:szCs w:val="14"/>
                <w:color w:val="auto"/>
                <w:w w:val="98"/>
              </w:rPr>
              <w:t>Carrying</w:t>
            </w:r>
          </w:p>
        </w:tc>
        <w:tc>
          <w:tcPr>
            <w:tcW w:w="340" w:type="dxa"/>
            <w:vAlign w:val="bottom"/>
          </w:tcPr>
          <w:p>
            <w:pPr>
              <w:spacing w:after="0"/>
              <w:rPr>
                <w:sz w:val="13"/>
                <w:szCs w:val="13"/>
                <w:color w:val="auto"/>
              </w:rPr>
            </w:pPr>
          </w:p>
        </w:tc>
        <w:tc>
          <w:tcPr>
            <w:tcW w:w="1240" w:type="dxa"/>
            <w:vAlign w:val="bottom"/>
            <w:gridSpan w:val="2"/>
          </w:tcPr>
          <w:p>
            <w:pPr>
              <w:jc w:val="center"/>
              <w:ind w:right="480"/>
              <w:spacing w:after="0" w:line="156" w:lineRule="exact"/>
              <w:rPr>
                <w:sz w:val="20"/>
                <w:szCs w:val="20"/>
                <w:color w:val="auto"/>
              </w:rPr>
            </w:pPr>
            <w:r>
              <w:rPr>
                <w:rFonts w:ascii="Arial" w:cs="Arial" w:eastAsia="Arial" w:hAnsi="Arial"/>
                <w:sz w:val="14"/>
                <w:szCs w:val="14"/>
                <w:color w:val="auto"/>
                <w:w w:val="99"/>
              </w:rPr>
              <w:t>Fair</w:t>
            </w:r>
          </w:p>
        </w:tc>
        <w:tc>
          <w:tcPr>
            <w:tcW w:w="300" w:type="dxa"/>
            <w:vAlign w:val="bottom"/>
          </w:tcPr>
          <w:p>
            <w:pPr>
              <w:spacing w:after="0"/>
              <w:rPr>
                <w:sz w:val="13"/>
                <w:szCs w:val="13"/>
                <w:color w:val="auto"/>
              </w:rPr>
            </w:pPr>
          </w:p>
        </w:tc>
        <w:tc>
          <w:tcPr>
            <w:tcW w:w="1180" w:type="dxa"/>
            <w:vAlign w:val="bottom"/>
          </w:tcPr>
          <w:p>
            <w:pPr>
              <w:jc w:val="right"/>
              <w:ind w:right="416"/>
              <w:spacing w:after="0" w:line="156" w:lineRule="exact"/>
              <w:rPr>
                <w:sz w:val="20"/>
                <w:szCs w:val="20"/>
                <w:color w:val="auto"/>
              </w:rPr>
            </w:pPr>
            <w:r>
              <w:rPr>
                <w:rFonts w:ascii="Arial" w:cs="Arial" w:eastAsia="Arial" w:hAnsi="Arial"/>
                <w:sz w:val="14"/>
                <w:szCs w:val="14"/>
                <w:color w:val="auto"/>
              </w:rPr>
              <w:t>Carrying</w:t>
            </w:r>
          </w:p>
        </w:tc>
      </w:tr>
      <w:tr>
        <w:trPr>
          <w:trHeight w:val="188"/>
        </w:trPr>
        <w:tc>
          <w:tcPr>
            <w:tcW w:w="5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color w:val="auto"/>
                <w:w w:val="94"/>
              </w:rPr>
              <w:t>Value</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color w:val="auto"/>
                <w:w w:val="89"/>
              </w:rPr>
              <w:t>Value</w:t>
            </w:r>
          </w:p>
        </w:tc>
        <w:tc>
          <w:tcPr>
            <w:tcW w:w="340" w:type="dxa"/>
            <w:vAlign w:val="bottom"/>
          </w:tcPr>
          <w:p>
            <w:pPr>
              <w:spacing w:after="0"/>
              <w:rPr>
                <w:sz w:val="16"/>
                <w:szCs w:val="16"/>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color w:val="auto"/>
                <w:w w:val="89"/>
              </w:rPr>
              <w:t>Value</w:t>
            </w:r>
          </w:p>
        </w:tc>
        <w:tc>
          <w:tcPr>
            <w:tcW w:w="300" w:type="dxa"/>
            <w:vAlign w:val="bottom"/>
          </w:tcPr>
          <w:p>
            <w:pPr>
              <w:spacing w:after="0"/>
              <w:rPr>
                <w:sz w:val="16"/>
                <w:szCs w:val="16"/>
                <w:color w:val="auto"/>
              </w:rPr>
            </w:pPr>
          </w:p>
        </w:tc>
        <w:tc>
          <w:tcPr>
            <w:tcW w:w="1180" w:type="dxa"/>
            <w:vAlign w:val="bottom"/>
          </w:tcPr>
          <w:p>
            <w:pPr>
              <w:jc w:val="right"/>
              <w:ind w:right="496"/>
              <w:spacing w:after="0"/>
              <w:rPr>
                <w:sz w:val="20"/>
                <w:szCs w:val="20"/>
                <w:color w:val="auto"/>
              </w:rPr>
            </w:pPr>
            <w:r>
              <w:rPr>
                <w:rFonts w:ascii="Arial" w:cs="Arial" w:eastAsia="Arial" w:hAnsi="Arial"/>
                <w:sz w:val="14"/>
                <w:szCs w:val="14"/>
                <w:color w:val="auto"/>
              </w:rPr>
              <w:t>Value</w:t>
            </w:r>
          </w:p>
        </w:tc>
      </w:tr>
      <w:tr>
        <w:trPr>
          <w:trHeight w:val="249"/>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Notes receivable from Preferred Operating Partnership unit holders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125,642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120,230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128,216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120,230</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Fixed rate notes receivable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53,450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52,201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86,814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84,331</w:t>
            </w: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rate notes payable and notes payable to trusts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2,404,996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2,417,558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1,828,486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1,806,904</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Exchangeable senior notes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706,827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638,170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770,523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660,364</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Assets</w:t>
      </w:r>
    </w:p>
    <w:p>
      <w:pPr>
        <w:spacing w:after="0" w:line="121" w:lineRule="exact"/>
        <w:rPr>
          <w:sz w:val="20"/>
          <w:szCs w:val="20"/>
          <w:color w:val="auto"/>
        </w:rPr>
      </w:pPr>
    </w:p>
    <w:p>
      <w:pPr>
        <w:ind w:right="260" w:firstLine="432"/>
        <w:spacing w:after="0" w:line="256" w:lineRule="auto"/>
        <w:rPr>
          <w:sz w:val="20"/>
          <w:szCs w:val="20"/>
          <w:color w:val="auto"/>
        </w:rPr>
      </w:pPr>
      <w:r>
        <w:rPr>
          <w:rFonts w:ascii="Arial" w:cs="Arial" w:eastAsia="Arial" w:hAnsi="Arial"/>
          <w:sz w:val="18"/>
          <w:szCs w:val="18"/>
          <w:color w:val="auto"/>
        </w:rPr>
        <w:t>Real estate assets are stated at cost, less accumulated depreciation. Direct and allowable internal costs associated with the development, construction, renovation, and improvement of real estate assets are capitalized. Interest, property taxes, and other costs associated with development incurred during the construction period are capitalized. The construction period begins when expenditures for the real estate assets have been made and activities that are necessary to prepare the asset for its intended use are in progress. The construction period ends when the asset is substantially complete and ready for its intended use.</w:t>
      </w:r>
    </w:p>
    <w:p>
      <w:pPr>
        <w:spacing w:after="0" w:line="191" w:lineRule="exact"/>
        <w:rPr>
          <w:sz w:val="20"/>
          <w:szCs w:val="20"/>
          <w:color w:val="auto"/>
        </w:rPr>
      </w:pPr>
    </w:p>
    <w:p>
      <w:pPr>
        <w:jc w:val="both"/>
        <w:ind w:right="60" w:firstLine="432"/>
        <w:spacing w:after="0" w:line="263" w:lineRule="auto"/>
        <w:rPr>
          <w:sz w:val="20"/>
          <w:szCs w:val="20"/>
          <w:color w:val="auto"/>
        </w:rPr>
      </w:pPr>
      <w:r>
        <w:rPr>
          <w:rFonts w:ascii="Arial" w:cs="Arial" w:eastAsia="Arial" w:hAnsi="Arial"/>
          <w:sz w:val="18"/>
          <w:szCs w:val="18"/>
          <w:color w:val="auto"/>
        </w:rPr>
        <w:t>Expenditures for maintenance and repairs are charged to expense as incurred. Major replacements and betterments that improve or extend the life of the asset are capitalized and depreciated over their estimated useful lives. Depreciation is computed using the straight-line method over the estimated useful lives of the buildings and improvements, which are generally between five and 39 years.</w:t>
      </w:r>
    </w:p>
    <w:p>
      <w:pPr>
        <w:spacing w:after="0" w:line="183"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In connection with the Company’s acquisition of operating stores, the purchase price is allocated to the tangible and intangible assets and liabilities acquired based on their fair values, which are estimated using significant unobservable inputs. The value of the tangible assets, consisting of land and buildings, is determined as if vacant. Intangible assets, which represent the value of existing tenant relationships, are recorded at their fair values based on the avoided cost to replace the current leases. The Company measures the value of tenant relationships based on the rent lost due to the amount of time required to replace existing customers, which is based on the Company’s historical experience with turnover in its stores. Debt assumed as part of an acquisition is recorded at fair value based on current interest rates compared to contractual rates.</w:t>
      </w:r>
    </w:p>
    <w:p>
      <w:pPr>
        <w:spacing w:after="0" w:line="177"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Stores purchased at the time of certificate of occupancy issuance are considered asset acquisitions. As such, the purchase price is allocated to the land and buildings acquired based on their fair values. Any debt assumed as part of the acquisition is recorded at fair value based on current interest rates compared to contractual rates. Acquisition-related transactions costs are capitalized as part of the purchase price.</w:t>
      </w:r>
    </w:p>
    <w:p>
      <w:pPr>
        <w:spacing w:after="0" w:line="165"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Intangible lease rights represent: (1) purchase price amounts allocated to leases on three stores that cannot be classified as ground or building leases; these rights are amortized to expense over the life of the leases and (2) intangibles related to ground leases on eight stores where the leases were assumed by the Company at rates that were lower than the current market rates for similar leases. The values associated with these assumed leases were recorded as intangibles, which will be amortized over the lease terms.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Unconsolidated Real Estate Ventures</w:t>
      </w:r>
    </w:p>
    <w:p>
      <w:pPr>
        <w:spacing w:after="0" w:line="121" w:lineRule="exact"/>
        <w:rPr>
          <w:sz w:val="20"/>
          <w:szCs w:val="20"/>
          <w:color w:val="auto"/>
        </w:rPr>
      </w:pPr>
    </w:p>
    <w:p>
      <w:pPr>
        <w:ind w:right="220" w:firstLine="432"/>
        <w:spacing w:after="0" w:line="263" w:lineRule="auto"/>
        <w:rPr>
          <w:sz w:val="20"/>
          <w:szCs w:val="20"/>
          <w:color w:val="auto"/>
        </w:rPr>
      </w:pPr>
      <w:r>
        <w:rPr>
          <w:rFonts w:ascii="Arial" w:cs="Arial" w:eastAsia="Arial" w:hAnsi="Arial"/>
          <w:sz w:val="18"/>
          <w:szCs w:val="18"/>
          <w:color w:val="auto"/>
        </w:rPr>
        <w:t>The Company’s investments in real estate joint ventures, where the Company has significant influence, but not control and joint ventures which are VIEs in which the Company is not the primary beneficiary, are recorded under the equity method of accounting in the accompanying consolidated financial statements.</w:t>
      </w:r>
    </w:p>
    <w:p>
      <w:pPr>
        <w:spacing w:after="0" w:line="183"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Under the equity method, the Company’s investment in real estate ventures is stated at cost and adjusted for the Company’s share of net earnings or losses and reduced by distributions. Equity in earnings of real estate ventures is generally recognized based on the Company’s ownership interest in the earnings of each of the unconsolidated real estate ventures. For the purposes of presentation in the statement of cash flows, the Company follows the “look through” approach for classification of distributions from joint ventures. Under this approach, distributions are reported under operating cash flow unless the facts and circumstances of a specific distribution clearly indicate that it is a return of capital (e.g., a liquidating dividend or distribution of the proceeds from the joint venture’s sale of assets), in which case it is reported as an investing activity.</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1"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Company’s cash is deposited with financial institutions located throughout the United States and at times may exceed federally insured limits. The Company considers all highly liquid debt instruments with a maturity date of three months or less to be cash equivalents.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Restricted cash is comprised of letters of credit and escrowed funds deposited with financial institutions located throughout the United States relating to earnest money deposits on potential acquisitions, real estate taxes, insurance and capital expenditures.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21" w:lineRule="exact"/>
        <w:rPr>
          <w:sz w:val="20"/>
          <w:szCs w:val="20"/>
          <w:color w:val="auto"/>
        </w:rPr>
      </w:pPr>
    </w:p>
    <w:p>
      <w:pPr>
        <w:jc w:val="both"/>
        <w:ind w:right="180" w:firstLine="432"/>
        <w:spacing w:after="0" w:line="263" w:lineRule="auto"/>
        <w:rPr>
          <w:sz w:val="20"/>
          <w:szCs w:val="20"/>
          <w:color w:val="auto"/>
        </w:rPr>
      </w:pPr>
      <w:r>
        <w:rPr>
          <w:rFonts w:ascii="Arial" w:cs="Arial" w:eastAsia="Arial" w:hAnsi="Arial"/>
          <w:sz w:val="18"/>
          <w:szCs w:val="18"/>
          <w:color w:val="auto"/>
        </w:rPr>
        <w:t>Other assets consist of equipment and fixtures, rents receivable by our tenants, investments in trusts, notes receivable, other intangible assets, deferred tax assets, prepaid expenses and the fair value of interest rate swaps. Depreciation of equipment and fixtures is computed on a straight-line basis over 3 to 5 years.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121"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The Company records all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w:t>
      </w:r>
    </w:p>
    <w:p>
      <w:pPr>
        <w:spacing w:after="0" w:line="164"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Company made an accounting policy election to measure the credit risk of its derivative financial instruments that are subject to master netting agreements on a net basis by counterparty portfolio.</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Use of Financial Instruments</w:t>
      </w:r>
    </w:p>
    <w:p>
      <w:pPr>
        <w:spacing w:after="0" w:line="121" w:lineRule="exact"/>
        <w:rPr>
          <w:sz w:val="20"/>
          <w:szCs w:val="20"/>
          <w:color w:val="auto"/>
        </w:rPr>
      </w:pPr>
    </w:p>
    <w:p>
      <w:pPr>
        <w:ind w:right="100" w:firstLine="432"/>
        <w:spacing w:after="0" w:line="256" w:lineRule="auto"/>
        <w:rPr>
          <w:sz w:val="20"/>
          <w:szCs w:val="20"/>
          <w:color w:val="auto"/>
        </w:rPr>
      </w:pPr>
      <w:r>
        <w:rPr>
          <w:rFonts w:ascii="Arial" w:cs="Arial" w:eastAsia="Arial" w:hAnsi="Arial"/>
          <w:sz w:val="18"/>
          <w:szCs w:val="18"/>
          <w:color w:val="auto"/>
        </w:rPr>
        <w:t>In the normal course of its ongoing business operations, the Company encounters economic risk. There are three main components of economic risk: interest rate risk, credit risk and market risk. The Company is subject to interest rate risk on its interest-bearing liabilities. Credit risk is the risk of inability or unwillingness of tenants to make contractually required payments. Market risk is the risk of declines in the value of stores due to changes in rental rates, interest rates or other market factors affecting the value of stores held by the Company. The Company has entered into interest rate swap agreements to manage a portion of its interest rate risk.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Common Operating Partnership Units</w:t>
      </w:r>
    </w:p>
    <w:p>
      <w:pPr>
        <w:spacing w:after="0" w:line="121" w:lineRule="exact"/>
        <w:rPr>
          <w:sz w:val="20"/>
          <w:szCs w:val="20"/>
          <w:color w:val="auto"/>
        </w:rPr>
      </w:pPr>
    </w:p>
    <w:p>
      <w:pPr>
        <w:ind w:right="320" w:firstLine="432"/>
        <w:spacing w:after="0" w:line="341" w:lineRule="auto"/>
        <w:rPr>
          <w:sz w:val="20"/>
          <w:szCs w:val="20"/>
          <w:color w:val="auto"/>
        </w:rPr>
      </w:pPr>
      <w:r>
        <w:rPr>
          <w:rFonts w:ascii="Arial" w:cs="Arial" w:eastAsia="Arial" w:hAnsi="Arial"/>
          <w:sz w:val="16"/>
          <w:szCs w:val="16"/>
          <w:color w:val="auto"/>
        </w:rPr>
        <w:t>Redemption of common Operating Partnership units for shares of common stock, when redeemed under the original provisions of the Operating Partnership agreement, are accounted for by reclassifying the underlying net book value of the units from noncontrolling interest to the Company’s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Expense Recognition</w:t>
      </w:r>
    </w:p>
    <w:p>
      <w:pPr>
        <w:spacing w:after="0" w:line="121" w:lineRule="exact"/>
        <w:rPr>
          <w:sz w:val="20"/>
          <w:szCs w:val="20"/>
          <w:color w:val="auto"/>
        </w:rPr>
      </w:pPr>
    </w:p>
    <w:p>
      <w:pPr>
        <w:ind w:right="80" w:firstLine="432"/>
        <w:spacing w:after="0" w:line="256" w:lineRule="auto"/>
        <w:rPr>
          <w:sz w:val="20"/>
          <w:szCs w:val="20"/>
          <w:color w:val="auto"/>
        </w:rPr>
      </w:pPr>
      <w:r>
        <w:rPr>
          <w:rFonts w:ascii="Arial" w:cs="Arial" w:eastAsia="Arial" w:hAnsi="Arial"/>
          <w:sz w:val="18"/>
          <w:szCs w:val="18"/>
          <w:color w:val="auto"/>
        </w:rPr>
        <w:t>Rental revenues are recognized as earned based upon amounts that are currently due from tenants. Leases are generally on month-to-month terms. Prepaid rents are recognized on a straight-line basis over the term of the leases. Promotional discounts are recognized as a reduction to rental income over the promotional period. Late charges, administrative fees, merchandise sales and truck rentals are recognized as income when earned. Management fee revenues are recognized monthly as services are performed and in accordance with the terms of the related management agreements. Equity in earnings of unconsolidated real</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36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estate entities is recognized based on the Company's ownership interest in the earnings of each of the unconsolidated real estate entities. Interest income is recognized as earned.</w:t>
      </w:r>
    </w:p>
    <w:p>
      <w:pPr>
        <w:spacing w:after="0" w:line="170"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color w:val="auto"/>
        </w:rPr>
        <w:t>Property expenses, including utilities, property taxes, repairs and maintenance and other costs to manage the facilities are recognized as incurred. The Company accrues for property tax expense based upon invoice amounts, estimates and historical trends. If these estimates are incorrect, the timing of expense recognition could be affected.</w:t>
      </w:r>
    </w:p>
    <w:p>
      <w:pPr>
        <w:spacing w:after="0" w:line="183"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Tenant reinsurance premiums are recognized as revenue over the period of insurance coverage. The Company records an unpaid claims liability at the end of each period based on existing unpaid claims and historical claims payment history. The unpaid claims liability represents an estimate of the ultimate cost to settle all unpaid claims as of each period end, including both reported but unpaid claims and claims that may have been incurred but have not been reported. The Company uses a third party claims administrator to adjust all tenant reinsurance claims received. The administrator evaluates each claim to determine the ultimate claim loss and includes an estimate for claims that may have been incurred but not reported. Annually, a third party actuary evaluates the adequacy of the unpaid claims liability. Prior year claim reserves are adjusted as experience develops or new information becomes known. The impact of such adjustments is included in the current period operations. The unpaid claims liability is not discounted to its present value. Each tenant chooses the amount of insurance coverage they want through the tenant reinsurance program. Tenants can purchase policies in amounts of two thousand dollars to ten thousand dollars of insurance coverage in exchange for a monthly fee. As of December 31, 2016, the average insurance coverage for tenants was approximately two thousand eight hundred dollars. The Company’s exposure per claim is limited by the maximum amount of coverage chosen by each tenant. The Company purchases reinsurance for losses exceeding a set amount for any one event. The Company does not currently have any amounts recoverable under the reinsurance arrangements.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Sales</w:t>
      </w:r>
    </w:p>
    <w:p>
      <w:pPr>
        <w:spacing w:after="0" w:line="121" w:lineRule="exact"/>
        <w:rPr>
          <w:sz w:val="20"/>
          <w:szCs w:val="20"/>
          <w:color w:val="auto"/>
        </w:rPr>
      </w:pPr>
    </w:p>
    <w:p>
      <w:pPr>
        <w:ind w:right="100" w:firstLine="432"/>
        <w:spacing w:after="0" w:line="263" w:lineRule="auto"/>
        <w:rPr>
          <w:sz w:val="20"/>
          <w:szCs w:val="20"/>
          <w:color w:val="auto"/>
        </w:rPr>
      </w:pPr>
      <w:r>
        <w:rPr>
          <w:rFonts w:ascii="Arial" w:cs="Arial" w:eastAsia="Arial" w:hAnsi="Arial"/>
          <w:sz w:val="18"/>
          <w:szCs w:val="18"/>
          <w:color w:val="auto"/>
        </w:rPr>
        <w:t>In general, sales of real estate and related profits/losses are recognized when all consideration has changed hands and risks and rewards of ownership have been transferred. Certain types of continuing involvement preclude sale treatment and related profit recognition; other forms of continuing involvement allow for sale recognition but require deferral of profit recognition.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121" w:lineRule="exact"/>
        <w:rPr>
          <w:sz w:val="20"/>
          <w:szCs w:val="20"/>
          <w:color w:val="auto"/>
        </w:rPr>
      </w:pPr>
    </w:p>
    <w:p>
      <w:pPr>
        <w:ind w:right="240" w:firstLine="432"/>
        <w:spacing w:after="0" w:line="263" w:lineRule="auto"/>
        <w:rPr>
          <w:sz w:val="20"/>
          <w:szCs w:val="20"/>
          <w:color w:val="auto"/>
        </w:rPr>
      </w:pPr>
      <w:r>
        <w:rPr>
          <w:rFonts w:ascii="Arial" w:cs="Arial" w:eastAsia="Arial" w:hAnsi="Arial"/>
          <w:sz w:val="18"/>
          <w:szCs w:val="18"/>
          <w:color w:val="auto"/>
        </w:rPr>
        <w:t>The Company incurs advertising costs primarily attributable to internet, directory and other advertising. These costs are expensed as incurred. The Company recognized $12,867, $10,528, and $8,843 in advertising expense for the years ended December 31, 2016, 2015 and 2014, respectively, which are included in property operating expenses on the Company’s consolidated statements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The Company has elected to be treated as a REIT under Sections 856 through 860 of the Internal Revenue Code. In order to maintain its qualification as a REIT, among other things, the Company is required to distribute at least 90% of its REIT taxable income to its stockholders and meet certain tests regarding the nature of its income and assets. As a REIT, the Company is not subject to federal income tax with respect to that portion of its income which meets certain criteria and is distributed annually to stockholders. The Company plans to continue to operate so that it meets the requirements for taxation as a REIT. Many of these requirements, however, are highly technical and complex. If the Company were to fail to meet these requirements, it would be subject to federal income tax. The Company is subject to certain state and local taxes. Provision for such taxes has been included in income tax expense on the Company’s consolidated statements of operations. For the year ended December 31, 2016, 0% (unaudited) of all distributions to stockholders qualified as a return of capital.</w:t>
      </w:r>
    </w:p>
    <w:p>
      <w:pPr>
        <w:spacing w:after="0" w:line="19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 has elected to treat its corporate subsidiary, Extra Space Management, Inc. (“ESMI”), as a taxable REIT subsidiary (“TRS”). In general, the Company’s TRS may perform additional services for tenants and may engage in any real estate or non-real estate related business. A TRS is subject to corporate federal income tax. ESM Reinsurance Limited, a wholly-owned subsidiary of ESMI, generates income from insurance premiums that are subject to corporate federal income tax and state insurance premiums tax.</w:t>
      </w:r>
    </w:p>
    <w:p>
      <w:pPr>
        <w:spacing w:after="0" w:line="186" w:lineRule="exact"/>
        <w:rPr>
          <w:sz w:val="20"/>
          <w:szCs w:val="20"/>
          <w:color w:val="auto"/>
        </w:rPr>
      </w:pPr>
    </w:p>
    <w:p>
      <w:pPr>
        <w:ind w:right="960" w:firstLine="432"/>
        <w:spacing w:after="0" w:line="277" w:lineRule="auto"/>
        <w:rPr>
          <w:sz w:val="20"/>
          <w:szCs w:val="20"/>
          <w:color w:val="auto"/>
        </w:rPr>
      </w:pPr>
      <w:r>
        <w:rPr>
          <w:rFonts w:ascii="Arial" w:cs="Arial" w:eastAsia="Arial" w:hAnsi="Arial"/>
          <w:sz w:val="18"/>
          <w:szCs w:val="18"/>
          <w:color w:val="auto"/>
        </w:rPr>
        <w:t>Deferred tax assets and liabilities are determined based on differences between financial reporting and tax bases of assets and liabilities. At December 31, 2016 and 2015, there were no material unrecognized tax benefits. Interest and penalties relating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1"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to uncertain tax positions will be recognized in income tax expense when incurred. As of December 31, 2016 and 2015, the Company had no interest or penalties related to uncertain tax provisions.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20" w:firstLine="432"/>
        <w:spacing w:after="0" w:line="341" w:lineRule="auto"/>
        <w:rPr>
          <w:sz w:val="20"/>
          <w:szCs w:val="20"/>
          <w:color w:val="auto"/>
        </w:rPr>
      </w:pPr>
      <w:r>
        <w:rPr>
          <w:rFonts w:ascii="Arial" w:cs="Arial" w:eastAsia="Arial" w:hAnsi="Arial"/>
          <w:sz w:val="16"/>
          <w:szCs w:val="16"/>
          <w:color w:val="auto"/>
        </w:rPr>
        <w:t>The measurement and recognition of compensation expense for all share-based payment awards to employees and directors are based on estimated fair values. Awards granted are valued at fair value and any compensation element is recognized on a straight line basis over the service periods of each award.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Common Share</w:t>
      </w:r>
    </w:p>
    <w:p>
      <w:pPr>
        <w:spacing w:after="0" w:line="121"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Basic earnings per common share is computed using the two-class method by dividing net income attributable to common stockholders by the weighted average number of common shares outstanding during the period. All outstanding unvested restricted stock awards contain rights to non-forfeitable dividends and participate in undistributed earnings with common stockholders; accordingly, they are considered participating securities that are included in the two-class method. Diluted earnings per common share measures the performance of the Company over the reporting period while giving effect to all potential common shares that were dilutive and outstanding during the period. The denominator includes the weighted average number of basic shares and the number of additional common shares that would have been outstanding if the potential common shares that were dilutive had been issued, and is calculated using either the two-class, treasury stock or as if-converted method, whichever is most dilutive. Potential common shares are securities (such as options, convertible debt, Series A Participating Redeemable Preferred Units (“Series A Units”), Series B Redeemable Preferred Units (“Series B Units”), Series C Convertible Redeemable Preferred Units (“Series C Units”), Series D Redeemable Preferred Units (“Series D Units”) and common Operating Partnership units (“OP Units”)) that do not have a current right to participate in earnings of the Company but could do so in the future by virtue of their option, redemption or conversion right.</w:t>
      </w:r>
    </w:p>
    <w:p>
      <w:pPr>
        <w:spacing w:after="0" w:line="180"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In computing the dilutive effect of convertible securities, net income is adjusted to add back any changes in earnings in the period associated with the convertible security. The numerator also is adjusted for the effects of any other non-discretionary changes in income or loss that would result from the assumed conversion of those potential common shares. In computing diluted earnings per common share, only potential common shares that are dilutive (those that reduce earnings per common share) are included. For the years ended December 31, 2016, 2015 and 2014, options to purchase approximately 88,552, 62,254, and 27,374 shares of common stock, respectively, were excluded from the computation of earnings per share as their effect would have been anti-dilutive.</w:t>
      </w:r>
    </w:p>
    <w:p>
      <w:pPr>
        <w:spacing w:after="0" w:line="19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For the purposes of computing the diluted impact of the potential exchange of the Preferred Operating Partnership Units for common shares upon redemption, where the Company has the option to redeem in cash or shares and where the Company has stated the intent and ability to settle the redemption in shares, The Company divided the total value of the Preferred Operating Partnership units by the average share price of $83.81 for the year ended December 31, 2016.</w:t>
      </w:r>
    </w:p>
    <w:p>
      <w:pPr>
        <w:spacing w:after="0" w:line="186"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 presents the number of weighted OP Units and Preferred Operating Partnership units, and the potential common shares, that were excluded from the computation of earnings per share as their effect would have been anti-dilutive: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For the Year Ended December 31,</w:t>
            </w: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960" w:type="dxa"/>
            <w:vAlign w:val="bottom"/>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ind w:right="1322"/>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ind w:right="1297"/>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ind w:right="1297"/>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4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Number of Units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ind w:left="120"/>
              <w:spacing w:after="0" w:line="152" w:lineRule="exact"/>
              <w:rPr>
                <w:sz w:val="20"/>
                <w:szCs w:val="20"/>
                <w:color w:val="auto"/>
              </w:rPr>
            </w:pPr>
            <w:r>
              <w:rPr>
                <w:rFonts w:ascii="Arial" w:cs="Arial" w:eastAsia="Arial" w:hAnsi="Arial"/>
                <w:sz w:val="14"/>
                <w:szCs w:val="14"/>
                <w:b w:val="1"/>
                <w:bCs w:val="1"/>
                <w:color w:val="auto"/>
              </w:rPr>
              <w:t>Equivalent Shares (if</w:t>
            </w:r>
          </w:p>
        </w:tc>
        <w:tc>
          <w:tcPr>
            <w:tcW w:w="13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Number of Units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ind w:left="100"/>
              <w:spacing w:after="0" w:line="152" w:lineRule="exact"/>
              <w:rPr>
                <w:sz w:val="20"/>
                <w:szCs w:val="20"/>
                <w:color w:val="auto"/>
              </w:rPr>
            </w:pPr>
            <w:r>
              <w:rPr>
                <w:rFonts w:ascii="Arial" w:cs="Arial" w:eastAsia="Arial" w:hAnsi="Arial"/>
                <w:sz w:val="14"/>
                <w:szCs w:val="14"/>
                <w:b w:val="1"/>
                <w:bCs w:val="1"/>
                <w:color w:val="auto"/>
              </w:rPr>
              <w:t>Equivalent Shares (if</w:t>
            </w:r>
          </w:p>
        </w:tc>
        <w:tc>
          <w:tcPr>
            <w:tcW w:w="138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Number of Units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right"/>
              <w:ind w:right="17"/>
              <w:spacing w:after="0" w:line="152" w:lineRule="exact"/>
              <w:rPr>
                <w:sz w:val="20"/>
                <w:szCs w:val="20"/>
                <w:color w:val="auto"/>
              </w:rPr>
            </w:pPr>
            <w:r>
              <w:rPr>
                <w:rFonts w:ascii="Arial" w:cs="Arial" w:eastAsia="Arial" w:hAnsi="Arial"/>
                <w:sz w:val="14"/>
                <w:szCs w:val="14"/>
                <w:b w:val="1"/>
                <w:bCs w:val="1"/>
                <w:color w:val="auto"/>
                <w:w w:val="98"/>
              </w:rPr>
              <w:t>Equivalent Shares (if</w:t>
            </w:r>
          </w:p>
        </w:tc>
        <w:tc>
          <w:tcPr>
            <w:tcW w:w="0" w:type="dxa"/>
            <w:vAlign w:val="bottom"/>
          </w:tcPr>
          <w:p>
            <w:pPr>
              <w:spacing w:after="0"/>
              <w:rPr>
                <w:sz w:val="1"/>
                <w:szCs w:val="1"/>
                <w:color w:val="auto"/>
              </w:rPr>
            </w:pPr>
          </w:p>
        </w:tc>
      </w:tr>
      <w:tr>
        <w:trPr>
          <w:trHeight w:val="192"/>
        </w:trPr>
        <w:tc>
          <w:tcPr>
            <w:tcW w:w="196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converted)</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converted)</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converted)</w:t>
            </w:r>
          </w:p>
        </w:tc>
        <w:tc>
          <w:tcPr>
            <w:tcW w:w="0" w:type="dxa"/>
            <w:vAlign w:val="bottom"/>
          </w:tcPr>
          <w:p>
            <w:pPr>
              <w:spacing w:after="0"/>
              <w:rPr>
                <w:sz w:val="1"/>
                <w:szCs w:val="1"/>
                <w:color w:val="auto"/>
              </w:rPr>
            </w:pPr>
          </w:p>
        </w:tc>
      </w:tr>
      <w:tr>
        <w:trPr>
          <w:trHeight w:val="24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OP Units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5,564,631</w:t>
            </w:r>
          </w:p>
        </w:tc>
        <w:tc>
          <w:tcPr>
            <w:tcW w:w="17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5,564,631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1960" w:type="dxa"/>
            <w:vAlign w:val="bottom"/>
          </w:tcPr>
          <w:p>
            <w:pPr>
              <w:ind w:left="40"/>
              <w:spacing w:after="0"/>
              <w:rPr>
                <w:sz w:val="20"/>
                <w:szCs w:val="20"/>
                <w:color w:val="auto"/>
              </w:rPr>
            </w:pPr>
            <w:r>
              <w:rPr>
                <w:rFonts w:ascii="Arial" w:cs="Arial" w:eastAsia="Arial" w:hAnsi="Arial"/>
                <w:sz w:val="18"/>
                <w:szCs w:val="18"/>
                <w:color w:val="auto"/>
                <w:w w:val="99"/>
              </w:rPr>
              <w:t>Series A Units (Variable</w:t>
            </w: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200"/>
              <w:spacing w:after="0"/>
              <w:rPr>
                <w:sz w:val="20"/>
                <w:szCs w:val="20"/>
                <w:color w:val="auto"/>
              </w:rPr>
            </w:pPr>
            <w:r>
              <w:rPr>
                <w:rFonts w:ascii="Arial" w:cs="Arial" w:eastAsia="Arial" w:hAnsi="Arial"/>
                <w:sz w:val="18"/>
                <w:szCs w:val="18"/>
                <w:color w:val="auto"/>
              </w:rPr>
              <w:t>Only)</w:t>
            </w:r>
          </w:p>
        </w:tc>
        <w:tc>
          <w:tcPr>
            <w:tcW w:w="1400" w:type="dxa"/>
            <w:vAlign w:val="bottom"/>
          </w:tcPr>
          <w:p>
            <w:pPr>
              <w:jc w:val="right"/>
              <w:spacing w:after="0"/>
              <w:rPr>
                <w:sz w:val="20"/>
                <w:szCs w:val="20"/>
                <w:color w:val="auto"/>
              </w:rPr>
            </w:pPr>
            <w:r>
              <w:rPr>
                <w:rFonts w:ascii="Arial" w:cs="Arial" w:eastAsia="Arial" w:hAnsi="Arial"/>
                <w:sz w:val="18"/>
                <w:szCs w:val="18"/>
                <w:color w:val="auto"/>
              </w:rPr>
              <w:t>875,480</w:t>
            </w:r>
          </w:p>
        </w:tc>
        <w:tc>
          <w:tcPr>
            <w:tcW w:w="1700" w:type="dxa"/>
            <w:vAlign w:val="bottom"/>
            <w:gridSpan w:val="3"/>
          </w:tcPr>
          <w:p>
            <w:pPr>
              <w:jc w:val="right"/>
              <w:ind w:right="42"/>
              <w:spacing w:after="0"/>
              <w:rPr>
                <w:sz w:val="20"/>
                <w:szCs w:val="20"/>
                <w:color w:val="auto"/>
              </w:rPr>
            </w:pPr>
            <w:r>
              <w:rPr>
                <w:rFonts w:ascii="Arial" w:cs="Arial" w:eastAsia="Arial" w:hAnsi="Arial"/>
                <w:sz w:val="18"/>
                <w:szCs w:val="18"/>
                <w:color w:val="auto"/>
              </w:rPr>
              <w:t>875,480</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B Units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1,676,087</w:t>
            </w:r>
          </w:p>
        </w:tc>
        <w:tc>
          <w:tcPr>
            <w:tcW w:w="17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499,966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1,676,087</w:t>
            </w:r>
          </w:p>
        </w:tc>
        <w:tc>
          <w:tcPr>
            <w:tcW w:w="1680" w:type="dxa"/>
            <w:vAlign w:val="bottom"/>
            <w:tcBorders>
              <w:bottom w:val="single" w:sz="8" w:color="CCEEFF"/>
            </w:tcBorders>
            <w:gridSpan w:val="3"/>
            <w:shd w:val="clear" w:color="auto" w:fill="CCEEFF"/>
          </w:tcPr>
          <w:p>
            <w:pPr>
              <w:jc w:val="right"/>
              <w:ind w:right="37"/>
              <w:spacing w:after="0"/>
              <w:rPr>
                <w:sz w:val="20"/>
                <w:szCs w:val="20"/>
                <w:color w:val="auto"/>
              </w:rPr>
            </w:pPr>
            <w:r>
              <w:rPr>
                <w:rFonts w:ascii="Arial" w:cs="Arial" w:eastAsia="Arial" w:hAnsi="Arial"/>
                <w:sz w:val="18"/>
                <w:szCs w:val="18"/>
                <w:color w:val="auto"/>
              </w:rPr>
              <w:t>579,640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1,592,062</w:t>
            </w:r>
          </w:p>
        </w:tc>
        <w:tc>
          <w:tcPr>
            <w:tcW w:w="1680" w:type="dxa"/>
            <w:vAlign w:val="bottom"/>
            <w:tcBorders>
              <w:bottom w:val="single" w:sz="8" w:color="CCEEFF"/>
            </w:tcBorders>
            <w:gridSpan w:val="3"/>
            <w:shd w:val="clear" w:color="auto" w:fill="CCEEFF"/>
          </w:tcPr>
          <w:p>
            <w:pPr>
              <w:jc w:val="right"/>
              <w:ind w:right="37"/>
              <w:spacing w:after="0"/>
              <w:rPr>
                <w:sz w:val="20"/>
                <w:szCs w:val="20"/>
                <w:color w:val="auto"/>
              </w:rPr>
            </w:pPr>
            <w:r>
              <w:rPr>
                <w:rFonts w:ascii="Arial" w:cs="Arial" w:eastAsia="Arial" w:hAnsi="Arial"/>
                <w:sz w:val="18"/>
                <w:szCs w:val="18"/>
                <w:color w:val="auto"/>
              </w:rPr>
              <w:t>764,385</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Series C Units</w:t>
            </w:r>
          </w:p>
        </w:tc>
        <w:tc>
          <w:tcPr>
            <w:tcW w:w="1400" w:type="dxa"/>
            <w:vAlign w:val="bottom"/>
          </w:tcPr>
          <w:p>
            <w:pPr>
              <w:jc w:val="right"/>
              <w:spacing w:after="0"/>
              <w:rPr>
                <w:sz w:val="20"/>
                <w:szCs w:val="20"/>
                <w:color w:val="auto"/>
              </w:rPr>
            </w:pPr>
            <w:r>
              <w:rPr>
                <w:rFonts w:ascii="Arial" w:cs="Arial" w:eastAsia="Arial" w:hAnsi="Arial"/>
                <w:sz w:val="18"/>
                <w:szCs w:val="18"/>
                <w:color w:val="auto"/>
              </w:rPr>
              <w:t>704,016</w:t>
            </w:r>
          </w:p>
        </w:tc>
        <w:tc>
          <w:tcPr>
            <w:tcW w:w="1700" w:type="dxa"/>
            <w:vAlign w:val="bottom"/>
            <w:gridSpan w:val="3"/>
          </w:tcPr>
          <w:p>
            <w:pPr>
              <w:jc w:val="right"/>
              <w:ind w:right="42"/>
              <w:spacing w:after="0"/>
              <w:rPr>
                <w:sz w:val="20"/>
                <w:szCs w:val="20"/>
                <w:color w:val="auto"/>
              </w:rPr>
            </w:pPr>
            <w:r>
              <w:rPr>
                <w:rFonts w:ascii="Arial" w:cs="Arial" w:eastAsia="Arial" w:hAnsi="Arial"/>
                <w:sz w:val="18"/>
                <w:szCs w:val="18"/>
                <w:color w:val="auto"/>
              </w:rPr>
              <w:t>353,646</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704,016</w:t>
            </w:r>
          </w:p>
        </w:tc>
        <w:tc>
          <w:tcPr>
            <w:tcW w:w="1680" w:type="dxa"/>
            <w:vAlign w:val="bottom"/>
            <w:gridSpan w:val="3"/>
          </w:tcPr>
          <w:p>
            <w:pPr>
              <w:jc w:val="right"/>
              <w:ind w:right="37"/>
              <w:spacing w:after="0"/>
              <w:rPr>
                <w:sz w:val="20"/>
                <w:szCs w:val="20"/>
                <w:color w:val="auto"/>
              </w:rPr>
            </w:pPr>
            <w:r>
              <w:rPr>
                <w:rFonts w:ascii="Arial" w:cs="Arial" w:eastAsia="Arial" w:hAnsi="Arial"/>
                <w:sz w:val="18"/>
                <w:szCs w:val="18"/>
                <w:color w:val="auto"/>
              </w:rPr>
              <w:t>410,002</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605,256</w:t>
            </w:r>
          </w:p>
        </w:tc>
        <w:tc>
          <w:tcPr>
            <w:tcW w:w="1680" w:type="dxa"/>
            <w:vAlign w:val="bottom"/>
            <w:gridSpan w:val="3"/>
          </w:tcPr>
          <w:p>
            <w:pPr>
              <w:jc w:val="right"/>
              <w:ind w:right="37"/>
              <w:spacing w:after="0"/>
              <w:rPr>
                <w:sz w:val="20"/>
                <w:szCs w:val="20"/>
                <w:color w:val="auto"/>
              </w:rPr>
            </w:pPr>
            <w:r>
              <w:rPr>
                <w:rFonts w:ascii="Arial" w:cs="Arial" w:eastAsia="Arial" w:hAnsi="Arial"/>
                <w:sz w:val="18"/>
                <w:szCs w:val="18"/>
                <w:color w:val="auto"/>
              </w:rPr>
              <w:t>489,366</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D Units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1,853,193</w:t>
            </w:r>
          </w:p>
        </w:tc>
        <w:tc>
          <w:tcPr>
            <w:tcW w:w="17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552,796</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548,390</w:t>
            </w:r>
          </w:p>
        </w:tc>
        <w:tc>
          <w:tcPr>
            <w:tcW w:w="1680" w:type="dxa"/>
            <w:vAlign w:val="bottom"/>
            <w:tcBorders>
              <w:bottom w:val="single" w:sz="8" w:color="CCEEFF"/>
            </w:tcBorders>
            <w:gridSpan w:val="3"/>
            <w:shd w:val="clear" w:color="auto" w:fill="CCEEFF"/>
          </w:tcPr>
          <w:p>
            <w:pPr>
              <w:jc w:val="right"/>
              <w:ind w:right="37"/>
              <w:spacing w:after="0"/>
              <w:rPr>
                <w:sz w:val="20"/>
                <w:szCs w:val="20"/>
                <w:color w:val="auto"/>
              </w:rPr>
            </w:pPr>
            <w:r>
              <w:rPr>
                <w:rFonts w:ascii="Arial" w:cs="Arial" w:eastAsia="Arial" w:hAnsi="Arial"/>
                <w:sz w:val="18"/>
                <w:szCs w:val="18"/>
                <w:color w:val="auto"/>
              </w:rPr>
              <w:t>189,649</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13,522</w:t>
            </w:r>
          </w:p>
        </w:tc>
        <w:tc>
          <w:tcPr>
            <w:tcW w:w="1680" w:type="dxa"/>
            <w:vAlign w:val="bottom"/>
            <w:tcBorders>
              <w:bottom w:val="single" w:sz="8" w:color="CCEEFF"/>
            </w:tcBorders>
            <w:gridSpan w:val="3"/>
            <w:shd w:val="clear" w:color="auto" w:fill="CCEEFF"/>
          </w:tcPr>
          <w:p>
            <w:pPr>
              <w:jc w:val="right"/>
              <w:ind w:right="37"/>
              <w:spacing w:after="0"/>
              <w:rPr>
                <w:sz w:val="20"/>
                <w:szCs w:val="20"/>
                <w:color w:val="auto"/>
              </w:rPr>
            </w:pPr>
            <w:r>
              <w:rPr>
                <w:rFonts w:ascii="Arial" w:cs="Arial" w:eastAsia="Arial" w:hAnsi="Arial"/>
                <w:sz w:val="18"/>
                <w:szCs w:val="18"/>
                <w:color w:val="auto"/>
              </w:rPr>
              <w:t>6,492</w:t>
            </w:r>
          </w:p>
        </w:tc>
        <w:tc>
          <w:tcPr>
            <w:tcW w:w="0" w:type="dxa"/>
            <w:vAlign w:val="bottom"/>
          </w:tcPr>
          <w:p>
            <w:pPr>
              <w:spacing w:after="0"/>
              <w:rPr>
                <w:sz w:val="1"/>
                <w:szCs w:val="1"/>
                <w:color w:val="auto"/>
              </w:rPr>
            </w:pPr>
          </w:p>
        </w:tc>
      </w:tr>
      <w:tr>
        <w:trPr>
          <w:trHeight w:val="236"/>
        </w:trPr>
        <w:tc>
          <w:tcPr>
            <w:tcW w:w="196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10,673,407</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rPr>
              <w:t>7,846,519</w:t>
            </w:r>
          </w:p>
        </w:tc>
        <w:tc>
          <w:tcPr>
            <w:tcW w:w="12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2,928,493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1,179,291</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2,210,840</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1,260,243</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674"/>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The Operating Partnership had $63,170 of its 2.375% Exchangeable Senior Notes due 2033 (the “2013 Notes”) issued and outstanding as of December 31, 2016. The 2013 Notes could potentially have a dilutive impact on the Company’s earnings per share calculations. The 2013 Notes are exchangeable by holders into shares of the Company’s common stock under certain circumstances per the terms of the indenture governing the 2013 Notes. The exchange price of the 2013 Notes was $54.09 per share as of December 31, 2016, and could change over time as described in the indenture. The Company has irrevocably agreed to pay only cash for the accreted principal amount of the 2013 Notes relative to its exchange obligations, but retained the right to satisfy the exchange obligation in excess of the accreted principal amount in cash and/or common stock.</w:t>
      </w:r>
    </w:p>
    <w:p>
      <w:pPr>
        <w:spacing w:after="0" w:line="177"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The Operating Partnership had $575,000 of its 3.125% Exchangeable Senior Notes due 2035 (the “2015 Notes”) issued and outstanding as of December 31, 2016. The 2015 Notes could potentially have a dilutive impact on the Company’s earnings per share calculations. The 2015 Notes are exchangeable by holders into shares of the Company’s common stock under certain circumstances per the terms of the indenture governing the 2015 Notes. The exchange price of the 2015 Notes was $94.71 per share as of December 31, 2016, and could change over time as described in the indenture. The Company has irrevocably agreed to pay only cash for the accreted principal amount of the 2015 Notes relative to its exchange obligations, but retained the right to satisfy the exchange obligation in excess of the accreted principal amount in cash and/or common stock.</w:t>
      </w:r>
    </w:p>
    <w:p>
      <w:pPr>
        <w:spacing w:after="0" w:line="17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 xml:space="preserve">Though the Company has retained that right, Accounting Standards Codification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requires an assumption that shares would be used to pay the exchange obligation in excess of the accreted principal amount, and requires that those shares be included in the Company’s calculation of weighted average common shares outstanding for the diluted earnings per share computation. For the years ended December 31, 2016, 2015 and 2014, 309,730 shares, 513,040 shares, and 130,883 shares, respectively, related to the 2013 Notes were included in the computation for diluted earnings per share. For the years ended December 31, 2016, 2015, and 2014, no shares related to the 2015 Notes were included in the computation for diluted earnings per share as the exchange price exceeded the per share price of the Company’s common stock during this period.</w:t>
      </w:r>
    </w:p>
    <w:p>
      <w:pPr>
        <w:spacing w:after="0" w:line="163" w:lineRule="exact"/>
        <w:rPr>
          <w:sz w:val="20"/>
          <w:szCs w:val="20"/>
          <w:color w:val="auto"/>
        </w:rPr>
      </w:pPr>
    </w:p>
    <w:p>
      <w:pPr>
        <w:ind w:right="80" w:firstLine="432"/>
        <w:spacing w:after="0" w:line="256" w:lineRule="auto"/>
        <w:rPr>
          <w:sz w:val="20"/>
          <w:szCs w:val="20"/>
          <w:color w:val="auto"/>
        </w:rPr>
      </w:pPr>
      <w:r>
        <w:rPr>
          <w:rFonts w:ascii="Arial" w:cs="Arial" w:eastAsia="Arial" w:hAnsi="Arial"/>
          <w:sz w:val="18"/>
          <w:szCs w:val="18"/>
          <w:color w:val="auto"/>
        </w:rPr>
        <w:t>For the purposes of computing the diluted impact on earnings per share of the potential exchange of Series A Units for common shares upon redemption, where the Company has the option to redeem in cash or shares and where the Company has stated the positive intent and ability to settle at least $115,000 of the instrument in cash (or net settle a portion of the Series A Units against the related outstanding note receivable), only the amount of the instrument in excess of $115,000 is considered in the calculation of shares contingently issuable for the purposes of computing diluted earnings per share as allowed by ASC 260-10-45-46.</w:t>
      </w: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40" w:top="121" w:right="31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ind w:left="440"/>
              <w:spacing w:after="0"/>
              <w:rPr>
                <w:sz w:val="20"/>
                <w:szCs w:val="20"/>
                <w:color w:val="auto"/>
              </w:rPr>
            </w:pPr>
            <w:r>
              <w:rPr>
                <w:rFonts w:ascii="Arial" w:cs="Arial" w:eastAsia="Arial" w:hAnsi="Arial"/>
                <w:sz w:val="18"/>
                <w:szCs w:val="18"/>
                <w:color w:val="auto"/>
              </w:rPr>
              <w:t>The computation of earnings per share is as follows for the periods presented:</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60" w:type="dxa"/>
            <w:vAlign w:val="bottom"/>
            <w:gridSpan w:val="6"/>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366,127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189,474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178,355</w:t>
            </w: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Earnings and dividends allocated to participating securities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for basic computations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365,335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188,873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177,865</w:t>
            </w: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Earnings and dividends allocated to participating securities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7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Income allocated to noncontrolling interest - Preferred Operating Partnership (Series A</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Units) and Operating Partnership</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14,790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13,575</w:t>
            </w:r>
          </w:p>
        </w:tc>
        <w:tc>
          <w:tcPr>
            <w:tcW w:w="0" w:type="dxa"/>
            <w:vAlign w:val="bottom"/>
          </w:tcPr>
          <w:p>
            <w:pPr>
              <w:spacing w:after="0"/>
              <w:rPr>
                <w:sz w:val="1"/>
                <w:szCs w:val="1"/>
                <w:color w:val="auto"/>
              </w:rPr>
            </w:pPr>
          </w:p>
        </w:tc>
      </w:tr>
      <w:tr>
        <w:trPr>
          <w:trHeight w:val="228"/>
        </w:trPr>
        <w:tc>
          <w:tcPr>
            <w:tcW w:w="6720" w:type="dxa"/>
            <w:vAlign w:val="bottom"/>
          </w:tcPr>
          <w:p>
            <w:pPr>
              <w:ind w:left="380"/>
              <w:spacing w:after="0"/>
              <w:rPr>
                <w:sz w:val="20"/>
                <w:szCs w:val="20"/>
                <w:color w:val="auto"/>
              </w:rPr>
            </w:pPr>
            <w:r>
              <w:rPr>
                <w:rFonts w:ascii="Arial" w:cs="Arial" w:eastAsia="Arial" w:hAnsi="Arial"/>
                <w:sz w:val="18"/>
                <w:szCs w:val="18"/>
                <w:color w:val="auto"/>
                <w:w w:val="93"/>
              </w:rPr>
              <w:t>Fixed component of income allocated to noncontrolling interest - Preferred Operating</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540"/>
              <w:spacing w:after="0"/>
              <w:rPr>
                <w:sz w:val="20"/>
                <w:szCs w:val="20"/>
                <w:color w:val="auto"/>
              </w:rPr>
            </w:pPr>
            <w:r>
              <w:rPr>
                <w:rFonts w:ascii="Arial" w:cs="Arial" w:eastAsia="Arial" w:hAnsi="Arial"/>
                <w:sz w:val="18"/>
                <w:szCs w:val="18"/>
                <w:color w:val="auto"/>
              </w:rPr>
              <w:t>Partnership (Series A Units)</w:t>
            </w:r>
          </w:p>
        </w:tc>
        <w:tc>
          <w:tcPr>
            <w:tcW w:w="3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(5,088)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(5,586)</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for diluted computations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366,127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198,575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185,854</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Average number of common shares outstanding - basic</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125,087,554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119,816,743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115,713,807</w:t>
            </w: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OP Units</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5,451,357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4,335,837</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Series A Units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875,480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961,747</w:t>
            </w: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Unvested restricted stock awards included for treasury stock method</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299,585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related to exchangeable senior notes and dilutive stock options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560,937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775,289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423,876</w:t>
            </w:r>
          </w:p>
        </w:tc>
        <w:tc>
          <w:tcPr>
            <w:tcW w:w="0" w:type="dxa"/>
            <w:vAlign w:val="bottom"/>
          </w:tcPr>
          <w:p>
            <w:pPr>
              <w:spacing w:after="0"/>
              <w:rPr>
                <w:sz w:val="1"/>
                <w:szCs w:val="1"/>
                <w:color w:val="auto"/>
              </w:rPr>
            </w:pPr>
          </w:p>
        </w:tc>
      </w:tr>
      <w:tr>
        <w:trPr>
          <w:trHeight w:val="236"/>
        </w:trPr>
        <w:tc>
          <w:tcPr>
            <w:tcW w:w="6720" w:type="dxa"/>
            <w:vAlign w:val="bottom"/>
          </w:tcPr>
          <w:p>
            <w:pPr>
              <w:ind w:left="380"/>
              <w:spacing w:after="0"/>
              <w:rPr>
                <w:sz w:val="20"/>
                <w:szCs w:val="20"/>
                <w:color w:val="auto"/>
              </w:rPr>
            </w:pPr>
            <w:r>
              <w:rPr>
                <w:rFonts w:ascii="Arial" w:cs="Arial" w:eastAsia="Arial" w:hAnsi="Arial"/>
                <w:sz w:val="18"/>
                <w:szCs w:val="18"/>
                <w:color w:val="auto"/>
              </w:rPr>
              <w:t>Average number of common shares outstanding - diluted</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125,948,076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126,918,869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121,435,267</w:t>
            </w:r>
          </w:p>
        </w:tc>
        <w:tc>
          <w:tcPr>
            <w:tcW w:w="0" w:type="dxa"/>
            <w:vAlign w:val="bottom"/>
          </w:tcPr>
          <w:p>
            <w:pPr>
              <w:spacing w:after="0"/>
              <w:rPr>
                <w:sz w:val="1"/>
                <w:szCs w:val="1"/>
                <w:color w:val="auto"/>
              </w:rPr>
            </w:pPr>
          </w:p>
        </w:tc>
      </w:tr>
      <w:tr>
        <w:trPr>
          <w:trHeight w:val="67"/>
        </w:trPr>
        <w:tc>
          <w:tcPr>
            <w:tcW w:w="67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67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60" w:firstLine="432"/>
        <w:spacing w:after="0" w:line="268" w:lineRule="auto"/>
        <w:rPr>
          <w:sz w:val="20"/>
          <w:szCs w:val="20"/>
          <w:color w:val="auto"/>
        </w:rPr>
      </w:pPr>
      <w:r>
        <w:rPr>
          <w:rFonts w:ascii="Arial" w:cs="Arial" w:eastAsia="Arial" w:hAnsi="Arial"/>
          <w:sz w:val="17"/>
          <w:szCs w:val="17"/>
          <w:color w:val="auto"/>
        </w:rPr>
        <w:t>In May 2014, the FASB issued ASU 2014-9,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amends the guidance for revenue recognition to replace numerous, industry-specific requirements and converges areas under this topic with those of the International Financial Reporting Standards. ASU 2014-9 outlines a five-step process for customer contract revenue recognition that focuses on transfer of control, as opposed to transfer of risk and rewards. The amendment also requires enhanced disclosures regarding the nature, amount, timing and uncertainty of revenues and cash flows from contracts with customers. ASU 2014-9 includes all contracts with customers to provide goods and services in the ordinary course of business, except for certain contracts that are specifically excluded from the scope, such as lease contracts and insurance contracts. ASU 2014-9 was originally effective for reporting periods beginning after December 15, 2016. Entities can transition to the standard either retrospectively or as a cumulative-effect adjustment as of the date of adoption. In July 2015, the FASB approved a one-year deferral of the effective date of the standard. The new standard will now become effective for annual and interim periods beginning after December 15, 2017 with early adoption on the original effective date permitted. The Company has determined that its property rental revenue and tenant reinsurance revenue will not be subject to the guidance in ASU 2014-9, as they qualify as lease contract and insurance contracts, which are excluded from its scope. The Company's management fee revenue will be included in the scope of ASU 2014-9, however, based on the Company's initial assessment, it appears that revenue recognized under ASU 2014-9 will not differ materially from revenue recognized under existing guidance. We continue to assess all potential impacts of ASU 2014-9. The Company anticipates adopting the standard using the modified retrospective transition method as of January 1, 2018.</w:t>
      </w:r>
    </w:p>
    <w:p>
      <w:pPr>
        <w:spacing w:after="0" w:line="182"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In April 2015, the FASB issued ASU 2015-3, “</w:t>
      </w:r>
      <w:r>
        <w:rPr>
          <w:rFonts w:ascii="Arial" w:cs="Arial" w:eastAsia="Arial" w:hAnsi="Arial"/>
          <w:sz w:val="17"/>
          <w:szCs w:val="17"/>
          <w:i w:val="1"/>
          <w:iCs w:val="1"/>
          <w:color w:val="auto"/>
        </w:rPr>
        <w:t>Interest—Imputation of Interest: Simplifying the Presentation of Debt Issuance Costs,</w:t>
      </w:r>
      <w:r>
        <w:rPr>
          <w:rFonts w:ascii="Arial" w:cs="Arial" w:eastAsia="Arial" w:hAnsi="Arial"/>
          <w:sz w:val="17"/>
          <w:szCs w:val="17"/>
          <w:color w:val="auto"/>
        </w:rPr>
        <w:t>” which requires debt issuance costs related to a recognized debt liability to be presented as a direct deduction from the carrying amount of that debt liability. The new guidance only impacts financial statement presentation. The guidance is effective in the first quarter of 2016 and allows for early adoption. The Company adopted this guidance October 1, 2015. The Company adopted ASU 2015-3 on a retrospective basis.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1"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 xml:space="preserve">In August 2015, the FASB issued ASU 2015-15, </w:t>
      </w:r>
      <w:r>
        <w:rPr>
          <w:rFonts w:ascii="Arial" w:cs="Arial" w:eastAsia="Arial" w:hAnsi="Arial"/>
          <w:sz w:val="18"/>
          <w:szCs w:val="18"/>
          <w:i w:val="1"/>
          <w:iCs w:val="1"/>
          <w:color w:val="auto"/>
        </w:rPr>
        <w:t>“Interest—Imputation of Interest (Subtopic 835-30) Presentation and Subsequent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Debt Issuance Costs Associated with Line-of-Credit Arrangements,” </w:t>
      </w:r>
      <w:r>
        <w:rPr>
          <w:rFonts w:ascii="Arial" w:cs="Arial" w:eastAsia="Arial" w:hAnsi="Arial"/>
          <w:sz w:val="18"/>
          <w:szCs w:val="18"/>
          <w:color w:val="auto"/>
        </w:rPr>
        <w:t>which provides guidance regarding the classification of debt issuance costs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lines of credit. Specifically, deferring and presenting debt issuance costs as an asset and subsequently amortizing the deferred debt issuance costs ratably over the term of the line-of-credit arrangement, regardless of whether there are any outstanding borrowings on the line-of-credit arrangement is allowed. The Company adopted this guidance effective October 1, 2015. The Company continued to present the debt issuance costs and related accumulated amortization relating to its lines of credit as assets.</w:t>
      </w:r>
    </w:p>
    <w:p>
      <w:pPr>
        <w:spacing w:after="0" w:line="191"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modifies the accounting for leases, intending to increase transparency and comparability of organizations by requiring balance sheet presentation of leased assets and increased financial statement disclosure of leasing arrangements. ASU 2016-02 will require entities to recognize a liability for their lease obligations and a corresponding asset representing the right to use the underlying asset over the lease term. Lease obligations are to be measured at the present value and accounted for using the effective interest method. The accounting for the leased asset will differ slightly depending on whether the agreement is deemed to be a financing or operating lease. For finance leases, the leased asset is depreciated on a straight-line basis and recorded separately from the interest expense in the statements of operations, resulting in higher expense in the earlier part of the lease term. For operating leases, the depreciation and interest expense components are combined, recognized evenly over the term of the lease, and presented as a reduction to operating income. ASU 2016-02 requires that assets and liabilities be presented or disclosed separately, and requires additional disclosure of certain qualitative and quantitative information related to these lease agreements. ASU 2016-02 is effective for annual periods beginning after December 15, 2018. The Company is currently assessing the impact of the adoption on ASU 2016-02 on the Company's consolidated financial statements.</w:t>
      </w:r>
    </w:p>
    <w:p>
      <w:pPr>
        <w:spacing w:after="0" w:line="180"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 xml:space="preserve">In January 2017, the FASB issued ASU 2017-01, </w:t>
      </w:r>
      <w:r>
        <w:rPr>
          <w:rFonts w:ascii="Arial" w:cs="Arial" w:eastAsia="Arial" w:hAnsi="Arial"/>
          <w:sz w:val="17"/>
          <w:szCs w:val="17"/>
          <w:i w:val="1"/>
          <w:iCs w:val="1"/>
          <w:color w:val="auto"/>
        </w:rPr>
        <w:t>"Business Combinations (Topic 805) - Clarifying the Definition of a Business,"</w:t>
      </w:r>
      <w:r>
        <w:rPr>
          <w:rFonts w:ascii="Arial" w:cs="Arial" w:eastAsia="Arial" w:hAnsi="Arial"/>
          <w:sz w:val="17"/>
          <w:szCs w:val="17"/>
          <w:color w:val="auto"/>
        </w:rPr>
        <w:t xml:space="preserve"> which provides guidance on whether transactions should be accounted for as acquisitions or disposals of assets or businesses. Specifically, when substantially all of the fair value of the gross assets acquired (or disposed of) is concentrated in a single identifiable asset or a group of similar identifiable assets, the set is not a business. Additionally, ASU 2017-01 also provides other guidance providing a more robust framework to use in determining whether a set of assets and activities is a business. This guidance is effective for annual periods beginning after December 15, 2017. Early application of ASU 2017-01 is permitted for transactions for which the acquisition or disposition date occurs before the issuance date or effective date of the amendments, only when the transaction has not been reported in financial statements that have been issued. The Company plans to apply the guidance in ASU 2017-01 to new acquisitions beginning on January 1, 2017. The adoption of this guidance will result in a decrease in acquisition related costs, as the Company's acquisition of operating stores will likely be considered asset acquisitions rather than business combinations under ASU 2017-01.</w:t>
      </w:r>
    </w:p>
    <w:p>
      <w:pPr>
        <w:spacing w:after="0" w:line="28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3.</w:t>
        <w:tab/>
        <w:t>REAL ESTATE ASSETS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real estate assets are summarized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Pr>
          <w:p>
            <w:pPr>
              <w:spacing w:after="0"/>
              <w:rPr>
                <w:sz w:val="16"/>
                <w:szCs w:val="16"/>
                <w:color w:val="auto"/>
              </w:rPr>
            </w:pPr>
          </w:p>
        </w:tc>
        <w:tc>
          <w:tcPr>
            <w:tcW w:w="1340" w:type="dxa"/>
            <w:vAlign w:val="bottom"/>
          </w:tcPr>
          <w:p>
            <w:pPr>
              <w:jc w:val="right"/>
              <w:ind w:right="72"/>
              <w:spacing w:after="0"/>
              <w:rPr>
                <w:sz w:val="20"/>
                <w:szCs w:val="20"/>
                <w:color w:val="auto"/>
              </w:rPr>
            </w:pPr>
            <w:r>
              <w:rPr>
                <w:rFonts w:ascii="Arial" w:cs="Arial" w:eastAsia="Arial" w:hAnsi="Arial"/>
                <w:sz w:val="14"/>
                <w:szCs w:val="14"/>
                <w:b w:val="1"/>
                <w:bCs w:val="1"/>
                <w:color w:val="auto"/>
                <w:w w:val="91"/>
              </w:rPr>
              <w:t>December 31, 2015</w:t>
            </w:r>
          </w:p>
        </w:tc>
      </w:tr>
      <w:tr>
        <w:trPr>
          <w:trHeight w:val="249"/>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 operating</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1,664,659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1,384,009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Land - development</w:t>
            </w:r>
          </w:p>
        </w:tc>
        <w:tc>
          <w:tcPr>
            <w:tcW w:w="1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26,982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17,313</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improvements and other intangibles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5,833,836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4,886,397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 tenant relationships</w:t>
            </w:r>
          </w:p>
        </w:tc>
        <w:tc>
          <w:tcPr>
            <w:tcW w:w="1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111,528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95,891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lease rights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8,877</w:t>
            </w:r>
          </w:p>
        </w:tc>
      </w:tr>
      <w:tr>
        <w:trPr>
          <w:trHeight w:val="236"/>
        </w:trPr>
        <w:tc>
          <w:tcPr>
            <w:tcW w:w="83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7,649,448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6,392,487</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(900,861)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(728,087)</w:t>
            </w:r>
          </w:p>
        </w:tc>
      </w:tr>
      <w:tr>
        <w:trPr>
          <w:trHeight w:val="236"/>
        </w:trPr>
        <w:tc>
          <w:tcPr>
            <w:tcW w:w="8340" w:type="dxa"/>
            <w:vAlign w:val="bottom"/>
          </w:tcPr>
          <w:p>
            <w:pPr>
              <w:ind w:left="380"/>
              <w:spacing w:after="0"/>
              <w:rPr>
                <w:sz w:val="20"/>
                <w:szCs w:val="20"/>
                <w:color w:val="auto"/>
              </w:rPr>
            </w:pPr>
            <w:r>
              <w:rPr>
                <w:rFonts w:ascii="Arial" w:cs="Arial" w:eastAsia="Arial" w:hAnsi="Arial"/>
                <w:sz w:val="18"/>
                <w:szCs w:val="18"/>
                <w:color w:val="auto"/>
              </w:rPr>
              <w:t>Net operating real estate assets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6,748,587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5,664,400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under development/redevelopment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24,909</w:t>
            </w:r>
          </w:p>
        </w:tc>
      </w:tr>
      <w:tr>
        <w:trPr>
          <w:trHeight w:val="236"/>
        </w:trPr>
        <w:tc>
          <w:tcPr>
            <w:tcW w:w="8340" w:type="dxa"/>
            <w:vAlign w:val="bottom"/>
          </w:tcPr>
          <w:p>
            <w:pPr>
              <w:ind w:left="380"/>
              <w:spacing w:after="0"/>
              <w:rPr>
                <w:sz w:val="20"/>
                <w:szCs w:val="20"/>
                <w:color w:val="auto"/>
              </w:rPr>
            </w:pPr>
            <w:r>
              <w:rPr>
                <w:rFonts w:ascii="Arial" w:cs="Arial" w:eastAsia="Arial" w:hAnsi="Arial"/>
                <w:sz w:val="18"/>
                <w:szCs w:val="18"/>
                <w:color w:val="auto"/>
              </w:rPr>
              <w:t>Net real estate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6,770,447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5,689,309</w:t>
            </w:r>
          </w:p>
        </w:tc>
      </w:tr>
      <w:tr>
        <w:trPr>
          <w:trHeight w:val="67"/>
        </w:trPr>
        <w:tc>
          <w:tcPr>
            <w:tcW w:w="83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55"/>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Real estate assets held for sale included in net real estate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10,774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As of December 31, 2016, the Company had two parcels of undeveloped land classified as held for sale. The estimated fair value less selling costs of each of these assets is greater than the carrying value of the assets, and therefore no loss has been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1" w:right="2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recorded. These assets held for sale are included in the property management, acquisition and development segment of the Company’s segment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this land to be sold by the end of 2017.</w:t>
      </w:r>
    </w:p>
    <w:p>
      <w:pPr>
        <w:spacing w:after="0" w:line="210"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The Company amortizes to expense intangible assets—tenant relationships on a straight-line basis over the average period that a tenant is expected to utilize the facility (currently estimated at 18 months). The Company amortizes to expense the intangible lease rights over the terms of the related leases. Amortization related to the tenant relationships and lease rights was $21,133, $11,695, and $12,996 for the years ended December 31, 2016, 2015 and 2014, respectively. The remaining balance of the unamortized lease rights will be amortized over the next 2 years to 45 years.</w:t>
      </w:r>
    </w:p>
    <w:p>
      <w:pPr>
        <w:spacing w:after="0" w:line="274"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ACQUISITIONS AND DISPOSITIONS</w:t>
      </w:r>
    </w:p>
    <w:p>
      <w:pPr>
        <w:spacing w:after="0" w:line="229"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The following table shows the Company’s acquisitions of operating stores for the years ended December 31, 2016 and 2015. The table excludes purchases of raw land or improvements made to existing assets.</w:t>
      </w:r>
    </w:p>
    <w:p>
      <w:pPr>
        <w:spacing w:after="0" w:line="200" w:lineRule="exact"/>
        <w:rPr>
          <w:sz w:val="20"/>
          <w:szCs w:val="20"/>
          <w:color w:val="auto"/>
        </w:rPr>
      </w:pP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Consideration Paid</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2"/>
        </w:trPr>
        <w:tc>
          <w:tcPr>
            <w:tcW w:w="1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jc w:val="center"/>
              <w:ind w:right="28"/>
              <w:spacing w:after="0" w:line="152" w:lineRule="exact"/>
              <w:rPr>
                <w:sz w:val="20"/>
                <w:szCs w:val="20"/>
                <w:color w:val="auto"/>
              </w:rPr>
            </w:pPr>
            <w:r>
              <w:rPr>
                <w:rFonts w:ascii="Arial" w:cs="Arial" w:eastAsia="Arial" w:hAnsi="Arial"/>
                <w:sz w:val="14"/>
                <w:szCs w:val="14"/>
                <w:b w:val="1"/>
                <w:bCs w:val="1"/>
                <w:color w:val="auto"/>
                <w:w w:val="87"/>
              </w:rPr>
              <w:t>Notes</w:t>
            </w:r>
          </w:p>
        </w:tc>
        <w:tc>
          <w:tcPr>
            <w:tcW w:w="260" w:type="dxa"/>
            <w:vAlign w:val="bottom"/>
          </w:tcPr>
          <w:p>
            <w:pPr>
              <w:spacing w:after="0"/>
              <w:rPr>
                <w:sz w:val="13"/>
                <w:szCs w:val="13"/>
                <w:color w:val="auto"/>
              </w:rPr>
            </w:pPr>
          </w:p>
        </w:tc>
        <w:tc>
          <w:tcPr>
            <w:tcW w:w="98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3"/>
                <w:szCs w:val="13"/>
                <w:color w:val="auto"/>
              </w:rPr>
            </w:pPr>
          </w:p>
        </w:tc>
        <w:tc>
          <w:tcPr>
            <w:tcW w:w="6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1"/>
              </w:rPr>
              <w:t>Value of</w:t>
            </w: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12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2"/>
              </w:rPr>
              <w:t>Date of</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Loan</w:t>
            </w:r>
          </w:p>
        </w:tc>
        <w:tc>
          <w:tcPr>
            <w:tcW w:w="6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5"/>
              </w:rPr>
              <w:t>issued</w:t>
            </w:r>
          </w:p>
        </w:tc>
        <w:tc>
          <w:tcPr>
            <w:tcW w:w="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1"/>
              </w:rPr>
              <w:t>Real estate</w:t>
            </w:r>
          </w:p>
        </w:tc>
        <w:tc>
          <w:tcPr>
            <w:tcW w:w="0" w:type="dxa"/>
            <w:vAlign w:val="bottom"/>
          </w:tcPr>
          <w:p>
            <w:pPr>
              <w:spacing w:after="0"/>
              <w:rPr>
                <w:sz w:val="1"/>
                <w:szCs w:val="1"/>
                <w:color w:val="auto"/>
              </w:rPr>
            </w:pPr>
          </w:p>
        </w:tc>
      </w:tr>
      <w:tr>
        <w:trPr>
          <w:trHeight w:val="148"/>
        </w:trPr>
        <w:tc>
          <w:tcPr>
            <w:tcW w:w="15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Property Location</w:t>
            </w:r>
          </w:p>
        </w:tc>
        <w:tc>
          <w:tcPr>
            <w:tcW w:w="98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8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4"/>
              </w:rPr>
              <w:t>Cash Paid</w:t>
            </w: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6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5"/>
              </w:rPr>
              <w:t>to/from</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Liabilities/(Assets)</w:t>
            </w:r>
          </w:p>
        </w:tc>
        <w:tc>
          <w:tcPr>
            <w:tcW w:w="100" w:type="dxa"/>
            <w:vAlign w:val="bottom"/>
          </w:tcPr>
          <w:p>
            <w:pPr>
              <w:spacing w:after="0"/>
              <w:rPr>
                <w:sz w:val="12"/>
                <w:szCs w:val="12"/>
                <w:color w:val="auto"/>
              </w:rPr>
            </w:pPr>
          </w:p>
        </w:tc>
        <w:tc>
          <w:tcPr>
            <w:tcW w:w="6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4"/>
              </w:rPr>
              <w:t>OP Units</w:t>
            </w: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 Units</w:t>
            </w: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5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Stores</w:t>
            </w:r>
          </w:p>
        </w:tc>
        <w:tc>
          <w:tcPr>
            <w:tcW w:w="11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1"/>
              </w:rPr>
              <w:t>Acquisition</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1"/>
              </w:rPr>
              <w:t>Assumed</w:t>
            </w:r>
          </w:p>
        </w:tc>
        <w:tc>
          <w:tcPr>
            <w:tcW w:w="6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Seller</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88"/>
              </w:rPr>
              <w:t>Assumed</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5"/>
              </w:rPr>
              <w:t>Issued</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Issued</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69"/>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Arizona</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12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4"/>
              </w:rPr>
              <w:t>12/21/2016</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9,513</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9,500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6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9,513</w:t>
            </w:r>
          </w:p>
        </w:tc>
        <w:tc>
          <w:tcPr>
            <w:tcW w:w="0" w:type="dxa"/>
            <w:vAlign w:val="bottom"/>
          </w:tcPr>
          <w:p>
            <w:pPr>
              <w:spacing w:after="0"/>
              <w:rPr>
                <w:sz w:val="1"/>
                <w:szCs w:val="1"/>
                <w:color w:val="auto"/>
              </w:rPr>
            </w:pPr>
          </w:p>
        </w:tc>
      </w:tr>
      <w:tr>
        <w:trPr>
          <w:trHeight w:val="264"/>
        </w:trPr>
        <w:tc>
          <w:tcPr>
            <w:tcW w:w="1540" w:type="dxa"/>
            <w:vAlign w:val="bottom"/>
          </w:tcPr>
          <w:p>
            <w:pPr>
              <w:ind w:left="20"/>
              <w:spacing w:after="0"/>
              <w:rPr>
                <w:sz w:val="20"/>
                <w:szCs w:val="20"/>
                <w:color w:val="auto"/>
              </w:rPr>
            </w:pPr>
            <w:r>
              <w:rPr>
                <w:rFonts w:ascii="Arial" w:cs="Arial" w:eastAsia="Arial" w:hAnsi="Arial"/>
                <w:sz w:val="14"/>
                <w:szCs w:val="14"/>
                <w:color w:val="auto"/>
              </w:rPr>
              <w:t>Washington</w:t>
            </w:r>
          </w:p>
        </w:tc>
        <w:tc>
          <w:tcPr>
            <w:tcW w:w="980" w:type="dxa"/>
            <w:vAlign w:val="bottom"/>
          </w:tcPr>
          <w:p>
            <w:pPr>
              <w:jc w:val="center"/>
              <w:spacing w:after="0"/>
              <w:rPr>
                <w:sz w:val="20"/>
                <w:szCs w:val="20"/>
                <w:color w:val="auto"/>
              </w:rPr>
            </w:pPr>
            <w:r>
              <w:rPr>
                <w:rFonts w:ascii="Arial" w:cs="Arial" w:eastAsia="Arial" w:hAnsi="Arial"/>
                <w:sz w:val="14"/>
                <w:szCs w:val="14"/>
                <w:color w:val="auto"/>
              </w:rPr>
              <w:t>1</w:t>
            </w: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1"/>
              </w:rPr>
              <w:t>11/22/2016</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12,743</w:t>
            </w:r>
          </w:p>
        </w:tc>
        <w:tc>
          <w:tcPr>
            <w:tcW w:w="2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12,726</w:t>
            </w:r>
          </w:p>
        </w:tc>
        <w:tc>
          <w:tcPr>
            <w:tcW w:w="220" w:type="dxa"/>
            <w:vAlign w:val="bottom"/>
          </w:tcPr>
          <w:p>
            <w:pPr>
              <w:spacing w:after="0"/>
              <w:rPr>
                <w:sz w:val="22"/>
                <w:szCs w:val="22"/>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12,743</w:t>
            </w:r>
          </w:p>
        </w:tc>
        <w:tc>
          <w:tcPr>
            <w:tcW w:w="0" w:type="dxa"/>
            <w:vAlign w:val="bottom"/>
          </w:tcPr>
          <w:p>
            <w:pPr>
              <w:spacing w:after="0"/>
              <w:rPr>
                <w:sz w:val="1"/>
                <w:szCs w:val="1"/>
                <w:color w:val="auto"/>
              </w:rPr>
            </w:pPr>
          </w:p>
        </w:tc>
      </w:tr>
      <w:tr>
        <w:trPr>
          <w:trHeight w:val="276"/>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Hawaii</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12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1"/>
              </w:rPr>
              <w:t>11/18/2016</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15,394</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15,356</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15,394</w:t>
            </w:r>
          </w:p>
        </w:tc>
        <w:tc>
          <w:tcPr>
            <w:tcW w:w="0" w:type="dxa"/>
            <w:vAlign w:val="bottom"/>
          </w:tcPr>
          <w:p>
            <w:pPr>
              <w:spacing w:after="0"/>
              <w:rPr>
                <w:sz w:val="1"/>
                <w:szCs w:val="1"/>
                <w:color w:val="auto"/>
              </w:rPr>
            </w:pPr>
          </w:p>
        </w:tc>
      </w:tr>
      <w:tr>
        <w:trPr>
          <w:trHeight w:val="264"/>
        </w:trPr>
        <w:tc>
          <w:tcPr>
            <w:tcW w:w="1540" w:type="dxa"/>
            <w:vAlign w:val="bottom"/>
          </w:tcPr>
          <w:p>
            <w:pPr>
              <w:ind w:left="20"/>
              <w:spacing w:after="0"/>
              <w:rPr>
                <w:sz w:val="20"/>
                <w:szCs w:val="20"/>
                <w:color w:val="auto"/>
              </w:rPr>
            </w:pPr>
            <w:r>
              <w:rPr>
                <w:rFonts w:ascii="Arial" w:cs="Arial" w:eastAsia="Arial" w:hAnsi="Arial"/>
                <w:sz w:val="14"/>
                <w:szCs w:val="14"/>
                <w:color w:val="auto"/>
              </w:rPr>
              <w:t>Georgia</w:t>
            </w:r>
          </w:p>
        </w:tc>
        <w:tc>
          <w:tcPr>
            <w:tcW w:w="980" w:type="dxa"/>
            <w:vAlign w:val="bottom"/>
          </w:tcPr>
          <w:p>
            <w:pPr>
              <w:jc w:val="center"/>
              <w:spacing w:after="0"/>
              <w:rPr>
                <w:sz w:val="20"/>
                <w:szCs w:val="20"/>
                <w:color w:val="auto"/>
              </w:rPr>
            </w:pPr>
            <w:r>
              <w:rPr>
                <w:rFonts w:ascii="Arial" w:cs="Arial" w:eastAsia="Arial" w:hAnsi="Arial"/>
                <w:sz w:val="14"/>
                <w:szCs w:val="14"/>
                <w:color w:val="auto"/>
              </w:rPr>
              <w:t>1</w:t>
            </w: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1"/>
              </w:rPr>
              <w:t>11/17/2016</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7,998</w:t>
            </w:r>
          </w:p>
        </w:tc>
        <w:tc>
          <w:tcPr>
            <w:tcW w:w="2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8,009</w:t>
            </w:r>
          </w:p>
        </w:tc>
        <w:tc>
          <w:tcPr>
            <w:tcW w:w="220" w:type="dxa"/>
            <w:vAlign w:val="bottom"/>
          </w:tcPr>
          <w:p>
            <w:pPr>
              <w:spacing w:after="0"/>
              <w:rPr>
                <w:sz w:val="22"/>
                <w:szCs w:val="22"/>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7,998</w:t>
            </w:r>
          </w:p>
        </w:tc>
        <w:tc>
          <w:tcPr>
            <w:tcW w:w="0" w:type="dxa"/>
            <w:vAlign w:val="bottom"/>
          </w:tcPr>
          <w:p>
            <w:pPr>
              <w:spacing w:after="0"/>
              <w:rPr>
                <w:sz w:val="1"/>
                <w:szCs w:val="1"/>
                <w:color w:val="auto"/>
              </w:rPr>
            </w:pPr>
          </w:p>
        </w:tc>
      </w:tr>
      <w:tr>
        <w:trPr>
          <w:trHeight w:val="276"/>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Various states </w:t>
            </w:r>
            <w:r>
              <w:rPr>
                <w:rFonts w:ascii="Arial" w:cs="Arial" w:eastAsia="Arial" w:hAnsi="Arial"/>
                <w:sz w:val="8"/>
                <w:szCs w:val="8"/>
                <w:color w:val="auto"/>
              </w:rPr>
              <w:t>(1)</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11</w:t>
            </w:r>
          </w:p>
        </w:tc>
        <w:tc>
          <w:tcPr>
            <w:tcW w:w="112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1"/>
              </w:rPr>
              <w:t>11/17/2016</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152,953</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153,017</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161,072</w:t>
            </w:r>
          </w:p>
        </w:tc>
        <w:tc>
          <w:tcPr>
            <w:tcW w:w="0" w:type="dxa"/>
            <w:vAlign w:val="bottom"/>
          </w:tcPr>
          <w:p>
            <w:pPr>
              <w:spacing w:after="0"/>
              <w:rPr>
                <w:sz w:val="1"/>
                <w:szCs w:val="1"/>
                <w:color w:val="auto"/>
              </w:rPr>
            </w:pPr>
          </w:p>
        </w:tc>
      </w:tr>
      <w:tr>
        <w:trPr>
          <w:trHeight w:val="264"/>
        </w:trPr>
        <w:tc>
          <w:tcPr>
            <w:tcW w:w="154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980" w:type="dxa"/>
            <w:vAlign w:val="bottom"/>
          </w:tcPr>
          <w:p>
            <w:pPr>
              <w:jc w:val="center"/>
              <w:spacing w:after="0"/>
              <w:rPr>
                <w:sz w:val="20"/>
                <w:szCs w:val="20"/>
                <w:color w:val="auto"/>
              </w:rPr>
            </w:pPr>
            <w:r>
              <w:rPr>
                <w:rFonts w:ascii="Arial" w:cs="Arial" w:eastAsia="Arial" w:hAnsi="Arial"/>
                <w:sz w:val="14"/>
                <w:szCs w:val="14"/>
                <w:color w:val="auto"/>
              </w:rPr>
              <w:t>1</w:t>
            </w: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1"/>
              </w:rPr>
              <w:t>11/17/2016</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17,892</w:t>
            </w:r>
          </w:p>
        </w:tc>
        <w:tc>
          <w:tcPr>
            <w:tcW w:w="2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17,860</w:t>
            </w:r>
          </w:p>
        </w:tc>
        <w:tc>
          <w:tcPr>
            <w:tcW w:w="220" w:type="dxa"/>
            <w:vAlign w:val="bottom"/>
          </w:tcPr>
          <w:p>
            <w:pPr>
              <w:spacing w:after="0"/>
              <w:rPr>
                <w:sz w:val="22"/>
                <w:szCs w:val="22"/>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17,892</w:t>
            </w:r>
          </w:p>
        </w:tc>
        <w:tc>
          <w:tcPr>
            <w:tcW w:w="0" w:type="dxa"/>
            <w:vAlign w:val="bottom"/>
          </w:tcPr>
          <w:p>
            <w:pPr>
              <w:spacing w:after="0"/>
              <w:rPr>
                <w:sz w:val="1"/>
                <w:szCs w:val="1"/>
                <w:color w:val="auto"/>
              </w:rPr>
            </w:pPr>
          </w:p>
        </w:tc>
      </w:tr>
      <w:tr>
        <w:trPr>
          <w:trHeight w:val="276"/>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Carolina</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12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1"/>
              </w:rPr>
              <w:t>11/14/2016</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13,242</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13,241</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13,242</w:t>
            </w:r>
          </w:p>
        </w:tc>
        <w:tc>
          <w:tcPr>
            <w:tcW w:w="0" w:type="dxa"/>
            <w:vAlign w:val="bottom"/>
          </w:tcPr>
          <w:p>
            <w:pPr>
              <w:spacing w:after="0"/>
              <w:rPr>
                <w:sz w:val="1"/>
                <w:szCs w:val="1"/>
                <w:color w:val="auto"/>
              </w:rPr>
            </w:pPr>
          </w:p>
        </w:tc>
      </w:tr>
      <w:tr>
        <w:trPr>
          <w:trHeight w:val="264"/>
        </w:trPr>
        <w:tc>
          <w:tcPr>
            <w:tcW w:w="1540" w:type="dxa"/>
            <w:vAlign w:val="bottom"/>
          </w:tcPr>
          <w:p>
            <w:pPr>
              <w:ind w:left="20"/>
              <w:spacing w:after="0"/>
              <w:rPr>
                <w:sz w:val="20"/>
                <w:szCs w:val="20"/>
                <w:color w:val="auto"/>
              </w:rPr>
            </w:pPr>
            <w:r>
              <w:rPr>
                <w:rFonts w:ascii="Arial" w:cs="Arial" w:eastAsia="Arial" w:hAnsi="Arial"/>
                <w:sz w:val="14"/>
                <w:szCs w:val="14"/>
                <w:color w:val="auto"/>
              </w:rPr>
              <w:t>Illinois</w:t>
            </w:r>
          </w:p>
        </w:tc>
        <w:tc>
          <w:tcPr>
            <w:tcW w:w="980" w:type="dxa"/>
            <w:vAlign w:val="bottom"/>
          </w:tcPr>
          <w:p>
            <w:pPr>
              <w:jc w:val="center"/>
              <w:spacing w:after="0"/>
              <w:rPr>
                <w:sz w:val="20"/>
                <w:szCs w:val="20"/>
                <w:color w:val="auto"/>
              </w:rPr>
            </w:pPr>
            <w:r>
              <w:rPr>
                <w:rFonts w:ascii="Arial" w:cs="Arial" w:eastAsia="Arial" w:hAnsi="Arial"/>
                <w:sz w:val="14"/>
                <w:szCs w:val="14"/>
                <w:color w:val="auto"/>
              </w:rPr>
              <w:t>1</w:t>
            </w:r>
          </w:p>
        </w:tc>
        <w:tc>
          <w:tcPr>
            <w:tcW w:w="1120" w:type="dxa"/>
            <w:vAlign w:val="bottom"/>
          </w:tcPr>
          <w:p>
            <w:pPr>
              <w:jc w:val="center"/>
              <w:ind w:right="28"/>
              <w:spacing w:after="0"/>
              <w:rPr>
                <w:sz w:val="20"/>
                <w:szCs w:val="20"/>
                <w:color w:val="auto"/>
              </w:rPr>
            </w:pPr>
            <w:r>
              <w:rPr>
                <w:rFonts w:ascii="Arial" w:cs="Arial" w:eastAsia="Arial" w:hAnsi="Arial"/>
                <w:sz w:val="14"/>
                <w:szCs w:val="14"/>
                <w:color w:val="auto"/>
                <w:w w:val="93"/>
              </w:rPr>
              <w:t>11/8/2016</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12,304</w:t>
            </w:r>
          </w:p>
        </w:tc>
        <w:tc>
          <w:tcPr>
            <w:tcW w:w="2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22"/>
                <w:szCs w:val="22"/>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12,156</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486,244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12,304</w:t>
            </w:r>
          </w:p>
        </w:tc>
        <w:tc>
          <w:tcPr>
            <w:tcW w:w="0" w:type="dxa"/>
            <w:vAlign w:val="bottom"/>
          </w:tcPr>
          <w:p>
            <w:pPr>
              <w:spacing w:after="0"/>
              <w:rPr>
                <w:sz w:val="1"/>
                <w:szCs w:val="1"/>
                <w:color w:val="auto"/>
              </w:rPr>
            </w:pPr>
          </w:p>
        </w:tc>
      </w:tr>
      <w:tr>
        <w:trPr>
          <w:trHeight w:val="276"/>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12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3"/>
              </w:rPr>
              <w:t>11/2/2016</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14,807</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9,040</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5,842</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77,575,000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14,807</w:t>
            </w:r>
          </w:p>
        </w:tc>
        <w:tc>
          <w:tcPr>
            <w:tcW w:w="0" w:type="dxa"/>
            <w:vAlign w:val="bottom"/>
          </w:tcPr>
          <w:p>
            <w:pPr>
              <w:spacing w:after="0"/>
              <w:rPr>
                <w:sz w:val="1"/>
                <w:szCs w:val="1"/>
                <w:color w:val="auto"/>
              </w:rPr>
            </w:pPr>
          </w:p>
        </w:tc>
      </w:tr>
      <w:tr>
        <w:trPr>
          <w:trHeight w:val="264"/>
        </w:trPr>
        <w:tc>
          <w:tcPr>
            <w:tcW w:w="1540" w:type="dxa"/>
            <w:vAlign w:val="bottom"/>
          </w:tcPr>
          <w:p>
            <w:pPr>
              <w:ind w:left="20"/>
              <w:spacing w:after="0"/>
              <w:rPr>
                <w:sz w:val="20"/>
                <w:szCs w:val="20"/>
                <w:color w:val="auto"/>
              </w:rPr>
            </w:pPr>
            <w:r>
              <w:rPr>
                <w:rFonts w:ascii="Arial" w:cs="Arial" w:eastAsia="Arial" w:hAnsi="Arial"/>
                <w:sz w:val="14"/>
                <w:szCs w:val="14"/>
                <w:color w:val="auto"/>
              </w:rPr>
              <w:t>Texas</w:t>
            </w:r>
          </w:p>
        </w:tc>
        <w:tc>
          <w:tcPr>
            <w:tcW w:w="980" w:type="dxa"/>
            <w:vAlign w:val="bottom"/>
          </w:tcPr>
          <w:p>
            <w:pPr>
              <w:jc w:val="center"/>
              <w:spacing w:after="0"/>
              <w:rPr>
                <w:sz w:val="20"/>
                <w:szCs w:val="20"/>
                <w:color w:val="auto"/>
              </w:rPr>
            </w:pPr>
            <w:r>
              <w:rPr>
                <w:rFonts w:ascii="Arial" w:cs="Arial" w:eastAsia="Arial" w:hAnsi="Arial"/>
                <w:sz w:val="14"/>
                <w:szCs w:val="14"/>
                <w:color w:val="auto"/>
              </w:rPr>
              <w:t>1</w:t>
            </w:r>
          </w:p>
        </w:tc>
        <w:tc>
          <w:tcPr>
            <w:tcW w:w="1120" w:type="dxa"/>
            <w:vAlign w:val="bottom"/>
          </w:tcPr>
          <w:p>
            <w:pPr>
              <w:jc w:val="center"/>
              <w:ind w:right="28"/>
              <w:spacing w:after="0"/>
              <w:rPr>
                <w:sz w:val="20"/>
                <w:szCs w:val="20"/>
                <w:color w:val="auto"/>
              </w:rPr>
            </w:pPr>
            <w:r>
              <w:rPr>
                <w:rFonts w:ascii="Arial" w:cs="Arial" w:eastAsia="Arial" w:hAnsi="Arial"/>
                <w:sz w:val="14"/>
                <w:szCs w:val="14"/>
                <w:color w:val="auto"/>
                <w:w w:val="94"/>
              </w:rPr>
              <w:t>10/25/2016</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6,743</w:t>
            </w:r>
          </w:p>
        </w:tc>
        <w:tc>
          <w:tcPr>
            <w:tcW w:w="2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6,685</w:t>
            </w:r>
          </w:p>
        </w:tc>
        <w:tc>
          <w:tcPr>
            <w:tcW w:w="220" w:type="dxa"/>
            <w:vAlign w:val="bottom"/>
          </w:tcPr>
          <w:p>
            <w:pPr>
              <w:spacing w:after="0"/>
              <w:rPr>
                <w:sz w:val="22"/>
                <w:szCs w:val="22"/>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6,743</w:t>
            </w:r>
          </w:p>
        </w:tc>
        <w:tc>
          <w:tcPr>
            <w:tcW w:w="0" w:type="dxa"/>
            <w:vAlign w:val="bottom"/>
          </w:tcPr>
          <w:p>
            <w:pPr>
              <w:spacing w:after="0"/>
              <w:rPr>
                <w:sz w:val="1"/>
                <w:szCs w:val="1"/>
                <w:color w:val="auto"/>
              </w:rPr>
            </w:pPr>
          </w:p>
        </w:tc>
      </w:tr>
      <w:tr>
        <w:trPr>
          <w:trHeight w:val="276"/>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Minnesota</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12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4"/>
              </w:rPr>
              <w:t>10/12/2016</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17,744</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17,729</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17,744</w:t>
            </w:r>
          </w:p>
        </w:tc>
        <w:tc>
          <w:tcPr>
            <w:tcW w:w="0" w:type="dxa"/>
            <w:vAlign w:val="bottom"/>
          </w:tcPr>
          <w:p>
            <w:pPr>
              <w:spacing w:after="0"/>
              <w:rPr>
                <w:sz w:val="1"/>
                <w:szCs w:val="1"/>
                <w:color w:val="auto"/>
              </w:rPr>
            </w:pPr>
          </w:p>
        </w:tc>
      </w:tr>
      <w:tr>
        <w:trPr>
          <w:trHeight w:val="264"/>
        </w:trPr>
        <w:tc>
          <w:tcPr>
            <w:tcW w:w="1540" w:type="dxa"/>
            <w:vAlign w:val="bottom"/>
          </w:tcPr>
          <w:p>
            <w:pPr>
              <w:ind w:left="20"/>
              <w:spacing w:after="0"/>
              <w:rPr>
                <w:sz w:val="20"/>
                <w:szCs w:val="20"/>
                <w:color w:val="auto"/>
              </w:rPr>
            </w:pPr>
            <w:r>
              <w:rPr>
                <w:rFonts w:ascii="Arial" w:cs="Arial" w:eastAsia="Arial" w:hAnsi="Arial"/>
                <w:sz w:val="14"/>
                <w:szCs w:val="14"/>
                <w:color w:val="auto"/>
              </w:rPr>
              <w:t>Texas</w:t>
            </w:r>
          </w:p>
        </w:tc>
        <w:tc>
          <w:tcPr>
            <w:tcW w:w="980" w:type="dxa"/>
            <w:vAlign w:val="bottom"/>
          </w:tcPr>
          <w:p>
            <w:pPr>
              <w:jc w:val="center"/>
              <w:spacing w:after="0"/>
              <w:rPr>
                <w:sz w:val="20"/>
                <w:szCs w:val="20"/>
                <w:color w:val="auto"/>
              </w:rPr>
            </w:pPr>
            <w:r>
              <w:rPr>
                <w:rFonts w:ascii="Arial" w:cs="Arial" w:eastAsia="Arial" w:hAnsi="Arial"/>
                <w:sz w:val="14"/>
                <w:szCs w:val="14"/>
                <w:color w:val="auto"/>
              </w:rPr>
              <w:t>3</w:t>
            </w:r>
          </w:p>
        </w:tc>
        <w:tc>
          <w:tcPr>
            <w:tcW w:w="1120" w:type="dxa"/>
            <w:vAlign w:val="bottom"/>
          </w:tcPr>
          <w:p>
            <w:pPr>
              <w:jc w:val="center"/>
              <w:ind w:right="28"/>
              <w:spacing w:after="0"/>
              <w:rPr>
                <w:sz w:val="20"/>
                <w:szCs w:val="20"/>
                <w:color w:val="auto"/>
              </w:rPr>
            </w:pPr>
            <w:r>
              <w:rPr>
                <w:rFonts w:ascii="Arial" w:cs="Arial" w:eastAsia="Arial" w:hAnsi="Arial"/>
                <w:sz w:val="14"/>
                <w:szCs w:val="14"/>
                <w:color w:val="auto"/>
                <w:w w:val="93"/>
              </w:rPr>
              <w:t>10/6/2016</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22,302</w:t>
            </w:r>
          </w:p>
        </w:tc>
        <w:tc>
          <w:tcPr>
            <w:tcW w:w="2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22,131</w:t>
            </w:r>
          </w:p>
        </w:tc>
        <w:tc>
          <w:tcPr>
            <w:tcW w:w="220" w:type="dxa"/>
            <w:vAlign w:val="bottom"/>
          </w:tcPr>
          <w:p>
            <w:pPr>
              <w:spacing w:after="0"/>
              <w:rPr>
                <w:sz w:val="22"/>
                <w:szCs w:val="22"/>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22,302</w:t>
            </w:r>
          </w:p>
        </w:tc>
        <w:tc>
          <w:tcPr>
            <w:tcW w:w="0" w:type="dxa"/>
            <w:vAlign w:val="bottom"/>
          </w:tcPr>
          <w:p>
            <w:pPr>
              <w:spacing w:after="0"/>
              <w:rPr>
                <w:sz w:val="1"/>
                <w:szCs w:val="1"/>
                <w:color w:val="auto"/>
              </w:rPr>
            </w:pPr>
          </w:p>
        </w:tc>
      </w:tr>
      <w:tr>
        <w:trPr>
          <w:trHeight w:val="276"/>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Utah</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12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3"/>
              </w:rPr>
              <w:t>10/4/2016</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8,429</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3,750</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4,679</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8,429</w:t>
            </w:r>
          </w:p>
        </w:tc>
        <w:tc>
          <w:tcPr>
            <w:tcW w:w="0" w:type="dxa"/>
            <w:vAlign w:val="bottom"/>
          </w:tcPr>
          <w:p>
            <w:pPr>
              <w:spacing w:after="0"/>
              <w:rPr>
                <w:sz w:val="1"/>
                <w:szCs w:val="1"/>
                <w:color w:val="auto"/>
              </w:rPr>
            </w:pPr>
          </w:p>
        </w:tc>
      </w:tr>
      <w:tr>
        <w:trPr>
          <w:trHeight w:val="264"/>
        </w:trPr>
        <w:tc>
          <w:tcPr>
            <w:tcW w:w="154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980" w:type="dxa"/>
            <w:vAlign w:val="bottom"/>
          </w:tcPr>
          <w:p>
            <w:pPr>
              <w:jc w:val="center"/>
              <w:spacing w:after="0"/>
              <w:rPr>
                <w:sz w:val="20"/>
                <w:szCs w:val="20"/>
                <w:color w:val="auto"/>
              </w:rPr>
            </w:pPr>
            <w:r>
              <w:rPr>
                <w:rFonts w:ascii="Arial" w:cs="Arial" w:eastAsia="Arial" w:hAnsi="Arial"/>
                <w:sz w:val="14"/>
                <w:szCs w:val="14"/>
                <w:color w:val="auto"/>
              </w:rPr>
              <w:t>1</w:t>
            </w:r>
          </w:p>
        </w:tc>
        <w:tc>
          <w:tcPr>
            <w:tcW w:w="1120" w:type="dxa"/>
            <w:vAlign w:val="bottom"/>
          </w:tcPr>
          <w:p>
            <w:pPr>
              <w:jc w:val="center"/>
              <w:ind w:right="28"/>
              <w:spacing w:after="0"/>
              <w:rPr>
                <w:sz w:val="20"/>
                <w:szCs w:val="20"/>
                <w:color w:val="auto"/>
              </w:rPr>
            </w:pPr>
            <w:r>
              <w:rPr>
                <w:rFonts w:ascii="Arial" w:cs="Arial" w:eastAsia="Arial" w:hAnsi="Arial"/>
                <w:sz w:val="14"/>
                <w:szCs w:val="14"/>
                <w:color w:val="auto"/>
                <w:w w:val="93"/>
              </w:rPr>
              <w:t>10/4/2016</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8,500</w:t>
            </w:r>
          </w:p>
        </w:tc>
        <w:tc>
          <w:tcPr>
            <w:tcW w:w="2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8,516</w:t>
            </w:r>
          </w:p>
        </w:tc>
        <w:tc>
          <w:tcPr>
            <w:tcW w:w="220" w:type="dxa"/>
            <w:vAlign w:val="bottom"/>
          </w:tcPr>
          <w:p>
            <w:pPr>
              <w:spacing w:after="0"/>
              <w:rPr>
                <w:sz w:val="22"/>
                <w:szCs w:val="22"/>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8,500</w:t>
            </w:r>
          </w:p>
        </w:tc>
        <w:tc>
          <w:tcPr>
            <w:tcW w:w="0" w:type="dxa"/>
            <w:vAlign w:val="bottom"/>
          </w:tcPr>
          <w:p>
            <w:pPr>
              <w:spacing w:after="0"/>
              <w:rPr>
                <w:sz w:val="1"/>
                <w:szCs w:val="1"/>
                <w:color w:val="auto"/>
              </w:rPr>
            </w:pPr>
          </w:p>
        </w:tc>
      </w:tr>
      <w:tr>
        <w:trPr>
          <w:trHeight w:val="276"/>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12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3"/>
              </w:rPr>
              <w:t>9/21/2016</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13,800</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13,782</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13,800</w:t>
            </w:r>
          </w:p>
        </w:tc>
        <w:tc>
          <w:tcPr>
            <w:tcW w:w="0" w:type="dxa"/>
            <w:vAlign w:val="bottom"/>
          </w:tcPr>
          <w:p>
            <w:pPr>
              <w:spacing w:after="0"/>
              <w:rPr>
                <w:sz w:val="1"/>
                <w:szCs w:val="1"/>
                <w:color w:val="auto"/>
              </w:rPr>
            </w:pPr>
          </w:p>
        </w:tc>
      </w:tr>
      <w:tr>
        <w:trPr>
          <w:trHeight w:val="264"/>
        </w:trPr>
        <w:tc>
          <w:tcPr>
            <w:tcW w:w="1540" w:type="dxa"/>
            <w:vAlign w:val="bottom"/>
          </w:tcPr>
          <w:p>
            <w:pPr>
              <w:ind w:left="20"/>
              <w:spacing w:after="0"/>
              <w:rPr>
                <w:sz w:val="20"/>
                <w:szCs w:val="20"/>
                <w:color w:val="auto"/>
              </w:rPr>
            </w:pPr>
            <w:r>
              <w:rPr>
                <w:rFonts w:ascii="Arial" w:cs="Arial" w:eastAsia="Arial" w:hAnsi="Arial"/>
                <w:sz w:val="14"/>
                <w:szCs w:val="14"/>
                <w:color w:val="auto"/>
              </w:rPr>
              <w:t>Various states</w:t>
            </w:r>
            <w:r>
              <w:rPr>
                <w:rFonts w:ascii="Arial" w:cs="Arial" w:eastAsia="Arial" w:hAnsi="Arial"/>
                <w:sz w:val="8"/>
                <w:szCs w:val="8"/>
                <w:color w:val="auto"/>
              </w:rPr>
              <w:t>(2)</w:t>
            </w:r>
          </w:p>
        </w:tc>
        <w:tc>
          <w:tcPr>
            <w:tcW w:w="980" w:type="dxa"/>
            <w:vAlign w:val="bottom"/>
          </w:tcPr>
          <w:p>
            <w:pPr>
              <w:jc w:val="center"/>
              <w:spacing w:after="0"/>
              <w:rPr>
                <w:sz w:val="20"/>
                <w:szCs w:val="20"/>
                <w:color w:val="auto"/>
              </w:rPr>
            </w:pPr>
            <w:r>
              <w:rPr>
                <w:rFonts w:ascii="Arial" w:cs="Arial" w:eastAsia="Arial" w:hAnsi="Arial"/>
                <w:sz w:val="14"/>
                <w:szCs w:val="14"/>
                <w:color w:val="auto"/>
              </w:rPr>
              <w:t>23</w:t>
            </w:r>
          </w:p>
        </w:tc>
        <w:tc>
          <w:tcPr>
            <w:tcW w:w="1120" w:type="dxa"/>
            <w:vAlign w:val="bottom"/>
          </w:tcPr>
          <w:p>
            <w:pPr>
              <w:jc w:val="center"/>
              <w:ind w:right="28"/>
              <w:spacing w:after="0"/>
              <w:rPr>
                <w:sz w:val="20"/>
                <w:szCs w:val="20"/>
                <w:color w:val="auto"/>
              </w:rPr>
            </w:pPr>
            <w:r>
              <w:rPr>
                <w:rFonts w:ascii="Arial" w:cs="Arial" w:eastAsia="Arial" w:hAnsi="Arial"/>
                <w:sz w:val="14"/>
                <w:szCs w:val="14"/>
                <w:color w:val="auto"/>
                <w:w w:val="93"/>
              </w:rPr>
              <w:t>9/16/2016</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237,542</w:t>
            </w:r>
          </w:p>
        </w:tc>
        <w:tc>
          <w:tcPr>
            <w:tcW w:w="2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237,800</w:t>
            </w:r>
          </w:p>
        </w:tc>
        <w:tc>
          <w:tcPr>
            <w:tcW w:w="220" w:type="dxa"/>
            <w:vAlign w:val="bottom"/>
          </w:tcPr>
          <w:p>
            <w:pPr>
              <w:spacing w:after="0"/>
              <w:rPr>
                <w:sz w:val="22"/>
                <w:szCs w:val="22"/>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248,530</w:t>
            </w:r>
          </w:p>
        </w:tc>
        <w:tc>
          <w:tcPr>
            <w:tcW w:w="0" w:type="dxa"/>
            <w:vAlign w:val="bottom"/>
          </w:tcPr>
          <w:p>
            <w:pPr>
              <w:spacing w:after="0"/>
              <w:rPr>
                <w:sz w:val="1"/>
                <w:szCs w:val="1"/>
                <w:color w:val="auto"/>
              </w:rPr>
            </w:pPr>
          </w:p>
        </w:tc>
      </w:tr>
      <w:tr>
        <w:trPr>
          <w:trHeight w:val="276"/>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12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3"/>
              </w:rPr>
              <w:t>8/31/2016</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3,990</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3,998</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3,990</w:t>
            </w:r>
          </w:p>
        </w:tc>
        <w:tc>
          <w:tcPr>
            <w:tcW w:w="0" w:type="dxa"/>
            <w:vAlign w:val="bottom"/>
          </w:tcPr>
          <w:p>
            <w:pPr>
              <w:spacing w:after="0"/>
              <w:rPr>
                <w:sz w:val="1"/>
                <w:szCs w:val="1"/>
                <w:color w:val="auto"/>
              </w:rPr>
            </w:pPr>
          </w:p>
        </w:tc>
      </w:tr>
      <w:tr>
        <w:trPr>
          <w:trHeight w:val="264"/>
        </w:trPr>
        <w:tc>
          <w:tcPr>
            <w:tcW w:w="1540" w:type="dxa"/>
            <w:vAlign w:val="bottom"/>
          </w:tcPr>
          <w:p>
            <w:pPr>
              <w:ind w:left="20"/>
              <w:spacing w:after="0"/>
              <w:rPr>
                <w:sz w:val="20"/>
                <w:szCs w:val="20"/>
                <w:color w:val="auto"/>
              </w:rPr>
            </w:pPr>
            <w:r>
              <w:rPr>
                <w:rFonts w:ascii="Arial" w:cs="Arial" w:eastAsia="Arial" w:hAnsi="Arial"/>
                <w:sz w:val="14"/>
                <w:szCs w:val="14"/>
                <w:color w:val="auto"/>
              </w:rPr>
              <w:t>Texas</w:t>
            </w:r>
          </w:p>
        </w:tc>
        <w:tc>
          <w:tcPr>
            <w:tcW w:w="980" w:type="dxa"/>
            <w:vAlign w:val="bottom"/>
          </w:tcPr>
          <w:p>
            <w:pPr>
              <w:jc w:val="center"/>
              <w:spacing w:after="0"/>
              <w:rPr>
                <w:sz w:val="20"/>
                <w:szCs w:val="20"/>
                <w:color w:val="auto"/>
              </w:rPr>
            </w:pPr>
            <w:r>
              <w:rPr>
                <w:rFonts w:ascii="Arial" w:cs="Arial" w:eastAsia="Arial" w:hAnsi="Arial"/>
                <w:sz w:val="14"/>
                <w:szCs w:val="14"/>
                <w:color w:val="auto"/>
              </w:rPr>
              <w:t>1</w:t>
            </w:r>
          </w:p>
        </w:tc>
        <w:tc>
          <w:tcPr>
            <w:tcW w:w="1120" w:type="dxa"/>
            <w:vAlign w:val="bottom"/>
          </w:tcPr>
          <w:p>
            <w:pPr>
              <w:jc w:val="center"/>
              <w:ind w:right="28"/>
              <w:spacing w:after="0"/>
              <w:rPr>
                <w:sz w:val="20"/>
                <w:szCs w:val="20"/>
                <w:color w:val="auto"/>
              </w:rPr>
            </w:pPr>
            <w:r>
              <w:rPr>
                <w:rFonts w:ascii="Arial" w:cs="Arial" w:eastAsia="Arial" w:hAnsi="Arial"/>
                <w:sz w:val="14"/>
                <w:szCs w:val="14"/>
                <w:color w:val="auto"/>
                <w:w w:val="93"/>
              </w:rPr>
              <w:t>8/12/2016</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9,993</w:t>
            </w:r>
          </w:p>
        </w:tc>
        <w:tc>
          <w:tcPr>
            <w:tcW w:w="2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9,915</w:t>
            </w:r>
          </w:p>
        </w:tc>
        <w:tc>
          <w:tcPr>
            <w:tcW w:w="220" w:type="dxa"/>
            <w:vAlign w:val="bottom"/>
          </w:tcPr>
          <w:p>
            <w:pPr>
              <w:spacing w:after="0"/>
              <w:rPr>
                <w:sz w:val="22"/>
                <w:szCs w:val="22"/>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9,993</w:t>
            </w:r>
          </w:p>
        </w:tc>
        <w:tc>
          <w:tcPr>
            <w:tcW w:w="0" w:type="dxa"/>
            <w:vAlign w:val="bottom"/>
          </w:tcPr>
          <w:p>
            <w:pPr>
              <w:spacing w:after="0"/>
              <w:rPr>
                <w:sz w:val="1"/>
                <w:szCs w:val="1"/>
                <w:color w:val="auto"/>
              </w:rPr>
            </w:pPr>
          </w:p>
        </w:tc>
      </w:tr>
      <w:tr>
        <w:trPr>
          <w:trHeight w:val="276"/>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Hawaii</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12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3"/>
              </w:rPr>
              <w:t>7/14/2016</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30,955</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30,850</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30,955</w:t>
            </w:r>
          </w:p>
        </w:tc>
        <w:tc>
          <w:tcPr>
            <w:tcW w:w="0" w:type="dxa"/>
            <w:vAlign w:val="bottom"/>
          </w:tcPr>
          <w:p>
            <w:pPr>
              <w:spacing w:after="0"/>
              <w:rPr>
                <w:sz w:val="1"/>
                <w:szCs w:val="1"/>
                <w:color w:val="auto"/>
              </w:rPr>
            </w:pPr>
          </w:p>
        </w:tc>
      </w:tr>
      <w:tr>
        <w:trPr>
          <w:trHeight w:val="264"/>
        </w:trPr>
        <w:tc>
          <w:tcPr>
            <w:tcW w:w="1540" w:type="dxa"/>
            <w:vAlign w:val="bottom"/>
          </w:tcPr>
          <w:p>
            <w:pPr>
              <w:ind w:left="20"/>
              <w:spacing w:after="0"/>
              <w:rPr>
                <w:sz w:val="20"/>
                <w:szCs w:val="20"/>
                <w:color w:val="auto"/>
              </w:rPr>
            </w:pPr>
            <w:r>
              <w:rPr>
                <w:rFonts w:ascii="Arial" w:cs="Arial" w:eastAsia="Arial" w:hAnsi="Arial"/>
                <w:sz w:val="14"/>
                <w:szCs w:val="14"/>
                <w:color w:val="auto"/>
              </w:rPr>
              <w:t>Massachusetts</w:t>
            </w:r>
          </w:p>
        </w:tc>
        <w:tc>
          <w:tcPr>
            <w:tcW w:w="980" w:type="dxa"/>
            <w:vAlign w:val="bottom"/>
          </w:tcPr>
          <w:p>
            <w:pPr>
              <w:jc w:val="center"/>
              <w:spacing w:after="0"/>
              <w:rPr>
                <w:sz w:val="20"/>
                <w:szCs w:val="20"/>
                <w:color w:val="auto"/>
              </w:rPr>
            </w:pPr>
            <w:r>
              <w:rPr>
                <w:rFonts w:ascii="Arial" w:cs="Arial" w:eastAsia="Arial" w:hAnsi="Arial"/>
                <w:sz w:val="14"/>
                <w:szCs w:val="14"/>
                <w:color w:val="auto"/>
              </w:rPr>
              <w:t>1</w:t>
            </w:r>
          </w:p>
        </w:tc>
        <w:tc>
          <w:tcPr>
            <w:tcW w:w="1120" w:type="dxa"/>
            <w:vAlign w:val="bottom"/>
          </w:tcPr>
          <w:p>
            <w:pPr>
              <w:jc w:val="center"/>
              <w:ind w:right="28"/>
              <w:spacing w:after="0"/>
              <w:rPr>
                <w:sz w:val="20"/>
                <w:szCs w:val="20"/>
                <w:color w:val="auto"/>
              </w:rPr>
            </w:pPr>
            <w:r>
              <w:rPr>
                <w:rFonts w:ascii="Arial" w:cs="Arial" w:eastAsia="Arial" w:hAnsi="Arial"/>
                <w:sz w:val="14"/>
                <w:szCs w:val="14"/>
                <w:color w:val="auto"/>
                <w:w w:val="93"/>
              </w:rPr>
              <w:t>6/30/2016</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13,807</w:t>
            </w:r>
          </w:p>
        </w:tc>
        <w:tc>
          <w:tcPr>
            <w:tcW w:w="2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13,751</w:t>
            </w:r>
          </w:p>
        </w:tc>
        <w:tc>
          <w:tcPr>
            <w:tcW w:w="220" w:type="dxa"/>
            <w:vAlign w:val="bottom"/>
          </w:tcPr>
          <w:p>
            <w:pPr>
              <w:spacing w:after="0"/>
              <w:rPr>
                <w:sz w:val="22"/>
                <w:szCs w:val="22"/>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13,807</w:t>
            </w:r>
          </w:p>
        </w:tc>
        <w:tc>
          <w:tcPr>
            <w:tcW w:w="0" w:type="dxa"/>
            <w:vAlign w:val="bottom"/>
          </w:tcPr>
          <w:p>
            <w:pPr>
              <w:spacing w:after="0"/>
              <w:rPr>
                <w:sz w:val="1"/>
                <w:szCs w:val="1"/>
                <w:color w:val="auto"/>
              </w:rPr>
            </w:pPr>
          </w:p>
        </w:tc>
      </w:tr>
      <w:tr>
        <w:trPr>
          <w:trHeight w:val="276"/>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Georgia</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12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3"/>
              </w:rPr>
              <w:t>6/30/2016</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7,900</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6,696</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1,200</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13,764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7,900</w:t>
            </w:r>
          </w:p>
        </w:tc>
        <w:tc>
          <w:tcPr>
            <w:tcW w:w="0" w:type="dxa"/>
            <w:vAlign w:val="bottom"/>
          </w:tcPr>
          <w:p>
            <w:pPr>
              <w:spacing w:after="0"/>
              <w:rPr>
                <w:sz w:val="1"/>
                <w:szCs w:val="1"/>
                <w:color w:val="auto"/>
              </w:rPr>
            </w:pPr>
          </w:p>
        </w:tc>
      </w:tr>
      <w:tr>
        <w:trPr>
          <w:trHeight w:val="264"/>
        </w:trPr>
        <w:tc>
          <w:tcPr>
            <w:tcW w:w="1540" w:type="dxa"/>
            <w:vAlign w:val="bottom"/>
          </w:tcPr>
          <w:p>
            <w:pPr>
              <w:ind w:left="20"/>
              <w:spacing w:after="0"/>
              <w:rPr>
                <w:sz w:val="20"/>
                <w:szCs w:val="20"/>
                <w:color w:val="auto"/>
              </w:rPr>
            </w:pPr>
            <w:r>
              <w:rPr>
                <w:rFonts w:ascii="Arial" w:cs="Arial" w:eastAsia="Arial" w:hAnsi="Arial"/>
                <w:sz w:val="14"/>
                <w:szCs w:val="14"/>
                <w:color w:val="auto"/>
              </w:rPr>
              <w:t>Illinois</w:t>
            </w:r>
          </w:p>
        </w:tc>
        <w:tc>
          <w:tcPr>
            <w:tcW w:w="980" w:type="dxa"/>
            <w:vAlign w:val="bottom"/>
          </w:tcPr>
          <w:p>
            <w:pPr>
              <w:jc w:val="center"/>
              <w:spacing w:after="0"/>
              <w:rPr>
                <w:sz w:val="20"/>
                <w:szCs w:val="20"/>
                <w:color w:val="auto"/>
              </w:rPr>
            </w:pPr>
            <w:r>
              <w:rPr>
                <w:rFonts w:ascii="Arial" w:cs="Arial" w:eastAsia="Arial" w:hAnsi="Arial"/>
                <w:sz w:val="14"/>
                <w:szCs w:val="14"/>
                <w:color w:val="auto"/>
              </w:rPr>
              <w:t>4</w:t>
            </w:r>
          </w:p>
        </w:tc>
        <w:tc>
          <w:tcPr>
            <w:tcW w:w="1120" w:type="dxa"/>
            <w:vAlign w:val="bottom"/>
          </w:tcPr>
          <w:p>
            <w:pPr>
              <w:jc w:val="center"/>
              <w:ind w:right="28"/>
              <w:spacing w:after="0"/>
              <w:rPr>
                <w:sz w:val="20"/>
                <w:szCs w:val="20"/>
                <w:color w:val="auto"/>
              </w:rPr>
            </w:pPr>
            <w:r>
              <w:rPr>
                <w:rFonts w:ascii="Arial" w:cs="Arial" w:eastAsia="Arial" w:hAnsi="Arial"/>
                <w:sz w:val="14"/>
                <w:szCs w:val="14"/>
                <w:color w:val="auto"/>
                <w:w w:val="93"/>
              </w:rPr>
              <w:t>6/10/2016</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55,851</w:t>
            </w:r>
          </w:p>
        </w:tc>
        <w:tc>
          <w:tcPr>
            <w:tcW w:w="2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814</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55,037</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2,201,467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55,851</w:t>
            </w:r>
          </w:p>
        </w:tc>
        <w:tc>
          <w:tcPr>
            <w:tcW w:w="0" w:type="dxa"/>
            <w:vAlign w:val="bottom"/>
          </w:tcPr>
          <w:p>
            <w:pPr>
              <w:spacing w:after="0"/>
              <w:rPr>
                <w:sz w:val="1"/>
                <w:szCs w:val="1"/>
                <w:color w:val="auto"/>
              </w:rPr>
            </w:pPr>
          </w:p>
        </w:tc>
      </w:tr>
      <w:tr>
        <w:trPr>
          <w:trHeight w:val="276"/>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112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5"/>
              </w:rPr>
              <w:t>6/2/2016</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37,478</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37,246</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37,478</w:t>
            </w:r>
          </w:p>
        </w:tc>
        <w:tc>
          <w:tcPr>
            <w:tcW w:w="0" w:type="dxa"/>
            <w:vAlign w:val="bottom"/>
          </w:tcPr>
          <w:p>
            <w:pPr>
              <w:spacing w:after="0"/>
              <w:rPr>
                <w:sz w:val="1"/>
                <w:szCs w:val="1"/>
                <w:color w:val="auto"/>
              </w:rPr>
            </w:pPr>
          </w:p>
        </w:tc>
      </w:tr>
      <w:tr>
        <w:trPr>
          <w:trHeight w:val="264"/>
        </w:trPr>
        <w:tc>
          <w:tcPr>
            <w:tcW w:w="1540" w:type="dxa"/>
            <w:vAlign w:val="bottom"/>
          </w:tcPr>
          <w:p>
            <w:pPr>
              <w:ind w:left="20"/>
              <w:spacing w:after="0"/>
              <w:rPr>
                <w:sz w:val="20"/>
                <w:szCs w:val="20"/>
                <w:color w:val="auto"/>
              </w:rPr>
            </w:pPr>
            <w:r>
              <w:rPr>
                <w:rFonts w:ascii="Arial" w:cs="Arial" w:eastAsia="Arial" w:hAnsi="Arial"/>
                <w:sz w:val="14"/>
                <w:szCs w:val="14"/>
                <w:color w:val="auto"/>
              </w:rPr>
              <w:t>South Carolina</w:t>
            </w:r>
          </w:p>
        </w:tc>
        <w:tc>
          <w:tcPr>
            <w:tcW w:w="980" w:type="dxa"/>
            <w:vAlign w:val="bottom"/>
          </w:tcPr>
          <w:p>
            <w:pPr>
              <w:jc w:val="center"/>
              <w:spacing w:after="0"/>
              <w:rPr>
                <w:sz w:val="20"/>
                <w:szCs w:val="20"/>
                <w:color w:val="auto"/>
              </w:rPr>
            </w:pPr>
            <w:r>
              <w:rPr>
                <w:rFonts w:ascii="Arial" w:cs="Arial" w:eastAsia="Arial" w:hAnsi="Arial"/>
                <w:sz w:val="14"/>
                <w:szCs w:val="14"/>
                <w:color w:val="auto"/>
              </w:rPr>
              <w:t>1</w:t>
            </w:r>
          </w:p>
        </w:tc>
        <w:tc>
          <w:tcPr>
            <w:tcW w:w="1120" w:type="dxa"/>
            <w:vAlign w:val="bottom"/>
          </w:tcPr>
          <w:p>
            <w:pPr>
              <w:jc w:val="center"/>
              <w:ind w:right="28"/>
              <w:spacing w:after="0"/>
              <w:rPr>
                <w:sz w:val="20"/>
                <w:szCs w:val="20"/>
                <w:color w:val="auto"/>
              </w:rPr>
            </w:pPr>
            <w:r>
              <w:rPr>
                <w:rFonts w:ascii="Arial" w:cs="Arial" w:eastAsia="Arial" w:hAnsi="Arial"/>
                <w:sz w:val="14"/>
                <w:szCs w:val="14"/>
                <w:color w:val="auto"/>
                <w:w w:val="93"/>
              </w:rPr>
              <w:t>5/10/2016</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8,249</w:t>
            </w:r>
          </w:p>
        </w:tc>
        <w:tc>
          <w:tcPr>
            <w:tcW w:w="2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8,230</w:t>
            </w:r>
          </w:p>
        </w:tc>
        <w:tc>
          <w:tcPr>
            <w:tcW w:w="220" w:type="dxa"/>
            <w:vAlign w:val="bottom"/>
          </w:tcPr>
          <w:p>
            <w:pPr>
              <w:spacing w:after="0"/>
              <w:rPr>
                <w:sz w:val="22"/>
                <w:szCs w:val="22"/>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8,249</w:t>
            </w:r>
          </w:p>
        </w:tc>
        <w:tc>
          <w:tcPr>
            <w:tcW w:w="0" w:type="dxa"/>
            <w:vAlign w:val="bottom"/>
          </w:tcPr>
          <w:p>
            <w:pPr>
              <w:spacing w:after="0"/>
              <w:rPr>
                <w:sz w:val="1"/>
                <w:szCs w:val="1"/>
                <w:color w:val="auto"/>
              </w:rPr>
            </w:pPr>
          </w:p>
        </w:tc>
      </w:tr>
      <w:tr>
        <w:trPr>
          <w:trHeight w:val="276"/>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Washington, DC</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12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5"/>
              </w:rPr>
              <w:t>5/5/2016</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32,968</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23,163</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9,723</w:t>
            </w:r>
          </w:p>
        </w:tc>
        <w:tc>
          <w:tcPr>
            <w:tcW w:w="6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32,968</w:t>
            </w:r>
          </w:p>
        </w:tc>
        <w:tc>
          <w:tcPr>
            <w:tcW w:w="0" w:type="dxa"/>
            <w:vAlign w:val="bottom"/>
          </w:tcPr>
          <w:p>
            <w:pPr>
              <w:spacing w:after="0"/>
              <w:rPr>
                <w:sz w:val="1"/>
                <w:szCs w:val="1"/>
                <w:color w:val="auto"/>
              </w:rPr>
            </w:pPr>
          </w:p>
        </w:tc>
      </w:tr>
      <w:tr>
        <w:trPr>
          <w:trHeight w:val="264"/>
        </w:trPr>
        <w:tc>
          <w:tcPr>
            <w:tcW w:w="1540" w:type="dxa"/>
            <w:vAlign w:val="bottom"/>
          </w:tcPr>
          <w:p>
            <w:pPr>
              <w:ind w:left="20"/>
              <w:spacing w:after="0"/>
              <w:rPr>
                <w:sz w:val="20"/>
                <w:szCs w:val="20"/>
                <w:color w:val="auto"/>
              </w:rPr>
            </w:pPr>
            <w:r>
              <w:rPr>
                <w:rFonts w:ascii="Arial" w:cs="Arial" w:eastAsia="Arial" w:hAnsi="Arial"/>
                <w:sz w:val="14"/>
                <w:szCs w:val="14"/>
                <w:color w:val="auto"/>
              </w:rPr>
              <w:t>Indiana</w:t>
            </w:r>
          </w:p>
        </w:tc>
        <w:tc>
          <w:tcPr>
            <w:tcW w:w="980" w:type="dxa"/>
            <w:vAlign w:val="bottom"/>
          </w:tcPr>
          <w:p>
            <w:pPr>
              <w:jc w:val="center"/>
              <w:spacing w:after="0"/>
              <w:rPr>
                <w:sz w:val="20"/>
                <w:szCs w:val="20"/>
                <w:color w:val="auto"/>
              </w:rPr>
            </w:pPr>
            <w:r>
              <w:rPr>
                <w:rFonts w:ascii="Arial" w:cs="Arial" w:eastAsia="Arial" w:hAnsi="Arial"/>
                <w:sz w:val="14"/>
                <w:szCs w:val="14"/>
                <w:color w:val="auto"/>
              </w:rPr>
              <w:t>5</w:t>
            </w:r>
          </w:p>
        </w:tc>
        <w:tc>
          <w:tcPr>
            <w:tcW w:w="1120" w:type="dxa"/>
            <w:vAlign w:val="bottom"/>
          </w:tcPr>
          <w:p>
            <w:pPr>
              <w:jc w:val="center"/>
              <w:ind w:right="28"/>
              <w:spacing w:after="0"/>
              <w:rPr>
                <w:sz w:val="20"/>
                <w:szCs w:val="20"/>
                <w:color w:val="auto"/>
              </w:rPr>
            </w:pPr>
            <w:r>
              <w:rPr>
                <w:rFonts w:ascii="Arial" w:cs="Arial" w:eastAsia="Arial" w:hAnsi="Arial"/>
                <w:sz w:val="14"/>
                <w:szCs w:val="14"/>
                <w:color w:val="auto"/>
                <w:w w:val="93"/>
              </w:rPr>
              <w:t>4/22/2016</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26,983</w:t>
            </w:r>
          </w:p>
        </w:tc>
        <w:tc>
          <w:tcPr>
            <w:tcW w:w="2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26,849</w:t>
            </w:r>
          </w:p>
        </w:tc>
        <w:tc>
          <w:tcPr>
            <w:tcW w:w="220" w:type="dxa"/>
            <w:vAlign w:val="bottom"/>
          </w:tcPr>
          <w:p>
            <w:pPr>
              <w:spacing w:after="0"/>
              <w:rPr>
                <w:sz w:val="22"/>
                <w:szCs w:val="22"/>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26,983</w:t>
            </w:r>
          </w:p>
        </w:tc>
        <w:tc>
          <w:tcPr>
            <w:tcW w:w="0" w:type="dxa"/>
            <w:vAlign w:val="bottom"/>
          </w:tcPr>
          <w:p>
            <w:pPr>
              <w:spacing w:after="0"/>
              <w:rPr>
                <w:sz w:val="1"/>
                <w:szCs w:val="1"/>
                <w:color w:val="auto"/>
              </w:rPr>
            </w:pPr>
          </w:p>
        </w:tc>
      </w:tr>
      <w:tr>
        <w:trPr>
          <w:trHeight w:val="276"/>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Colorado</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12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3"/>
              </w:rPr>
              <w:t>4/19/2016</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7,904</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7,869</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7,904</w:t>
            </w:r>
          </w:p>
        </w:tc>
        <w:tc>
          <w:tcPr>
            <w:tcW w:w="0" w:type="dxa"/>
            <w:vAlign w:val="bottom"/>
          </w:tcPr>
          <w:p>
            <w:pPr>
              <w:spacing w:after="0"/>
              <w:rPr>
                <w:sz w:val="1"/>
                <w:szCs w:val="1"/>
                <w:color w:val="auto"/>
              </w:rPr>
            </w:pPr>
          </w:p>
        </w:tc>
      </w:tr>
      <w:tr>
        <w:trPr>
          <w:trHeight w:val="264"/>
        </w:trPr>
        <w:tc>
          <w:tcPr>
            <w:tcW w:w="1540" w:type="dxa"/>
            <w:vAlign w:val="bottom"/>
          </w:tcPr>
          <w:p>
            <w:pPr>
              <w:ind w:left="20"/>
              <w:spacing w:after="0"/>
              <w:rPr>
                <w:sz w:val="20"/>
                <w:szCs w:val="20"/>
                <w:color w:val="auto"/>
              </w:rPr>
            </w:pPr>
            <w:r>
              <w:rPr>
                <w:rFonts w:ascii="Arial" w:cs="Arial" w:eastAsia="Arial" w:hAnsi="Arial"/>
                <w:sz w:val="14"/>
                <w:szCs w:val="14"/>
                <w:color w:val="auto"/>
              </w:rPr>
              <w:t>Arizona</w:t>
            </w:r>
          </w:p>
        </w:tc>
        <w:tc>
          <w:tcPr>
            <w:tcW w:w="980" w:type="dxa"/>
            <w:vAlign w:val="bottom"/>
          </w:tcPr>
          <w:p>
            <w:pPr>
              <w:jc w:val="center"/>
              <w:spacing w:after="0"/>
              <w:rPr>
                <w:sz w:val="20"/>
                <w:szCs w:val="20"/>
                <w:color w:val="auto"/>
              </w:rPr>
            </w:pPr>
            <w:r>
              <w:rPr>
                <w:rFonts w:ascii="Arial" w:cs="Arial" w:eastAsia="Arial" w:hAnsi="Arial"/>
                <w:sz w:val="14"/>
                <w:szCs w:val="14"/>
                <w:color w:val="auto"/>
              </w:rPr>
              <w:t>1</w:t>
            </w:r>
          </w:p>
        </w:tc>
        <w:tc>
          <w:tcPr>
            <w:tcW w:w="1120" w:type="dxa"/>
            <w:vAlign w:val="bottom"/>
          </w:tcPr>
          <w:p>
            <w:pPr>
              <w:jc w:val="center"/>
              <w:ind w:right="28"/>
              <w:spacing w:after="0"/>
              <w:rPr>
                <w:sz w:val="20"/>
                <w:szCs w:val="20"/>
                <w:color w:val="auto"/>
              </w:rPr>
            </w:pPr>
            <w:r>
              <w:rPr>
                <w:rFonts w:ascii="Arial" w:cs="Arial" w:eastAsia="Arial" w:hAnsi="Arial"/>
                <w:sz w:val="14"/>
                <w:szCs w:val="14"/>
                <w:color w:val="auto"/>
                <w:w w:val="93"/>
              </w:rPr>
              <w:t>4/18/2016</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8,154</w:t>
            </w:r>
          </w:p>
        </w:tc>
        <w:tc>
          <w:tcPr>
            <w:tcW w:w="2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8,029</w:t>
            </w:r>
          </w:p>
        </w:tc>
        <w:tc>
          <w:tcPr>
            <w:tcW w:w="220" w:type="dxa"/>
            <w:vAlign w:val="bottom"/>
          </w:tcPr>
          <w:p>
            <w:pPr>
              <w:spacing w:after="0"/>
              <w:rPr>
                <w:sz w:val="22"/>
                <w:szCs w:val="22"/>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8,154</w:t>
            </w:r>
          </w:p>
        </w:tc>
        <w:tc>
          <w:tcPr>
            <w:tcW w:w="0" w:type="dxa"/>
            <w:vAlign w:val="bottom"/>
          </w:tcPr>
          <w:p>
            <w:pPr>
              <w:spacing w:after="0"/>
              <w:rPr>
                <w:sz w:val="1"/>
                <w:szCs w:val="1"/>
                <w:color w:val="auto"/>
              </w:rPr>
            </w:pPr>
          </w:p>
        </w:tc>
      </w:tr>
      <w:tr>
        <w:trPr>
          <w:trHeight w:val="276"/>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12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3"/>
              </w:rPr>
              <w:t>4/15/2016</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10,978</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10,922</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10,978</w:t>
            </w:r>
          </w:p>
        </w:tc>
        <w:tc>
          <w:tcPr>
            <w:tcW w:w="0" w:type="dxa"/>
            <w:vAlign w:val="bottom"/>
          </w:tcPr>
          <w:p>
            <w:pPr>
              <w:spacing w:after="0"/>
              <w:rPr>
                <w:sz w:val="1"/>
                <w:szCs w:val="1"/>
                <w:color w:val="auto"/>
              </w:rPr>
            </w:pPr>
          </w:p>
        </w:tc>
      </w:tr>
      <w:tr>
        <w:trPr>
          <w:trHeight w:val="264"/>
        </w:trPr>
        <w:tc>
          <w:tcPr>
            <w:tcW w:w="1540" w:type="dxa"/>
            <w:vAlign w:val="bottom"/>
          </w:tcPr>
          <w:p>
            <w:pPr>
              <w:ind w:left="20"/>
              <w:spacing w:after="0"/>
              <w:rPr>
                <w:sz w:val="20"/>
                <w:szCs w:val="20"/>
                <w:color w:val="auto"/>
              </w:rPr>
            </w:pPr>
            <w:r>
              <w:rPr>
                <w:rFonts w:ascii="Arial" w:cs="Arial" w:eastAsia="Arial" w:hAnsi="Arial"/>
                <w:sz w:val="14"/>
                <w:szCs w:val="14"/>
                <w:color w:val="auto"/>
              </w:rPr>
              <w:t>Arizona</w:t>
            </w:r>
          </w:p>
        </w:tc>
        <w:tc>
          <w:tcPr>
            <w:tcW w:w="980" w:type="dxa"/>
            <w:vAlign w:val="bottom"/>
          </w:tcPr>
          <w:p>
            <w:pPr>
              <w:jc w:val="center"/>
              <w:spacing w:after="0"/>
              <w:rPr>
                <w:sz w:val="20"/>
                <w:szCs w:val="20"/>
                <w:color w:val="auto"/>
              </w:rPr>
            </w:pPr>
            <w:r>
              <w:rPr>
                <w:rFonts w:ascii="Arial" w:cs="Arial" w:eastAsia="Arial" w:hAnsi="Arial"/>
                <w:sz w:val="14"/>
                <w:szCs w:val="14"/>
                <w:color w:val="auto"/>
              </w:rPr>
              <w:t>1</w:t>
            </w: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5"/>
              </w:rPr>
              <w:t>4/5/2016</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5,000</w:t>
            </w:r>
          </w:p>
        </w:tc>
        <w:tc>
          <w:tcPr>
            <w:tcW w:w="2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4,999</w:t>
            </w:r>
          </w:p>
        </w:tc>
        <w:tc>
          <w:tcPr>
            <w:tcW w:w="220" w:type="dxa"/>
            <w:vAlign w:val="bottom"/>
          </w:tcPr>
          <w:p>
            <w:pPr>
              <w:spacing w:after="0"/>
              <w:rPr>
                <w:sz w:val="22"/>
                <w:szCs w:val="22"/>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276"/>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Hawaii</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12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5"/>
              </w:rPr>
              <w:t>4/5/2016</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28,992</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28,935</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28,992</w:t>
            </w:r>
          </w:p>
        </w:tc>
        <w:tc>
          <w:tcPr>
            <w:tcW w:w="0" w:type="dxa"/>
            <w:vAlign w:val="bottom"/>
          </w:tcPr>
          <w:p>
            <w:pPr>
              <w:spacing w:after="0"/>
              <w:rPr>
                <w:sz w:val="1"/>
                <w:szCs w:val="1"/>
                <w:color w:val="auto"/>
              </w:rPr>
            </w:pPr>
          </w:p>
        </w:tc>
      </w:tr>
      <w:tr>
        <w:trPr>
          <w:trHeight w:val="264"/>
        </w:trPr>
        <w:tc>
          <w:tcPr>
            <w:tcW w:w="1540" w:type="dxa"/>
            <w:vAlign w:val="bottom"/>
          </w:tcPr>
          <w:p>
            <w:pPr>
              <w:ind w:left="20"/>
              <w:spacing w:after="0"/>
              <w:rPr>
                <w:sz w:val="20"/>
                <w:szCs w:val="20"/>
                <w:color w:val="auto"/>
              </w:rPr>
            </w:pPr>
            <w:r>
              <w:rPr>
                <w:rFonts w:ascii="Arial" w:cs="Arial" w:eastAsia="Arial" w:hAnsi="Arial"/>
                <w:sz w:val="14"/>
                <w:szCs w:val="14"/>
                <w:color w:val="auto"/>
              </w:rPr>
              <w:t>New Mexico</w:t>
            </w:r>
          </w:p>
        </w:tc>
        <w:tc>
          <w:tcPr>
            <w:tcW w:w="980" w:type="dxa"/>
            <w:vAlign w:val="bottom"/>
          </w:tcPr>
          <w:p>
            <w:pPr>
              <w:jc w:val="center"/>
              <w:spacing w:after="0"/>
              <w:rPr>
                <w:sz w:val="20"/>
                <w:szCs w:val="20"/>
                <w:color w:val="auto"/>
              </w:rPr>
            </w:pPr>
            <w:r>
              <w:rPr>
                <w:rFonts w:ascii="Arial" w:cs="Arial" w:eastAsia="Arial" w:hAnsi="Arial"/>
                <w:sz w:val="14"/>
                <w:szCs w:val="14"/>
                <w:color w:val="auto"/>
              </w:rPr>
              <w:t>1</w:t>
            </w:r>
          </w:p>
        </w:tc>
        <w:tc>
          <w:tcPr>
            <w:tcW w:w="1120" w:type="dxa"/>
            <w:vAlign w:val="bottom"/>
          </w:tcPr>
          <w:p>
            <w:pPr>
              <w:jc w:val="center"/>
              <w:ind w:right="28"/>
              <w:spacing w:after="0"/>
              <w:rPr>
                <w:sz w:val="20"/>
                <w:szCs w:val="20"/>
                <w:color w:val="auto"/>
              </w:rPr>
            </w:pPr>
            <w:r>
              <w:rPr>
                <w:rFonts w:ascii="Arial" w:cs="Arial" w:eastAsia="Arial" w:hAnsi="Arial"/>
                <w:sz w:val="14"/>
                <w:szCs w:val="14"/>
                <w:color w:val="auto"/>
                <w:w w:val="93"/>
              </w:rPr>
              <w:t>3/29/2016</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10,958</w:t>
            </w:r>
          </w:p>
        </w:tc>
        <w:tc>
          <w:tcPr>
            <w:tcW w:w="2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10,928</w:t>
            </w:r>
          </w:p>
        </w:tc>
        <w:tc>
          <w:tcPr>
            <w:tcW w:w="220" w:type="dxa"/>
            <w:vAlign w:val="bottom"/>
          </w:tcPr>
          <w:p>
            <w:pPr>
              <w:spacing w:after="0"/>
              <w:rPr>
                <w:sz w:val="22"/>
                <w:szCs w:val="22"/>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10,958</w:t>
            </w:r>
          </w:p>
        </w:tc>
        <w:tc>
          <w:tcPr>
            <w:tcW w:w="0" w:type="dxa"/>
            <w:vAlign w:val="bottom"/>
          </w:tcPr>
          <w:p>
            <w:pPr>
              <w:spacing w:after="0"/>
              <w:rPr>
                <w:sz w:val="1"/>
                <w:szCs w:val="1"/>
                <w:color w:val="auto"/>
              </w:rPr>
            </w:pPr>
          </w:p>
        </w:tc>
      </w:tr>
      <w:tr>
        <w:trPr>
          <w:trHeight w:val="276"/>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Mexico</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12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3"/>
              </w:rPr>
              <w:t>3/29/2016</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17,940</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17,905</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17,940</w:t>
            </w:r>
          </w:p>
        </w:tc>
        <w:tc>
          <w:tcPr>
            <w:tcW w:w="0" w:type="dxa"/>
            <w:vAlign w:val="bottom"/>
          </w:tcPr>
          <w:p>
            <w:pPr>
              <w:spacing w:after="0"/>
              <w:rPr>
                <w:sz w:val="1"/>
                <w:szCs w:val="1"/>
                <w:color w:val="auto"/>
              </w:rPr>
            </w:pPr>
          </w:p>
        </w:tc>
      </w:tr>
      <w:tr>
        <w:trPr>
          <w:trHeight w:val="258"/>
        </w:trPr>
        <w:tc>
          <w:tcPr>
            <w:tcW w:w="1540" w:type="dxa"/>
            <w:vAlign w:val="bottom"/>
          </w:tcPr>
          <w:p>
            <w:pPr>
              <w:ind w:left="20"/>
              <w:spacing w:after="0"/>
              <w:rPr>
                <w:sz w:val="20"/>
                <w:szCs w:val="20"/>
                <w:color w:val="auto"/>
              </w:rPr>
            </w:pPr>
            <w:r>
              <w:rPr>
                <w:rFonts w:ascii="Arial" w:cs="Arial" w:eastAsia="Arial" w:hAnsi="Arial"/>
                <w:sz w:val="14"/>
                <w:szCs w:val="14"/>
                <w:color w:val="auto"/>
              </w:rPr>
              <w:t>Georgia</w:t>
            </w:r>
          </w:p>
        </w:tc>
        <w:tc>
          <w:tcPr>
            <w:tcW w:w="980" w:type="dxa"/>
            <w:vAlign w:val="bottom"/>
          </w:tcPr>
          <w:p>
            <w:pPr>
              <w:jc w:val="center"/>
              <w:spacing w:after="0"/>
              <w:rPr>
                <w:sz w:val="20"/>
                <w:szCs w:val="20"/>
                <w:color w:val="auto"/>
              </w:rPr>
            </w:pPr>
            <w:r>
              <w:rPr>
                <w:rFonts w:ascii="Arial" w:cs="Arial" w:eastAsia="Arial" w:hAnsi="Arial"/>
                <w:sz w:val="14"/>
                <w:szCs w:val="14"/>
                <w:color w:val="auto"/>
              </w:rPr>
              <w:t>3</w:t>
            </w:r>
          </w:p>
        </w:tc>
        <w:tc>
          <w:tcPr>
            <w:tcW w:w="1120" w:type="dxa"/>
            <w:vAlign w:val="bottom"/>
          </w:tcPr>
          <w:p>
            <w:pPr>
              <w:jc w:val="center"/>
              <w:ind w:right="28"/>
              <w:spacing w:after="0"/>
              <w:rPr>
                <w:sz w:val="20"/>
                <w:szCs w:val="20"/>
                <w:color w:val="auto"/>
              </w:rPr>
            </w:pPr>
            <w:r>
              <w:rPr>
                <w:rFonts w:ascii="Arial" w:cs="Arial" w:eastAsia="Arial" w:hAnsi="Arial"/>
                <w:sz w:val="14"/>
                <w:szCs w:val="14"/>
                <w:color w:val="auto"/>
                <w:w w:val="93"/>
              </w:rPr>
              <w:t>3/29/2016</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25,087</w:t>
            </w:r>
          </w:p>
        </w:tc>
        <w:tc>
          <w:tcPr>
            <w:tcW w:w="2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25,069</w:t>
            </w:r>
          </w:p>
        </w:tc>
        <w:tc>
          <w:tcPr>
            <w:tcW w:w="220" w:type="dxa"/>
            <w:vAlign w:val="bottom"/>
          </w:tcPr>
          <w:p>
            <w:pPr>
              <w:spacing w:after="0"/>
              <w:rPr>
                <w:sz w:val="22"/>
                <w:szCs w:val="22"/>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25,087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00"/>
          </w:cols>
          <w:pgMar w:left="240" w:top="121" w:right="25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Consideration Paid</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2"/>
        </w:trPr>
        <w:tc>
          <w:tcPr>
            <w:tcW w:w="1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center"/>
              <w:ind w:right="28"/>
              <w:spacing w:after="0" w:line="152" w:lineRule="exact"/>
              <w:rPr>
                <w:sz w:val="20"/>
                <w:szCs w:val="20"/>
                <w:color w:val="auto"/>
              </w:rPr>
            </w:pPr>
            <w:r>
              <w:rPr>
                <w:rFonts w:ascii="Arial" w:cs="Arial" w:eastAsia="Arial" w:hAnsi="Arial"/>
                <w:sz w:val="14"/>
                <w:szCs w:val="14"/>
                <w:b w:val="1"/>
                <w:bCs w:val="1"/>
                <w:color w:val="auto"/>
                <w:w w:val="87"/>
              </w:rPr>
              <w:t>Notes</w:t>
            </w:r>
          </w:p>
        </w:tc>
        <w:tc>
          <w:tcPr>
            <w:tcW w:w="260" w:type="dxa"/>
            <w:vAlign w:val="bottom"/>
          </w:tcPr>
          <w:p>
            <w:pPr>
              <w:spacing w:after="0"/>
              <w:rPr>
                <w:sz w:val="13"/>
                <w:szCs w:val="13"/>
                <w:color w:val="auto"/>
              </w:rPr>
            </w:pPr>
          </w:p>
        </w:tc>
        <w:tc>
          <w:tcPr>
            <w:tcW w:w="9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78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1"/>
              </w:rPr>
              <w:t>Value of</w:t>
            </w: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Loan</w:t>
            </w:r>
          </w:p>
        </w:tc>
        <w:tc>
          <w:tcPr>
            <w:tcW w:w="180" w:type="dxa"/>
            <w:vAlign w:val="bottom"/>
          </w:tcPr>
          <w:p>
            <w:pPr>
              <w:spacing w:after="0"/>
              <w:rPr>
                <w:sz w:val="12"/>
                <w:szCs w:val="12"/>
                <w:color w:val="auto"/>
              </w:rPr>
            </w:pPr>
          </w:p>
        </w:tc>
        <w:tc>
          <w:tcPr>
            <w:tcW w:w="6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5"/>
              </w:rPr>
              <w:t>issued</w:t>
            </w:r>
          </w:p>
        </w:tc>
        <w:tc>
          <w:tcPr>
            <w:tcW w:w="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1"/>
              </w:rPr>
              <w:t>Real estate</w:t>
            </w:r>
          </w:p>
        </w:tc>
        <w:tc>
          <w:tcPr>
            <w:tcW w:w="0" w:type="dxa"/>
            <w:vAlign w:val="bottom"/>
          </w:tcPr>
          <w:p>
            <w:pPr>
              <w:spacing w:after="0"/>
              <w:rPr>
                <w:sz w:val="1"/>
                <w:szCs w:val="1"/>
                <w:color w:val="auto"/>
              </w:rPr>
            </w:pPr>
          </w:p>
        </w:tc>
      </w:tr>
      <w:tr>
        <w:trPr>
          <w:trHeight w:val="148"/>
        </w:trPr>
        <w:tc>
          <w:tcPr>
            <w:tcW w:w="16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Property Location</w:t>
            </w:r>
          </w:p>
        </w:tc>
        <w:tc>
          <w:tcPr>
            <w:tcW w:w="78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8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7"/>
              </w:rPr>
              <w:t>Cash Paid</w:t>
            </w:r>
          </w:p>
        </w:tc>
        <w:tc>
          <w:tcPr>
            <w:tcW w:w="2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5"/>
              </w:rPr>
              <w:t>to/from</w:t>
            </w:r>
          </w:p>
        </w:tc>
        <w:tc>
          <w:tcPr>
            <w:tcW w:w="12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2"/>
              </w:rPr>
              <w:t>Liabilities/(Assets)</w:t>
            </w:r>
          </w:p>
        </w:tc>
        <w:tc>
          <w:tcPr>
            <w:tcW w:w="100" w:type="dxa"/>
            <w:vAlign w:val="bottom"/>
          </w:tcPr>
          <w:p>
            <w:pPr>
              <w:spacing w:after="0"/>
              <w:rPr>
                <w:sz w:val="12"/>
                <w:szCs w:val="12"/>
                <w:color w:val="auto"/>
              </w:rPr>
            </w:pPr>
          </w:p>
        </w:tc>
        <w:tc>
          <w:tcPr>
            <w:tcW w:w="78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4"/>
              </w:rPr>
              <w:t>OP Units</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OP Units</w:t>
            </w: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64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Stores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1"/>
              </w:rPr>
              <w:t>Assumed</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Seller</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Assumed</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5"/>
              </w:rPr>
              <w:t>Issued</w:t>
            </w:r>
          </w:p>
        </w:tc>
        <w:tc>
          <w:tcPr>
            <w:tcW w:w="7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Issued</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69"/>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3/21/2016</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9,994</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9,969</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9,994</w:t>
            </w:r>
          </w:p>
        </w:tc>
        <w:tc>
          <w:tcPr>
            <w:tcW w:w="0" w:type="dxa"/>
            <w:vAlign w:val="bottom"/>
          </w:tcPr>
          <w:p>
            <w:pPr>
              <w:spacing w:after="0"/>
              <w:rPr>
                <w:sz w:val="1"/>
                <w:szCs w:val="1"/>
                <w:color w:val="auto"/>
              </w:rPr>
            </w:pPr>
          </w:p>
        </w:tc>
      </w:tr>
      <w:tr>
        <w:trPr>
          <w:trHeight w:val="264"/>
        </w:trPr>
        <w:tc>
          <w:tcPr>
            <w:tcW w:w="1640" w:type="dxa"/>
            <w:vAlign w:val="bottom"/>
          </w:tcPr>
          <w:p>
            <w:pPr>
              <w:ind w:left="20"/>
              <w:spacing w:after="0"/>
              <w:rPr>
                <w:sz w:val="20"/>
                <w:szCs w:val="20"/>
                <w:color w:val="auto"/>
              </w:rPr>
            </w:pPr>
            <w:r>
              <w:rPr>
                <w:rFonts w:ascii="Arial" w:cs="Arial" w:eastAsia="Arial" w:hAnsi="Arial"/>
                <w:sz w:val="14"/>
                <w:szCs w:val="14"/>
                <w:color w:val="auto"/>
              </w:rPr>
              <w:t>Illinois</w:t>
            </w:r>
          </w:p>
        </w:tc>
        <w:tc>
          <w:tcPr>
            <w:tcW w:w="780" w:type="dxa"/>
            <w:vAlign w:val="bottom"/>
          </w:tcPr>
          <w:p>
            <w:pPr>
              <w:jc w:val="center"/>
              <w:spacing w:after="0"/>
              <w:rPr>
                <w:sz w:val="20"/>
                <w:szCs w:val="20"/>
                <w:color w:val="auto"/>
              </w:rPr>
            </w:pPr>
            <w:r>
              <w:rPr>
                <w:rFonts w:ascii="Arial" w:cs="Arial" w:eastAsia="Arial" w:hAnsi="Arial"/>
                <w:sz w:val="14"/>
                <w:szCs w:val="14"/>
                <w:color w:val="auto"/>
              </w:rPr>
              <w:t>1</w:t>
            </w:r>
          </w:p>
        </w:tc>
        <w:tc>
          <w:tcPr>
            <w:tcW w:w="1220" w:type="dxa"/>
            <w:vAlign w:val="bottom"/>
          </w:tcPr>
          <w:p>
            <w:pPr>
              <w:jc w:val="center"/>
              <w:spacing w:after="0"/>
              <w:rPr>
                <w:sz w:val="20"/>
                <w:szCs w:val="20"/>
                <w:color w:val="auto"/>
              </w:rPr>
            </w:pPr>
            <w:r>
              <w:rPr>
                <w:rFonts w:ascii="Arial" w:cs="Arial" w:eastAsia="Arial" w:hAnsi="Arial"/>
                <w:sz w:val="14"/>
                <w:szCs w:val="14"/>
                <w:color w:val="auto"/>
                <w:w w:val="93"/>
              </w:rPr>
              <w:t>2/25/2016</w:t>
            </w:r>
          </w:p>
        </w:tc>
        <w:tc>
          <w:tcPr>
            <w:tcW w:w="2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16,721</w:t>
            </w: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16,738</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16,721</w:t>
            </w:r>
          </w:p>
        </w:tc>
        <w:tc>
          <w:tcPr>
            <w:tcW w:w="0" w:type="dxa"/>
            <w:vAlign w:val="bottom"/>
          </w:tcPr>
          <w:p>
            <w:pPr>
              <w:spacing w:after="0"/>
              <w:rPr>
                <w:sz w:val="1"/>
                <w:szCs w:val="1"/>
                <w:color w:val="auto"/>
              </w:rPr>
            </w:pPr>
          </w:p>
        </w:tc>
      </w:tr>
      <w:tr>
        <w:trPr>
          <w:trHeight w:val="276"/>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Massachusetts</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2/16/2016</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16,169</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16,174</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16,169</w:t>
            </w:r>
          </w:p>
        </w:tc>
        <w:tc>
          <w:tcPr>
            <w:tcW w:w="0" w:type="dxa"/>
            <w:vAlign w:val="bottom"/>
          </w:tcPr>
          <w:p>
            <w:pPr>
              <w:spacing w:after="0"/>
              <w:rPr>
                <w:sz w:val="1"/>
                <w:szCs w:val="1"/>
                <w:color w:val="auto"/>
              </w:rPr>
            </w:pPr>
          </w:p>
        </w:tc>
      </w:tr>
      <w:tr>
        <w:trPr>
          <w:trHeight w:val="264"/>
        </w:trPr>
        <w:tc>
          <w:tcPr>
            <w:tcW w:w="1640" w:type="dxa"/>
            <w:vAlign w:val="bottom"/>
          </w:tcPr>
          <w:p>
            <w:pPr>
              <w:ind w:left="20"/>
              <w:spacing w:after="0"/>
              <w:rPr>
                <w:sz w:val="20"/>
                <w:szCs w:val="20"/>
                <w:color w:val="auto"/>
              </w:rPr>
            </w:pPr>
            <w:r>
              <w:rPr>
                <w:rFonts w:ascii="Arial" w:cs="Arial" w:eastAsia="Arial" w:hAnsi="Arial"/>
                <w:sz w:val="14"/>
                <w:szCs w:val="14"/>
                <w:color w:val="auto"/>
              </w:rPr>
              <w:t xml:space="preserve">Various states </w:t>
            </w:r>
            <w:r>
              <w:rPr>
                <w:rFonts w:ascii="Arial" w:cs="Arial" w:eastAsia="Arial" w:hAnsi="Arial"/>
                <w:sz w:val="8"/>
                <w:szCs w:val="8"/>
                <w:color w:val="auto"/>
              </w:rPr>
              <w:t>(3)</w:t>
            </w:r>
          </w:p>
        </w:tc>
        <w:tc>
          <w:tcPr>
            <w:tcW w:w="780" w:type="dxa"/>
            <w:vAlign w:val="bottom"/>
          </w:tcPr>
          <w:p>
            <w:pPr>
              <w:jc w:val="center"/>
              <w:spacing w:after="0"/>
              <w:rPr>
                <w:sz w:val="20"/>
                <w:szCs w:val="20"/>
                <w:color w:val="auto"/>
              </w:rPr>
            </w:pPr>
            <w:r>
              <w:rPr>
                <w:rFonts w:ascii="Arial" w:cs="Arial" w:eastAsia="Arial" w:hAnsi="Arial"/>
                <w:sz w:val="14"/>
                <w:szCs w:val="14"/>
                <w:color w:val="auto"/>
              </w:rPr>
              <w:t>6</w:t>
            </w:r>
          </w:p>
        </w:tc>
        <w:tc>
          <w:tcPr>
            <w:tcW w:w="1220" w:type="dxa"/>
            <w:vAlign w:val="bottom"/>
          </w:tcPr>
          <w:p>
            <w:pPr>
              <w:jc w:val="center"/>
              <w:spacing w:after="0"/>
              <w:rPr>
                <w:sz w:val="20"/>
                <w:szCs w:val="20"/>
                <w:color w:val="auto"/>
              </w:rPr>
            </w:pPr>
            <w:r>
              <w:rPr>
                <w:rFonts w:ascii="Arial" w:cs="Arial" w:eastAsia="Arial" w:hAnsi="Arial"/>
                <w:sz w:val="14"/>
                <w:szCs w:val="14"/>
                <w:color w:val="auto"/>
                <w:w w:val="95"/>
              </w:rPr>
              <w:t>2/2/2016</w:t>
            </w:r>
          </w:p>
        </w:tc>
        <w:tc>
          <w:tcPr>
            <w:tcW w:w="2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53,898</w:t>
            </w: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53,940</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98,082</w:t>
            </w:r>
          </w:p>
        </w:tc>
        <w:tc>
          <w:tcPr>
            <w:tcW w:w="0" w:type="dxa"/>
            <w:vAlign w:val="bottom"/>
          </w:tcPr>
          <w:p>
            <w:pPr>
              <w:spacing w:after="0"/>
              <w:rPr>
                <w:sz w:val="1"/>
                <w:szCs w:val="1"/>
                <w:color w:val="auto"/>
              </w:rPr>
            </w:pPr>
          </w:p>
        </w:tc>
      </w:tr>
      <w:tr>
        <w:trPr>
          <w:trHeight w:val="276"/>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1/14/2016</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22,625</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22,523</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22,625</w:t>
            </w:r>
          </w:p>
        </w:tc>
        <w:tc>
          <w:tcPr>
            <w:tcW w:w="0" w:type="dxa"/>
            <w:vAlign w:val="bottom"/>
          </w:tcPr>
          <w:p>
            <w:pPr>
              <w:spacing w:after="0"/>
              <w:rPr>
                <w:sz w:val="1"/>
                <w:szCs w:val="1"/>
                <w:color w:val="auto"/>
              </w:rPr>
            </w:pPr>
          </w:p>
        </w:tc>
      </w:tr>
      <w:tr>
        <w:trPr>
          <w:trHeight w:val="264"/>
        </w:trPr>
        <w:tc>
          <w:tcPr>
            <w:tcW w:w="1640" w:type="dxa"/>
            <w:vAlign w:val="bottom"/>
          </w:tcPr>
          <w:p>
            <w:pPr>
              <w:ind w:left="20"/>
              <w:spacing w:after="0"/>
              <w:rPr>
                <w:sz w:val="20"/>
                <w:szCs w:val="20"/>
                <w:color w:val="auto"/>
              </w:rPr>
            </w:pPr>
            <w:r>
              <w:rPr>
                <w:rFonts w:ascii="Arial" w:cs="Arial" w:eastAsia="Arial" w:hAnsi="Arial"/>
                <w:sz w:val="14"/>
                <w:szCs w:val="14"/>
                <w:color w:val="auto"/>
              </w:rPr>
              <w:t>Florida</w:t>
            </w:r>
          </w:p>
        </w:tc>
        <w:tc>
          <w:tcPr>
            <w:tcW w:w="780" w:type="dxa"/>
            <w:vAlign w:val="bottom"/>
          </w:tcPr>
          <w:p>
            <w:pPr>
              <w:jc w:val="center"/>
              <w:spacing w:after="0"/>
              <w:rPr>
                <w:sz w:val="20"/>
                <w:szCs w:val="20"/>
                <w:color w:val="auto"/>
              </w:rPr>
            </w:pPr>
            <w:r>
              <w:rPr>
                <w:rFonts w:ascii="Arial" w:cs="Arial" w:eastAsia="Arial" w:hAnsi="Arial"/>
                <w:sz w:val="14"/>
                <w:szCs w:val="14"/>
                <w:color w:val="auto"/>
              </w:rPr>
              <w:t>1</w:t>
            </w:r>
          </w:p>
        </w:tc>
        <w:tc>
          <w:tcPr>
            <w:tcW w:w="1220" w:type="dxa"/>
            <w:vAlign w:val="bottom"/>
          </w:tcPr>
          <w:p>
            <w:pPr>
              <w:jc w:val="center"/>
              <w:spacing w:after="0"/>
              <w:rPr>
                <w:sz w:val="20"/>
                <w:szCs w:val="20"/>
                <w:color w:val="auto"/>
              </w:rPr>
            </w:pPr>
            <w:r>
              <w:rPr>
                <w:rFonts w:ascii="Arial" w:cs="Arial" w:eastAsia="Arial" w:hAnsi="Arial"/>
                <w:sz w:val="14"/>
                <w:szCs w:val="14"/>
                <w:color w:val="auto"/>
                <w:w w:val="93"/>
              </w:rPr>
              <w:t>1/12/2016</w:t>
            </w:r>
          </w:p>
        </w:tc>
        <w:tc>
          <w:tcPr>
            <w:tcW w:w="2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9,001</w:t>
            </w: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8,980</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9,001</w:t>
            </w:r>
          </w:p>
        </w:tc>
        <w:tc>
          <w:tcPr>
            <w:tcW w:w="0" w:type="dxa"/>
            <w:vAlign w:val="bottom"/>
          </w:tcPr>
          <w:p>
            <w:pPr>
              <w:spacing w:after="0"/>
              <w:rPr>
                <w:sz w:val="1"/>
                <w:szCs w:val="1"/>
                <w:color w:val="auto"/>
              </w:rPr>
            </w:pPr>
          </w:p>
        </w:tc>
      </w:tr>
      <w:tr>
        <w:trPr>
          <w:trHeight w:val="276"/>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1/7/2016</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27,537</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27,435</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27,537</w:t>
            </w:r>
          </w:p>
        </w:tc>
        <w:tc>
          <w:tcPr>
            <w:tcW w:w="0" w:type="dxa"/>
            <w:vAlign w:val="bottom"/>
          </w:tcPr>
          <w:p>
            <w:pPr>
              <w:spacing w:after="0"/>
              <w:rPr>
                <w:sz w:val="1"/>
                <w:szCs w:val="1"/>
                <w:color w:val="auto"/>
              </w:rPr>
            </w:pPr>
          </w:p>
        </w:tc>
      </w:tr>
      <w:tr>
        <w:trPr>
          <w:trHeight w:val="264"/>
        </w:trPr>
        <w:tc>
          <w:tcPr>
            <w:tcW w:w="1640" w:type="dxa"/>
            <w:vAlign w:val="bottom"/>
          </w:tcPr>
          <w:p>
            <w:pPr>
              <w:ind w:left="20"/>
              <w:spacing w:after="0"/>
              <w:rPr>
                <w:sz w:val="20"/>
                <w:szCs w:val="20"/>
                <w:color w:val="auto"/>
              </w:rPr>
            </w:pPr>
            <w:r>
              <w:rPr>
                <w:rFonts w:ascii="Arial" w:cs="Arial" w:eastAsia="Arial" w:hAnsi="Arial"/>
                <w:sz w:val="14"/>
                <w:szCs w:val="14"/>
                <w:color w:val="auto"/>
              </w:rPr>
              <w:t>New Mexico</w:t>
            </w:r>
          </w:p>
        </w:tc>
        <w:tc>
          <w:tcPr>
            <w:tcW w:w="780" w:type="dxa"/>
            <w:vAlign w:val="bottom"/>
          </w:tcPr>
          <w:p>
            <w:pPr>
              <w:jc w:val="center"/>
              <w:spacing w:after="0"/>
              <w:rPr>
                <w:sz w:val="20"/>
                <w:szCs w:val="20"/>
                <w:color w:val="auto"/>
              </w:rPr>
            </w:pPr>
            <w:r>
              <w:rPr>
                <w:rFonts w:ascii="Arial" w:cs="Arial" w:eastAsia="Arial" w:hAnsi="Arial"/>
                <w:sz w:val="14"/>
                <w:szCs w:val="14"/>
                <w:color w:val="auto"/>
              </w:rPr>
              <w:t>2</w:t>
            </w:r>
          </w:p>
        </w:tc>
        <w:tc>
          <w:tcPr>
            <w:tcW w:w="1220" w:type="dxa"/>
            <w:vAlign w:val="bottom"/>
          </w:tcPr>
          <w:p>
            <w:pPr>
              <w:jc w:val="center"/>
              <w:spacing w:after="0"/>
              <w:rPr>
                <w:sz w:val="20"/>
                <w:szCs w:val="20"/>
                <w:color w:val="auto"/>
              </w:rPr>
            </w:pPr>
            <w:r>
              <w:rPr>
                <w:rFonts w:ascii="Arial" w:cs="Arial" w:eastAsia="Arial" w:hAnsi="Arial"/>
                <w:sz w:val="14"/>
                <w:szCs w:val="14"/>
                <w:color w:val="auto"/>
                <w:w w:val="95"/>
              </w:rPr>
              <w:t>1/7/2016</w:t>
            </w:r>
          </w:p>
        </w:tc>
        <w:tc>
          <w:tcPr>
            <w:tcW w:w="2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15,607</w:t>
            </w: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15,495</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2"/>
                <w:szCs w:val="22"/>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15,607</w:t>
            </w:r>
          </w:p>
        </w:tc>
        <w:tc>
          <w:tcPr>
            <w:tcW w:w="0" w:type="dxa"/>
            <w:vAlign w:val="bottom"/>
          </w:tcPr>
          <w:p>
            <w:pPr>
              <w:spacing w:after="0"/>
              <w:rPr>
                <w:sz w:val="1"/>
                <w:szCs w:val="1"/>
                <w:color w:val="auto"/>
              </w:rPr>
            </w:pPr>
          </w:p>
        </w:tc>
      </w:tr>
      <w:tr>
        <w:trPr>
          <w:trHeight w:val="263"/>
        </w:trPr>
        <w:tc>
          <w:tcPr>
            <w:tcW w:w="1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2016 Totals</w:t>
            </w: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99</w:t>
            </w:r>
          </w:p>
        </w:tc>
        <w:tc>
          <w:tcPr>
            <w:tcW w:w="12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1,086,645</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995,759</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9,723</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6,928</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74,235</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2,779,050</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1,149,936</w:t>
            </w:r>
          </w:p>
        </w:tc>
        <w:tc>
          <w:tcPr>
            <w:tcW w:w="0" w:type="dxa"/>
            <w:vAlign w:val="bottom"/>
          </w:tcPr>
          <w:p>
            <w:pPr>
              <w:spacing w:after="0"/>
              <w:rPr>
                <w:sz w:val="1"/>
                <w:szCs w:val="1"/>
                <w:color w:val="auto"/>
              </w:rPr>
            </w:pPr>
          </w:p>
        </w:tc>
      </w:tr>
      <w:tr>
        <w:trPr>
          <w:trHeight w:val="296"/>
        </w:trPr>
        <w:tc>
          <w:tcPr>
            <w:tcW w:w="1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12/11/2015</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9,708</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9,712</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9,708</w:t>
            </w:r>
          </w:p>
        </w:tc>
        <w:tc>
          <w:tcPr>
            <w:tcW w:w="0" w:type="dxa"/>
            <w:vAlign w:val="bottom"/>
          </w:tcPr>
          <w:p>
            <w:pPr>
              <w:spacing w:after="0"/>
              <w:rPr>
                <w:sz w:val="1"/>
                <w:szCs w:val="1"/>
                <w:color w:val="auto"/>
              </w:rPr>
            </w:pPr>
          </w:p>
        </w:tc>
      </w:tr>
      <w:tr>
        <w:trPr>
          <w:trHeight w:val="264"/>
        </w:trPr>
        <w:tc>
          <w:tcPr>
            <w:tcW w:w="1640" w:type="dxa"/>
            <w:vAlign w:val="bottom"/>
          </w:tcPr>
          <w:p>
            <w:pPr>
              <w:ind w:left="20"/>
              <w:spacing w:after="0"/>
              <w:rPr>
                <w:sz w:val="20"/>
                <w:szCs w:val="20"/>
                <w:color w:val="auto"/>
              </w:rPr>
            </w:pPr>
            <w:r>
              <w:rPr>
                <w:rFonts w:ascii="Arial" w:cs="Arial" w:eastAsia="Arial" w:hAnsi="Arial"/>
                <w:sz w:val="14"/>
                <w:szCs w:val="14"/>
                <w:color w:val="auto"/>
              </w:rPr>
              <w:t>North Carolina</w:t>
            </w:r>
          </w:p>
        </w:tc>
        <w:tc>
          <w:tcPr>
            <w:tcW w:w="780" w:type="dxa"/>
            <w:vAlign w:val="bottom"/>
          </w:tcPr>
          <w:p>
            <w:pPr>
              <w:jc w:val="center"/>
              <w:spacing w:after="0"/>
              <w:rPr>
                <w:sz w:val="20"/>
                <w:szCs w:val="20"/>
                <w:color w:val="auto"/>
              </w:rPr>
            </w:pPr>
            <w:r>
              <w:rPr>
                <w:rFonts w:ascii="Arial" w:cs="Arial" w:eastAsia="Arial" w:hAnsi="Arial"/>
                <w:sz w:val="14"/>
                <w:szCs w:val="14"/>
                <w:color w:val="auto"/>
              </w:rPr>
              <w:t>1</w:t>
            </w:r>
          </w:p>
        </w:tc>
        <w:tc>
          <w:tcPr>
            <w:tcW w:w="1220" w:type="dxa"/>
            <w:vAlign w:val="bottom"/>
          </w:tcPr>
          <w:p>
            <w:pPr>
              <w:jc w:val="center"/>
              <w:spacing w:after="0"/>
              <w:rPr>
                <w:sz w:val="20"/>
                <w:szCs w:val="20"/>
                <w:color w:val="auto"/>
              </w:rPr>
            </w:pPr>
            <w:r>
              <w:rPr>
                <w:rFonts w:ascii="Arial" w:cs="Arial" w:eastAsia="Arial" w:hAnsi="Arial"/>
                <w:sz w:val="14"/>
                <w:szCs w:val="14"/>
                <w:color w:val="auto"/>
                <w:w w:val="93"/>
              </w:rPr>
              <w:t>12/8/2015</w:t>
            </w:r>
          </w:p>
        </w:tc>
        <w:tc>
          <w:tcPr>
            <w:tcW w:w="2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5,301</w:t>
            </w: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5,327</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5,301</w:t>
            </w:r>
          </w:p>
        </w:tc>
        <w:tc>
          <w:tcPr>
            <w:tcW w:w="0" w:type="dxa"/>
            <w:vAlign w:val="bottom"/>
          </w:tcPr>
          <w:p>
            <w:pPr>
              <w:spacing w:after="0"/>
              <w:rPr>
                <w:sz w:val="1"/>
                <w:szCs w:val="1"/>
                <w:color w:val="auto"/>
              </w:rPr>
            </w:pPr>
          </w:p>
        </w:tc>
      </w:tr>
      <w:tr>
        <w:trPr>
          <w:trHeight w:val="276"/>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Oregon</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11/24/2015</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9,992</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9,994</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9,992</w:t>
            </w:r>
          </w:p>
        </w:tc>
        <w:tc>
          <w:tcPr>
            <w:tcW w:w="0" w:type="dxa"/>
            <w:vAlign w:val="bottom"/>
          </w:tcPr>
          <w:p>
            <w:pPr>
              <w:spacing w:after="0"/>
              <w:rPr>
                <w:sz w:val="1"/>
                <w:szCs w:val="1"/>
                <w:color w:val="auto"/>
              </w:rPr>
            </w:pPr>
          </w:p>
        </w:tc>
      </w:tr>
      <w:tr>
        <w:trPr>
          <w:trHeight w:val="264"/>
        </w:trPr>
        <w:tc>
          <w:tcPr>
            <w:tcW w:w="1640" w:type="dxa"/>
            <w:vAlign w:val="bottom"/>
          </w:tcPr>
          <w:p>
            <w:pPr>
              <w:ind w:left="20"/>
              <w:spacing w:after="0"/>
              <w:rPr>
                <w:sz w:val="20"/>
                <w:szCs w:val="20"/>
                <w:color w:val="auto"/>
              </w:rPr>
            </w:pPr>
            <w:r>
              <w:rPr>
                <w:rFonts w:ascii="Arial" w:cs="Arial" w:eastAsia="Arial" w:hAnsi="Arial"/>
                <w:sz w:val="14"/>
                <w:szCs w:val="14"/>
                <w:color w:val="auto"/>
              </w:rPr>
              <w:t>Florida</w:t>
            </w:r>
          </w:p>
        </w:tc>
        <w:tc>
          <w:tcPr>
            <w:tcW w:w="780" w:type="dxa"/>
            <w:vAlign w:val="bottom"/>
          </w:tcPr>
          <w:p>
            <w:pPr>
              <w:jc w:val="center"/>
              <w:spacing w:after="0"/>
              <w:rPr>
                <w:sz w:val="20"/>
                <w:szCs w:val="20"/>
                <w:color w:val="auto"/>
              </w:rPr>
            </w:pPr>
            <w:r>
              <w:rPr>
                <w:rFonts w:ascii="Arial" w:cs="Arial" w:eastAsia="Arial" w:hAnsi="Arial"/>
                <w:sz w:val="14"/>
                <w:szCs w:val="14"/>
                <w:color w:val="auto"/>
              </w:rPr>
              <w:t>3</w:t>
            </w:r>
          </w:p>
        </w:tc>
        <w:tc>
          <w:tcPr>
            <w:tcW w:w="1220" w:type="dxa"/>
            <w:vAlign w:val="bottom"/>
          </w:tcPr>
          <w:p>
            <w:pPr>
              <w:jc w:val="center"/>
              <w:spacing w:after="0"/>
              <w:rPr>
                <w:sz w:val="20"/>
                <w:szCs w:val="20"/>
                <w:color w:val="auto"/>
              </w:rPr>
            </w:pPr>
            <w:r>
              <w:rPr>
                <w:rFonts w:ascii="Arial" w:cs="Arial" w:eastAsia="Arial" w:hAnsi="Arial"/>
                <w:sz w:val="14"/>
                <w:szCs w:val="14"/>
                <w:color w:val="auto"/>
                <w:w w:val="91"/>
              </w:rPr>
              <w:t>11/19/2015</w:t>
            </w:r>
          </w:p>
        </w:tc>
        <w:tc>
          <w:tcPr>
            <w:tcW w:w="2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20,003</w:t>
            </w: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19,951</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2"/>
                <w:szCs w:val="22"/>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20,003</w:t>
            </w:r>
          </w:p>
        </w:tc>
        <w:tc>
          <w:tcPr>
            <w:tcW w:w="0" w:type="dxa"/>
            <w:vAlign w:val="bottom"/>
          </w:tcPr>
          <w:p>
            <w:pPr>
              <w:spacing w:after="0"/>
              <w:rPr>
                <w:sz w:val="1"/>
                <w:szCs w:val="1"/>
                <w:color w:val="auto"/>
              </w:rPr>
            </w:pPr>
          </w:p>
        </w:tc>
      </w:tr>
      <w:tr>
        <w:trPr>
          <w:trHeight w:val="276"/>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11/16/2015</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14,396</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7,115</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7,221</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91,434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14,396</w:t>
            </w:r>
          </w:p>
        </w:tc>
        <w:tc>
          <w:tcPr>
            <w:tcW w:w="0" w:type="dxa"/>
            <w:vAlign w:val="bottom"/>
          </w:tcPr>
          <w:p>
            <w:pPr>
              <w:spacing w:after="0"/>
              <w:rPr>
                <w:sz w:val="1"/>
                <w:szCs w:val="1"/>
                <w:color w:val="auto"/>
              </w:rPr>
            </w:pPr>
          </w:p>
        </w:tc>
      </w:tr>
      <w:tr>
        <w:trPr>
          <w:trHeight w:val="264"/>
        </w:trPr>
        <w:tc>
          <w:tcPr>
            <w:tcW w:w="1640" w:type="dxa"/>
            <w:vAlign w:val="bottom"/>
          </w:tcPr>
          <w:p>
            <w:pPr>
              <w:ind w:left="20"/>
              <w:spacing w:after="0"/>
              <w:rPr>
                <w:sz w:val="20"/>
                <w:szCs w:val="20"/>
                <w:color w:val="auto"/>
              </w:rPr>
            </w:pPr>
            <w:r>
              <w:rPr>
                <w:rFonts w:ascii="Arial" w:cs="Arial" w:eastAsia="Arial" w:hAnsi="Arial"/>
                <w:sz w:val="14"/>
                <w:szCs w:val="14"/>
                <w:color w:val="auto"/>
              </w:rPr>
              <w:t>Texas</w:t>
            </w:r>
          </w:p>
        </w:tc>
        <w:tc>
          <w:tcPr>
            <w:tcW w:w="780" w:type="dxa"/>
            <w:vAlign w:val="bottom"/>
          </w:tcPr>
          <w:p>
            <w:pPr>
              <w:jc w:val="center"/>
              <w:spacing w:after="0"/>
              <w:rPr>
                <w:sz w:val="20"/>
                <w:szCs w:val="20"/>
                <w:color w:val="auto"/>
              </w:rPr>
            </w:pPr>
            <w:r>
              <w:rPr>
                <w:rFonts w:ascii="Arial" w:cs="Arial" w:eastAsia="Arial" w:hAnsi="Arial"/>
                <w:sz w:val="14"/>
                <w:szCs w:val="14"/>
                <w:color w:val="auto"/>
              </w:rPr>
              <w:t>1</w:t>
            </w:r>
          </w:p>
        </w:tc>
        <w:tc>
          <w:tcPr>
            <w:tcW w:w="1220" w:type="dxa"/>
            <w:vAlign w:val="bottom"/>
          </w:tcPr>
          <w:p>
            <w:pPr>
              <w:jc w:val="center"/>
              <w:spacing w:after="0"/>
              <w:rPr>
                <w:sz w:val="20"/>
                <w:szCs w:val="20"/>
                <w:color w:val="auto"/>
              </w:rPr>
            </w:pPr>
            <w:r>
              <w:rPr>
                <w:rFonts w:ascii="Arial" w:cs="Arial" w:eastAsia="Arial" w:hAnsi="Arial"/>
                <w:sz w:val="14"/>
                <w:szCs w:val="14"/>
                <w:color w:val="auto"/>
                <w:w w:val="94"/>
              </w:rPr>
              <w:t>10/23/2015</w:t>
            </w:r>
          </w:p>
        </w:tc>
        <w:tc>
          <w:tcPr>
            <w:tcW w:w="2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8,700</w:t>
            </w: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8,678</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8,700</w:t>
            </w:r>
          </w:p>
        </w:tc>
        <w:tc>
          <w:tcPr>
            <w:tcW w:w="0" w:type="dxa"/>
            <w:vAlign w:val="bottom"/>
          </w:tcPr>
          <w:p>
            <w:pPr>
              <w:spacing w:after="0"/>
              <w:rPr>
                <w:sz w:val="1"/>
                <w:szCs w:val="1"/>
                <w:color w:val="auto"/>
              </w:rPr>
            </w:pPr>
          </w:p>
        </w:tc>
      </w:tr>
      <w:tr>
        <w:trPr>
          <w:trHeight w:val="276"/>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Jersey</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10/7/2015</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7,240</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7,204</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7,240</w:t>
            </w:r>
          </w:p>
        </w:tc>
        <w:tc>
          <w:tcPr>
            <w:tcW w:w="0" w:type="dxa"/>
            <w:vAlign w:val="bottom"/>
          </w:tcPr>
          <w:p>
            <w:pPr>
              <w:spacing w:after="0"/>
              <w:rPr>
                <w:sz w:val="1"/>
                <w:szCs w:val="1"/>
                <w:color w:val="auto"/>
              </w:rPr>
            </w:pPr>
          </w:p>
        </w:tc>
      </w:tr>
      <w:tr>
        <w:trPr>
          <w:trHeight w:val="264"/>
        </w:trPr>
        <w:tc>
          <w:tcPr>
            <w:tcW w:w="1640" w:type="dxa"/>
            <w:vAlign w:val="bottom"/>
          </w:tcPr>
          <w:p>
            <w:pPr>
              <w:ind w:left="20"/>
              <w:spacing w:after="0"/>
              <w:rPr>
                <w:sz w:val="20"/>
                <w:szCs w:val="20"/>
                <w:color w:val="auto"/>
              </w:rPr>
            </w:pPr>
            <w:r>
              <w:rPr>
                <w:rFonts w:ascii="Arial" w:cs="Arial" w:eastAsia="Arial" w:hAnsi="Arial"/>
                <w:sz w:val="14"/>
                <w:szCs w:val="14"/>
                <w:color w:val="auto"/>
              </w:rPr>
              <w:t xml:space="preserve">Various </w:t>
            </w:r>
            <w:r>
              <w:rPr>
                <w:rFonts w:ascii="Arial" w:cs="Arial" w:eastAsia="Arial" w:hAnsi="Arial"/>
                <w:sz w:val="8"/>
                <w:szCs w:val="8"/>
                <w:color w:val="auto"/>
              </w:rPr>
              <w:t>(4)</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122</w:t>
            </w:r>
          </w:p>
        </w:tc>
        <w:tc>
          <w:tcPr>
            <w:tcW w:w="1220" w:type="dxa"/>
            <w:vAlign w:val="bottom"/>
          </w:tcPr>
          <w:p>
            <w:pPr>
              <w:jc w:val="center"/>
              <w:spacing w:after="0"/>
              <w:rPr>
                <w:sz w:val="20"/>
                <w:szCs w:val="20"/>
                <w:color w:val="auto"/>
              </w:rPr>
            </w:pPr>
            <w:r>
              <w:rPr>
                <w:rFonts w:ascii="Arial" w:cs="Arial" w:eastAsia="Arial" w:hAnsi="Arial"/>
                <w:sz w:val="14"/>
                <w:szCs w:val="14"/>
                <w:color w:val="auto"/>
                <w:w w:val="93"/>
              </w:rPr>
              <w:t>10/1/2015</w:t>
            </w:r>
          </w:p>
        </w:tc>
        <w:tc>
          <w:tcPr>
            <w:tcW w:w="2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1,176,893</w:t>
            </w: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1,218,173</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(69,936)</w:t>
            </w:r>
          </w:p>
        </w:tc>
        <w:tc>
          <w:tcPr>
            <w:tcW w:w="100" w:type="dxa"/>
            <w:vAlign w:val="bottom"/>
          </w:tcPr>
          <w:p>
            <w:pPr>
              <w:spacing w:after="0"/>
              <w:rPr>
                <w:sz w:val="22"/>
                <w:szCs w:val="22"/>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28,656</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376,848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1,176,898</w:t>
            </w:r>
          </w:p>
        </w:tc>
        <w:tc>
          <w:tcPr>
            <w:tcW w:w="0" w:type="dxa"/>
            <w:vAlign w:val="bottom"/>
          </w:tcPr>
          <w:p>
            <w:pPr>
              <w:spacing w:after="0"/>
              <w:rPr>
                <w:sz w:val="1"/>
                <w:szCs w:val="1"/>
                <w:color w:val="auto"/>
              </w:rPr>
            </w:pPr>
          </w:p>
        </w:tc>
      </w:tr>
      <w:tr>
        <w:trPr>
          <w:trHeight w:val="276"/>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9/10/2015</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6,091</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6,109</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6,091</w:t>
            </w:r>
          </w:p>
        </w:tc>
        <w:tc>
          <w:tcPr>
            <w:tcW w:w="0" w:type="dxa"/>
            <w:vAlign w:val="bottom"/>
          </w:tcPr>
          <w:p>
            <w:pPr>
              <w:spacing w:after="0"/>
              <w:rPr>
                <w:sz w:val="1"/>
                <w:szCs w:val="1"/>
                <w:color w:val="auto"/>
              </w:rPr>
            </w:pPr>
          </w:p>
        </w:tc>
      </w:tr>
      <w:tr>
        <w:trPr>
          <w:trHeight w:val="264"/>
        </w:trPr>
        <w:tc>
          <w:tcPr>
            <w:tcW w:w="1640" w:type="dxa"/>
            <w:vAlign w:val="bottom"/>
          </w:tcPr>
          <w:p>
            <w:pPr>
              <w:ind w:left="20"/>
              <w:spacing w:after="0"/>
              <w:rPr>
                <w:sz w:val="20"/>
                <w:szCs w:val="20"/>
                <w:color w:val="auto"/>
              </w:rPr>
            </w:pPr>
            <w:r>
              <w:rPr>
                <w:rFonts w:ascii="Arial" w:cs="Arial" w:eastAsia="Arial" w:hAnsi="Arial"/>
                <w:sz w:val="14"/>
                <w:szCs w:val="14"/>
                <w:color w:val="auto"/>
              </w:rPr>
              <w:t>North Carolina</w:t>
            </w:r>
          </w:p>
        </w:tc>
        <w:tc>
          <w:tcPr>
            <w:tcW w:w="780" w:type="dxa"/>
            <w:vAlign w:val="bottom"/>
          </w:tcPr>
          <w:p>
            <w:pPr>
              <w:jc w:val="center"/>
              <w:spacing w:after="0"/>
              <w:rPr>
                <w:sz w:val="20"/>
                <w:szCs w:val="20"/>
                <w:color w:val="auto"/>
              </w:rPr>
            </w:pPr>
            <w:r>
              <w:rPr>
                <w:rFonts w:ascii="Arial" w:cs="Arial" w:eastAsia="Arial" w:hAnsi="Arial"/>
                <w:sz w:val="14"/>
                <w:szCs w:val="14"/>
                <w:color w:val="auto"/>
              </w:rPr>
              <w:t>1</w:t>
            </w:r>
          </w:p>
        </w:tc>
        <w:tc>
          <w:tcPr>
            <w:tcW w:w="1220" w:type="dxa"/>
            <w:vAlign w:val="bottom"/>
          </w:tcPr>
          <w:p>
            <w:pPr>
              <w:jc w:val="center"/>
              <w:spacing w:after="0"/>
              <w:rPr>
                <w:sz w:val="20"/>
                <w:szCs w:val="20"/>
                <w:color w:val="auto"/>
              </w:rPr>
            </w:pPr>
            <w:r>
              <w:rPr>
                <w:rFonts w:ascii="Arial" w:cs="Arial" w:eastAsia="Arial" w:hAnsi="Arial"/>
                <w:sz w:val="14"/>
                <w:szCs w:val="14"/>
                <w:color w:val="auto"/>
                <w:w w:val="93"/>
              </w:rPr>
              <w:t>6/19/2015</w:t>
            </w:r>
          </w:p>
        </w:tc>
        <w:tc>
          <w:tcPr>
            <w:tcW w:w="2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6,976</w:t>
            </w: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6,915</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2"/>
                <w:szCs w:val="22"/>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6,976</w:t>
            </w:r>
          </w:p>
        </w:tc>
        <w:tc>
          <w:tcPr>
            <w:tcW w:w="0" w:type="dxa"/>
            <w:vAlign w:val="bottom"/>
          </w:tcPr>
          <w:p>
            <w:pPr>
              <w:spacing w:after="0"/>
              <w:rPr>
                <w:sz w:val="1"/>
                <w:szCs w:val="1"/>
                <w:color w:val="auto"/>
              </w:rPr>
            </w:pPr>
          </w:p>
        </w:tc>
      </w:tr>
      <w:tr>
        <w:trPr>
          <w:trHeight w:val="276"/>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6/18/2015</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17,547</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12,567</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4,773</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71,054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17,547</w:t>
            </w:r>
          </w:p>
        </w:tc>
        <w:tc>
          <w:tcPr>
            <w:tcW w:w="0" w:type="dxa"/>
            <w:vAlign w:val="bottom"/>
          </w:tcPr>
          <w:p>
            <w:pPr>
              <w:spacing w:after="0"/>
              <w:rPr>
                <w:sz w:val="1"/>
                <w:szCs w:val="1"/>
                <w:color w:val="auto"/>
              </w:rPr>
            </w:pPr>
          </w:p>
        </w:tc>
      </w:tr>
      <w:tr>
        <w:trPr>
          <w:trHeight w:val="264"/>
        </w:trPr>
        <w:tc>
          <w:tcPr>
            <w:tcW w:w="1640" w:type="dxa"/>
            <w:vAlign w:val="bottom"/>
          </w:tcPr>
          <w:p>
            <w:pPr>
              <w:ind w:left="20"/>
              <w:spacing w:after="0"/>
              <w:rPr>
                <w:sz w:val="20"/>
                <w:szCs w:val="20"/>
                <w:color w:val="auto"/>
              </w:rPr>
            </w:pPr>
            <w:r>
              <w:rPr>
                <w:rFonts w:ascii="Arial" w:cs="Arial" w:eastAsia="Arial" w:hAnsi="Arial"/>
                <w:sz w:val="14"/>
                <w:szCs w:val="14"/>
                <w:color w:val="auto"/>
              </w:rPr>
              <w:t xml:space="preserve">Florida </w:t>
            </w:r>
            <w:r>
              <w:rPr>
                <w:rFonts w:ascii="Arial" w:cs="Arial" w:eastAsia="Arial" w:hAnsi="Arial"/>
                <w:sz w:val="8"/>
                <w:szCs w:val="8"/>
                <w:color w:val="auto"/>
              </w:rPr>
              <w:t>(5)</w:t>
            </w:r>
          </w:p>
        </w:tc>
        <w:tc>
          <w:tcPr>
            <w:tcW w:w="780" w:type="dxa"/>
            <w:vAlign w:val="bottom"/>
          </w:tcPr>
          <w:p>
            <w:pPr>
              <w:jc w:val="center"/>
              <w:spacing w:after="0"/>
              <w:rPr>
                <w:sz w:val="20"/>
                <w:szCs w:val="20"/>
                <w:color w:val="auto"/>
              </w:rPr>
            </w:pPr>
            <w:r>
              <w:rPr>
                <w:rFonts w:ascii="Arial" w:cs="Arial" w:eastAsia="Arial" w:hAnsi="Arial"/>
                <w:sz w:val="14"/>
                <w:szCs w:val="14"/>
                <w:color w:val="auto"/>
              </w:rPr>
              <w:t>1</w:t>
            </w:r>
          </w:p>
        </w:tc>
        <w:tc>
          <w:tcPr>
            <w:tcW w:w="1220" w:type="dxa"/>
            <w:vAlign w:val="bottom"/>
          </w:tcPr>
          <w:p>
            <w:pPr>
              <w:jc w:val="center"/>
              <w:spacing w:after="0"/>
              <w:rPr>
                <w:sz w:val="20"/>
                <w:szCs w:val="20"/>
                <w:color w:val="auto"/>
              </w:rPr>
            </w:pPr>
            <w:r>
              <w:rPr>
                <w:rFonts w:ascii="Arial" w:cs="Arial" w:eastAsia="Arial" w:hAnsi="Arial"/>
                <w:sz w:val="14"/>
                <w:szCs w:val="14"/>
                <w:color w:val="auto"/>
                <w:w w:val="93"/>
              </w:rPr>
              <w:t>6/17/2015</w:t>
            </w:r>
          </w:p>
        </w:tc>
        <w:tc>
          <w:tcPr>
            <w:tcW w:w="2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4,923</w:t>
            </w: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359</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4,601</w:t>
            </w:r>
          </w:p>
        </w:tc>
        <w:tc>
          <w:tcPr>
            <w:tcW w:w="2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2"/>
                <w:szCs w:val="22"/>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6,023</w:t>
            </w:r>
          </w:p>
        </w:tc>
        <w:tc>
          <w:tcPr>
            <w:tcW w:w="0" w:type="dxa"/>
            <w:vAlign w:val="bottom"/>
          </w:tcPr>
          <w:p>
            <w:pPr>
              <w:spacing w:after="0"/>
              <w:rPr>
                <w:sz w:val="1"/>
                <w:szCs w:val="1"/>
                <w:color w:val="auto"/>
              </w:rPr>
            </w:pPr>
          </w:p>
        </w:tc>
      </w:tr>
      <w:tr>
        <w:trPr>
          <w:trHeight w:val="276"/>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Illinois</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6/8/2015</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10,049</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9,973</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10,049</w:t>
            </w:r>
          </w:p>
        </w:tc>
        <w:tc>
          <w:tcPr>
            <w:tcW w:w="0" w:type="dxa"/>
            <w:vAlign w:val="bottom"/>
          </w:tcPr>
          <w:p>
            <w:pPr>
              <w:spacing w:after="0"/>
              <w:rPr>
                <w:sz w:val="1"/>
                <w:szCs w:val="1"/>
                <w:color w:val="auto"/>
              </w:rPr>
            </w:pPr>
          </w:p>
        </w:tc>
      </w:tr>
      <w:tr>
        <w:trPr>
          <w:trHeight w:val="264"/>
        </w:trPr>
        <w:tc>
          <w:tcPr>
            <w:tcW w:w="1640" w:type="dxa"/>
            <w:vAlign w:val="bottom"/>
          </w:tcPr>
          <w:p>
            <w:pPr>
              <w:ind w:left="20"/>
              <w:spacing w:after="0"/>
              <w:rPr>
                <w:sz w:val="20"/>
                <w:szCs w:val="20"/>
                <w:color w:val="auto"/>
              </w:rPr>
            </w:pPr>
            <w:r>
              <w:rPr>
                <w:rFonts w:ascii="Arial" w:cs="Arial" w:eastAsia="Arial" w:hAnsi="Arial"/>
                <w:sz w:val="14"/>
                <w:szCs w:val="14"/>
                <w:color w:val="auto"/>
              </w:rPr>
              <w:t>Massachusetts</w:t>
            </w:r>
          </w:p>
        </w:tc>
        <w:tc>
          <w:tcPr>
            <w:tcW w:w="780" w:type="dxa"/>
            <w:vAlign w:val="bottom"/>
          </w:tcPr>
          <w:p>
            <w:pPr>
              <w:jc w:val="center"/>
              <w:spacing w:after="0"/>
              <w:rPr>
                <w:sz w:val="20"/>
                <w:szCs w:val="20"/>
                <w:color w:val="auto"/>
              </w:rPr>
            </w:pPr>
            <w:r>
              <w:rPr>
                <w:rFonts w:ascii="Arial" w:cs="Arial" w:eastAsia="Arial" w:hAnsi="Arial"/>
                <w:sz w:val="14"/>
                <w:szCs w:val="14"/>
                <w:color w:val="auto"/>
              </w:rPr>
              <w:t>1</w:t>
            </w:r>
          </w:p>
        </w:tc>
        <w:tc>
          <w:tcPr>
            <w:tcW w:w="1220" w:type="dxa"/>
            <w:vAlign w:val="bottom"/>
          </w:tcPr>
          <w:p>
            <w:pPr>
              <w:jc w:val="center"/>
              <w:spacing w:after="0"/>
              <w:rPr>
                <w:sz w:val="20"/>
                <w:szCs w:val="20"/>
                <w:color w:val="auto"/>
              </w:rPr>
            </w:pPr>
            <w:r>
              <w:rPr>
                <w:rFonts w:ascii="Arial" w:cs="Arial" w:eastAsia="Arial" w:hAnsi="Arial"/>
                <w:sz w:val="14"/>
                <w:szCs w:val="14"/>
                <w:color w:val="auto"/>
                <w:w w:val="93"/>
              </w:rPr>
              <w:t>5/13/2015</w:t>
            </w:r>
          </w:p>
        </w:tc>
        <w:tc>
          <w:tcPr>
            <w:tcW w:w="2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12,500</w:t>
            </w: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12,503</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12,500</w:t>
            </w:r>
          </w:p>
        </w:tc>
        <w:tc>
          <w:tcPr>
            <w:tcW w:w="0" w:type="dxa"/>
            <w:vAlign w:val="bottom"/>
          </w:tcPr>
          <w:p>
            <w:pPr>
              <w:spacing w:after="0"/>
              <w:rPr>
                <w:sz w:val="1"/>
                <w:szCs w:val="1"/>
                <w:color w:val="auto"/>
              </w:rPr>
            </w:pPr>
          </w:p>
        </w:tc>
      </w:tr>
      <w:tr>
        <w:trPr>
          <w:trHeight w:val="276"/>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Georgia</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5/7/2015</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6,496</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6,456</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6,496</w:t>
            </w:r>
          </w:p>
        </w:tc>
        <w:tc>
          <w:tcPr>
            <w:tcW w:w="0" w:type="dxa"/>
            <w:vAlign w:val="bottom"/>
          </w:tcPr>
          <w:p>
            <w:pPr>
              <w:spacing w:after="0"/>
              <w:rPr>
                <w:sz w:val="1"/>
                <w:szCs w:val="1"/>
                <w:color w:val="auto"/>
              </w:rPr>
            </w:pPr>
          </w:p>
        </w:tc>
      </w:tr>
      <w:tr>
        <w:trPr>
          <w:trHeight w:val="264"/>
        </w:trPr>
        <w:tc>
          <w:tcPr>
            <w:tcW w:w="1640" w:type="dxa"/>
            <w:vAlign w:val="bottom"/>
          </w:tcPr>
          <w:p>
            <w:pPr>
              <w:ind w:left="20"/>
              <w:spacing w:after="0"/>
              <w:rPr>
                <w:sz w:val="20"/>
                <w:szCs w:val="20"/>
                <w:color w:val="auto"/>
              </w:rPr>
            </w:pPr>
            <w:r>
              <w:rPr>
                <w:rFonts w:ascii="Arial" w:cs="Arial" w:eastAsia="Arial" w:hAnsi="Arial"/>
                <w:sz w:val="14"/>
                <w:szCs w:val="14"/>
                <w:color w:val="auto"/>
              </w:rPr>
              <w:t>North Carolina</w:t>
            </w:r>
          </w:p>
        </w:tc>
        <w:tc>
          <w:tcPr>
            <w:tcW w:w="780" w:type="dxa"/>
            <w:vAlign w:val="bottom"/>
          </w:tcPr>
          <w:p>
            <w:pPr>
              <w:jc w:val="center"/>
              <w:spacing w:after="0"/>
              <w:rPr>
                <w:sz w:val="20"/>
                <w:szCs w:val="20"/>
                <w:color w:val="auto"/>
              </w:rPr>
            </w:pPr>
            <w:r>
              <w:rPr>
                <w:rFonts w:ascii="Arial" w:cs="Arial" w:eastAsia="Arial" w:hAnsi="Arial"/>
                <w:sz w:val="14"/>
                <w:szCs w:val="14"/>
                <w:color w:val="auto"/>
              </w:rPr>
              <w:t>1</w:t>
            </w:r>
          </w:p>
        </w:tc>
        <w:tc>
          <w:tcPr>
            <w:tcW w:w="1220" w:type="dxa"/>
            <w:vAlign w:val="bottom"/>
          </w:tcPr>
          <w:p>
            <w:pPr>
              <w:jc w:val="center"/>
              <w:spacing w:after="0"/>
              <w:rPr>
                <w:sz w:val="20"/>
                <w:szCs w:val="20"/>
                <w:color w:val="auto"/>
              </w:rPr>
            </w:pPr>
            <w:r>
              <w:rPr>
                <w:rFonts w:ascii="Arial" w:cs="Arial" w:eastAsia="Arial" w:hAnsi="Arial"/>
                <w:sz w:val="14"/>
                <w:szCs w:val="14"/>
                <w:color w:val="auto"/>
                <w:w w:val="95"/>
              </w:rPr>
              <w:t>5/5/2015</w:t>
            </w:r>
          </w:p>
        </w:tc>
        <w:tc>
          <w:tcPr>
            <w:tcW w:w="2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10,994</w:t>
            </w: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10,963</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2"/>
                <w:szCs w:val="22"/>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10,994</w:t>
            </w:r>
          </w:p>
        </w:tc>
        <w:tc>
          <w:tcPr>
            <w:tcW w:w="0" w:type="dxa"/>
            <w:vAlign w:val="bottom"/>
          </w:tcPr>
          <w:p>
            <w:pPr>
              <w:spacing w:after="0"/>
              <w:rPr>
                <w:sz w:val="1"/>
                <w:szCs w:val="1"/>
                <w:color w:val="auto"/>
              </w:rPr>
            </w:pPr>
          </w:p>
        </w:tc>
      </w:tr>
      <w:tr>
        <w:trPr>
          <w:trHeight w:val="276"/>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Georgia</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4/24/2015</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6,498</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6,449</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6,498</w:t>
            </w:r>
          </w:p>
        </w:tc>
        <w:tc>
          <w:tcPr>
            <w:tcW w:w="0" w:type="dxa"/>
            <w:vAlign w:val="bottom"/>
          </w:tcPr>
          <w:p>
            <w:pPr>
              <w:spacing w:after="0"/>
              <w:rPr>
                <w:sz w:val="1"/>
                <w:szCs w:val="1"/>
                <w:color w:val="auto"/>
              </w:rPr>
            </w:pPr>
          </w:p>
        </w:tc>
      </w:tr>
      <w:tr>
        <w:trPr>
          <w:trHeight w:val="264"/>
        </w:trPr>
        <w:tc>
          <w:tcPr>
            <w:tcW w:w="1640" w:type="dxa"/>
            <w:vAlign w:val="bottom"/>
          </w:tcPr>
          <w:p>
            <w:pPr>
              <w:ind w:left="20"/>
              <w:spacing w:after="0"/>
              <w:rPr>
                <w:sz w:val="20"/>
                <w:szCs w:val="20"/>
                <w:color w:val="auto"/>
              </w:rPr>
            </w:pPr>
            <w:r>
              <w:rPr>
                <w:rFonts w:ascii="Arial" w:cs="Arial" w:eastAsia="Arial" w:hAnsi="Arial"/>
                <w:sz w:val="14"/>
                <w:szCs w:val="14"/>
                <w:color w:val="auto"/>
              </w:rPr>
              <w:t>Arizona, Texas</w:t>
            </w: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22</w:t>
            </w:r>
          </w:p>
        </w:tc>
        <w:tc>
          <w:tcPr>
            <w:tcW w:w="1220" w:type="dxa"/>
            <w:vAlign w:val="bottom"/>
          </w:tcPr>
          <w:p>
            <w:pPr>
              <w:jc w:val="center"/>
              <w:spacing w:after="0"/>
              <w:rPr>
                <w:sz w:val="20"/>
                <w:szCs w:val="20"/>
                <w:color w:val="auto"/>
              </w:rPr>
            </w:pPr>
            <w:r>
              <w:rPr>
                <w:rFonts w:ascii="Arial" w:cs="Arial" w:eastAsia="Arial" w:hAnsi="Arial"/>
                <w:sz w:val="14"/>
                <w:szCs w:val="14"/>
                <w:color w:val="auto"/>
                <w:w w:val="93"/>
              </w:rPr>
              <w:t>4/15/2015</w:t>
            </w:r>
          </w:p>
        </w:tc>
        <w:tc>
          <w:tcPr>
            <w:tcW w:w="2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177,673</w:t>
            </w: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75,102</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822</w:t>
            </w:r>
          </w:p>
        </w:tc>
        <w:tc>
          <w:tcPr>
            <w:tcW w:w="100" w:type="dxa"/>
            <w:vAlign w:val="bottom"/>
          </w:tcPr>
          <w:p>
            <w:pPr>
              <w:spacing w:after="0"/>
              <w:rPr>
                <w:sz w:val="22"/>
                <w:szCs w:val="22"/>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101,749</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1,504,277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177,673</w:t>
            </w:r>
          </w:p>
        </w:tc>
        <w:tc>
          <w:tcPr>
            <w:tcW w:w="0" w:type="dxa"/>
            <w:vAlign w:val="bottom"/>
          </w:tcPr>
          <w:p>
            <w:pPr>
              <w:spacing w:after="0"/>
              <w:rPr>
                <w:sz w:val="1"/>
                <w:szCs w:val="1"/>
                <w:color w:val="auto"/>
              </w:rPr>
            </w:pPr>
          </w:p>
        </w:tc>
      </w:tr>
      <w:tr>
        <w:trPr>
          <w:trHeight w:val="276"/>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4/14/2015</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8,640</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8,570</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8,640</w:t>
            </w:r>
          </w:p>
        </w:tc>
        <w:tc>
          <w:tcPr>
            <w:tcW w:w="0" w:type="dxa"/>
            <w:vAlign w:val="bottom"/>
          </w:tcPr>
          <w:p>
            <w:pPr>
              <w:spacing w:after="0"/>
              <w:rPr>
                <w:sz w:val="1"/>
                <w:szCs w:val="1"/>
                <w:color w:val="auto"/>
              </w:rPr>
            </w:pPr>
          </w:p>
        </w:tc>
      </w:tr>
      <w:tr>
        <w:trPr>
          <w:trHeight w:val="264"/>
        </w:trPr>
        <w:tc>
          <w:tcPr>
            <w:tcW w:w="1640" w:type="dxa"/>
            <w:vAlign w:val="bottom"/>
          </w:tcPr>
          <w:p>
            <w:pPr>
              <w:ind w:left="20"/>
              <w:spacing w:after="0"/>
              <w:rPr>
                <w:sz w:val="20"/>
                <w:szCs w:val="20"/>
                <w:color w:val="auto"/>
              </w:rPr>
            </w:pPr>
            <w:r>
              <w:rPr>
                <w:rFonts w:ascii="Arial" w:cs="Arial" w:eastAsia="Arial" w:hAnsi="Arial"/>
                <w:sz w:val="14"/>
                <w:szCs w:val="14"/>
                <w:color w:val="auto"/>
              </w:rPr>
              <w:t xml:space="preserve">California </w:t>
            </w:r>
            <w:r>
              <w:rPr>
                <w:rFonts w:ascii="Arial" w:cs="Arial" w:eastAsia="Arial" w:hAnsi="Arial"/>
                <w:sz w:val="8"/>
                <w:szCs w:val="8"/>
                <w:color w:val="auto"/>
              </w:rPr>
              <w:t>(6)</w:t>
            </w:r>
          </w:p>
        </w:tc>
        <w:tc>
          <w:tcPr>
            <w:tcW w:w="780" w:type="dxa"/>
            <w:vAlign w:val="bottom"/>
          </w:tcPr>
          <w:p>
            <w:pPr>
              <w:jc w:val="center"/>
              <w:spacing w:after="0"/>
              <w:rPr>
                <w:sz w:val="20"/>
                <w:szCs w:val="20"/>
                <w:color w:val="auto"/>
              </w:rPr>
            </w:pPr>
            <w:r>
              <w:rPr>
                <w:rFonts w:ascii="Arial" w:cs="Arial" w:eastAsia="Arial" w:hAnsi="Arial"/>
                <w:sz w:val="14"/>
                <w:szCs w:val="14"/>
                <w:color w:val="auto"/>
              </w:rPr>
              <w:t>1</w:t>
            </w:r>
          </w:p>
        </w:tc>
        <w:tc>
          <w:tcPr>
            <w:tcW w:w="1220" w:type="dxa"/>
            <w:vAlign w:val="bottom"/>
          </w:tcPr>
          <w:p>
            <w:pPr>
              <w:jc w:val="center"/>
              <w:spacing w:after="0"/>
              <w:rPr>
                <w:sz w:val="20"/>
                <w:szCs w:val="20"/>
                <w:color w:val="auto"/>
              </w:rPr>
            </w:pPr>
            <w:r>
              <w:rPr>
                <w:rFonts w:ascii="Arial" w:cs="Arial" w:eastAsia="Arial" w:hAnsi="Arial"/>
                <w:sz w:val="14"/>
                <w:szCs w:val="14"/>
                <w:color w:val="auto"/>
                <w:w w:val="93"/>
              </w:rPr>
              <w:t>3/30/2015</w:t>
            </w:r>
          </w:p>
        </w:tc>
        <w:tc>
          <w:tcPr>
            <w:tcW w:w="2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12,334</w:t>
            </w: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1,700</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11,009</w:t>
            </w:r>
          </w:p>
        </w:tc>
        <w:tc>
          <w:tcPr>
            <w:tcW w:w="2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22"/>
                <w:szCs w:val="22"/>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12,699</w:t>
            </w:r>
          </w:p>
        </w:tc>
        <w:tc>
          <w:tcPr>
            <w:tcW w:w="0" w:type="dxa"/>
            <w:vAlign w:val="bottom"/>
          </w:tcPr>
          <w:p>
            <w:pPr>
              <w:spacing w:after="0"/>
              <w:rPr>
                <w:sz w:val="1"/>
                <w:szCs w:val="1"/>
                <w:color w:val="auto"/>
              </w:rPr>
            </w:pPr>
          </w:p>
        </w:tc>
      </w:tr>
      <w:tr>
        <w:trPr>
          <w:trHeight w:val="276"/>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South Carolina</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3/30/2015</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13,136</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13,114</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13,136</w:t>
            </w:r>
          </w:p>
        </w:tc>
        <w:tc>
          <w:tcPr>
            <w:tcW w:w="0" w:type="dxa"/>
            <w:vAlign w:val="bottom"/>
          </w:tcPr>
          <w:p>
            <w:pPr>
              <w:spacing w:after="0"/>
              <w:rPr>
                <w:sz w:val="1"/>
                <w:szCs w:val="1"/>
                <w:color w:val="auto"/>
              </w:rPr>
            </w:pPr>
          </w:p>
        </w:tc>
      </w:tr>
      <w:tr>
        <w:trPr>
          <w:trHeight w:val="264"/>
        </w:trPr>
        <w:tc>
          <w:tcPr>
            <w:tcW w:w="1640" w:type="dxa"/>
            <w:vAlign w:val="bottom"/>
          </w:tcPr>
          <w:p>
            <w:pPr>
              <w:ind w:left="20"/>
              <w:spacing w:after="0"/>
              <w:rPr>
                <w:sz w:val="20"/>
                <w:szCs w:val="20"/>
                <w:color w:val="auto"/>
              </w:rPr>
            </w:pPr>
            <w:r>
              <w:rPr>
                <w:rFonts w:ascii="Arial" w:cs="Arial" w:eastAsia="Arial" w:hAnsi="Arial"/>
                <w:sz w:val="14"/>
                <w:szCs w:val="14"/>
                <w:color w:val="auto"/>
              </w:rPr>
              <w:t>Virginia</w:t>
            </w:r>
          </w:p>
        </w:tc>
        <w:tc>
          <w:tcPr>
            <w:tcW w:w="780" w:type="dxa"/>
            <w:vAlign w:val="bottom"/>
          </w:tcPr>
          <w:p>
            <w:pPr>
              <w:jc w:val="center"/>
              <w:spacing w:after="0"/>
              <w:rPr>
                <w:sz w:val="20"/>
                <w:szCs w:val="20"/>
                <w:color w:val="auto"/>
              </w:rPr>
            </w:pPr>
            <w:r>
              <w:rPr>
                <w:rFonts w:ascii="Arial" w:cs="Arial" w:eastAsia="Arial" w:hAnsi="Arial"/>
                <w:sz w:val="14"/>
                <w:szCs w:val="14"/>
                <w:color w:val="auto"/>
              </w:rPr>
              <w:t>1</w:t>
            </w:r>
          </w:p>
        </w:tc>
        <w:tc>
          <w:tcPr>
            <w:tcW w:w="1220" w:type="dxa"/>
            <w:vAlign w:val="bottom"/>
          </w:tcPr>
          <w:p>
            <w:pPr>
              <w:jc w:val="center"/>
              <w:spacing w:after="0"/>
              <w:rPr>
                <w:sz w:val="20"/>
                <w:szCs w:val="20"/>
                <w:color w:val="auto"/>
              </w:rPr>
            </w:pPr>
            <w:r>
              <w:rPr>
                <w:rFonts w:ascii="Arial" w:cs="Arial" w:eastAsia="Arial" w:hAnsi="Arial"/>
                <w:sz w:val="14"/>
                <w:szCs w:val="14"/>
                <w:color w:val="auto"/>
                <w:w w:val="93"/>
              </w:rPr>
              <w:t>3/17/2015</w:t>
            </w:r>
          </w:p>
        </w:tc>
        <w:tc>
          <w:tcPr>
            <w:tcW w:w="2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4,996</w:t>
            </w: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4,988</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4,996</w:t>
            </w:r>
          </w:p>
        </w:tc>
        <w:tc>
          <w:tcPr>
            <w:tcW w:w="0" w:type="dxa"/>
            <w:vAlign w:val="bottom"/>
          </w:tcPr>
          <w:p>
            <w:pPr>
              <w:spacing w:after="0"/>
              <w:rPr>
                <w:sz w:val="1"/>
                <w:szCs w:val="1"/>
                <w:color w:val="auto"/>
              </w:rPr>
            </w:pPr>
          </w:p>
        </w:tc>
      </w:tr>
      <w:tr>
        <w:trPr>
          <w:trHeight w:val="276"/>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2/24/2015</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13,554</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13,503</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13,554</w:t>
            </w:r>
          </w:p>
        </w:tc>
        <w:tc>
          <w:tcPr>
            <w:tcW w:w="0" w:type="dxa"/>
            <w:vAlign w:val="bottom"/>
          </w:tcPr>
          <w:p>
            <w:pPr>
              <w:spacing w:after="0"/>
              <w:rPr>
                <w:sz w:val="1"/>
                <w:szCs w:val="1"/>
                <w:color w:val="auto"/>
              </w:rPr>
            </w:pPr>
          </w:p>
        </w:tc>
      </w:tr>
      <w:tr>
        <w:trPr>
          <w:trHeight w:val="264"/>
        </w:trPr>
        <w:tc>
          <w:tcPr>
            <w:tcW w:w="1640" w:type="dxa"/>
            <w:vAlign w:val="bottom"/>
          </w:tcPr>
          <w:p>
            <w:pPr>
              <w:ind w:left="20"/>
              <w:spacing w:after="0"/>
              <w:rPr>
                <w:sz w:val="20"/>
                <w:szCs w:val="20"/>
                <w:color w:val="auto"/>
              </w:rPr>
            </w:pPr>
            <w:r>
              <w:rPr>
                <w:rFonts w:ascii="Arial" w:cs="Arial" w:eastAsia="Arial" w:hAnsi="Arial"/>
                <w:sz w:val="14"/>
                <w:szCs w:val="14"/>
                <w:color w:val="auto"/>
              </w:rPr>
              <w:t>Texas</w:t>
            </w:r>
          </w:p>
        </w:tc>
        <w:tc>
          <w:tcPr>
            <w:tcW w:w="780" w:type="dxa"/>
            <w:vAlign w:val="bottom"/>
          </w:tcPr>
          <w:p>
            <w:pPr>
              <w:jc w:val="center"/>
              <w:spacing w:after="0"/>
              <w:rPr>
                <w:sz w:val="20"/>
                <w:szCs w:val="20"/>
                <w:color w:val="auto"/>
              </w:rPr>
            </w:pPr>
            <w:r>
              <w:rPr>
                <w:rFonts w:ascii="Arial" w:cs="Arial" w:eastAsia="Arial" w:hAnsi="Arial"/>
                <w:sz w:val="14"/>
                <w:szCs w:val="14"/>
                <w:color w:val="auto"/>
              </w:rPr>
              <w:t>3</w:t>
            </w:r>
          </w:p>
        </w:tc>
        <w:tc>
          <w:tcPr>
            <w:tcW w:w="1220" w:type="dxa"/>
            <w:vAlign w:val="bottom"/>
          </w:tcPr>
          <w:p>
            <w:pPr>
              <w:jc w:val="center"/>
              <w:spacing w:after="0"/>
              <w:rPr>
                <w:sz w:val="20"/>
                <w:szCs w:val="20"/>
                <w:color w:val="auto"/>
              </w:rPr>
            </w:pPr>
            <w:r>
              <w:rPr>
                <w:rFonts w:ascii="Arial" w:cs="Arial" w:eastAsia="Arial" w:hAnsi="Arial"/>
                <w:sz w:val="14"/>
                <w:szCs w:val="14"/>
                <w:color w:val="auto"/>
                <w:w w:val="93"/>
              </w:rPr>
              <w:t>1/13/2015</w:t>
            </w:r>
          </w:p>
        </w:tc>
        <w:tc>
          <w:tcPr>
            <w:tcW w:w="2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41,869</w:t>
            </w: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41,771</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2"/>
                <w:szCs w:val="22"/>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41,869</w:t>
            </w:r>
          </w:p>
        </w:tc>
        <w:tc>
          <w:tcPr>
            <w:tcW w:w="0" w:type="dxa"/>
            <w:vAlign w:val="bottom"/>
          </w:tcPr>
          <w:p>
            <w:pPr>
              <w:spacing w:after="0"/>
              <w:rPr>
                <w:sz w:val="1"/>
                <w:szCs w:val="1"/>
                <w:color w:val="auto"/>
              </w:rPr>
            </w:pPr>
          </w:p>
        </w:tc>
      </w:tr>
      <w:tr>
        <w:trPr>
          <w:trHeight w:val="263"/>
        </w:trPr>
        <w:tc>
          <w:tcPr>
            <w:tcW w:w="1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2015 Totals</w:t>
            </w: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171</w:t>
            </w:r>
          </w:p>
        </w:tc>
        <w:tc>
          <w:tcPr>
            <w:tcW w:w="12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1,606,509</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1,517,196</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15,610</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(68,696)</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142,399</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2,043,613</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1,607,979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1"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53" w:lineRule="exact"/>
        <w:rPr>
          <w:sz w:val="20"/>
          <w:szCs w:val="20"/>
          <w:color w:val="auto"/>
        </w:rPr>
      </w:pPr>
    </w:p>
    <w:p>
      <w:pPr>
        <w:ind w:left="660" w:hanging="652"/>
        <w:spacing w:after="0" w:line="266"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 November 17, 2016, the Company acquired 11 stores from its ESS WCOT LLC joint venture ("WCOT") in a step acquisition. These stores are located in California, Georgia, Maryland, New Mexico, Tennessee and Virginia. The Company owns 5.0% of WCOT, with the other 95.0% owned by affiliates of Prudential Global Investment Management ("Prudential"). WCOT created a new subsidiary, Extra Space Properties 132 LLC ("ESP 132") and transferred 11 stores into ESP 132. WCOT then distributed ESP 132 to the Company and Prudential on a pro rata basis. This distribution was accounted for as a spinoff, and was therefore recorded at the net carrying amount of the properties of $68,814. Immediately after the distribution, the Company acquired Prudential's 95.0% interest in ESP 132 for $153,304, resulting in 100% ownership of ESP 132 and the related 11 stores. Based on the purchase price of Prudential's share of ESP 132, the Company determined that the fair value of its investment in ESP 132 immediately prior to the acquisition of Prudential's share was $8,119, and the Company recorded a gain of $4,651 as a result of remeasuring to fair value its existing equity interest in ESP 132. This gain is included in equity in earnings of unconsolidated real estate ventures - gain on sale of real estate assets and purchase of joint venture partners' interests on the Company's consolidated statements of operations. The Company recorded fixed assets related to this acquisition of $161,072, which includes total cash paid, the investment in ESP 132, and the step acquisition gain, less net assets acquired.</w:t>
      </w:r>
    </w:p>
    <w:p>
      <w:pPr>
        <w:spacing w:after="0" w:line="4" w:lineRule="exact"/>
        <w:rPr>
          <w:rFonts w:ascii="Arial" w:cs="Arial" w:eastAsia="Arial" w:hAnsi="Arial"/>
          <w:sz w:val="17"/>
          <w:szCs w:val="17"/>
          <w:color w:val="auto"/>
        </w:rPr>
      </w:pPr>
    </w:p>
    <w:p>
      <w:pPr>
        <w:ind w:left="660" w:right="20" w:hanging="652"/>
        <w:spacing w:after="0" w:line="28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September 16, 2016, the Company acquired 23 stores from its ESS PRISA II LLC joint venture ("PRISA II") in a step acquisition. These stores are located in Arizona, California, Connecticut, Florida, Indiana, Kentucky, Massachusetts, Maryland, Michigan, New Jersey, New Mexico, Ohio, Tennessee and Virginia. The Company owned 4.4% of PRISA II, with the other 95.6% owned by affiliates of Prudential. PRISA II created a new subsidiary, Extra Space Properties 131 LLC ("ESP 131"), and transferred 23 stores into ESP 131. PRISA II then distributed ESP 131 to the Company and Prudential on a pro rata basis. This distribution was accounted for as a spinoff, and was therefore recorded at the net carrying amount of the properties of $4,326. Immediately after the distribution, the Company acquired Prudential's 95.6% interest in ESP 131 for $238,679, resulting in 100% ownership of ESP 131 and the related 23 stores. Based on the purchase price of Prudential's share of ESP 131, the Company determined that the fair value of its investment in ESP 131 immediately prior to the acquisition of Prudential's share was $10,988, and the Company recorded a gain of $6,778 as a result of re-measuring to fair value its existing equity interest in ESP 131. This gain is included in equity in earnings of unconsolidated real estate ventures - gain on sale of real estate assets and purchase of joint venture partners' interests on the Company's consolidated statements of operations. The Company recorded fixed assets related to this acquisition of $248,530, which includes total cash paid, the investment in ESP 131, and the step acquisition gain, less net assets acquired. Subsequent to these transactions, PRISA II owned 42 stores. The Company sold its 4.4% interest in PRISA II to Prudential immediately following these transactions, as disclosed in Note 5.</w:t>
      </w:r>
    </w:p>
    <w:p>
      <w:pPr>
        <w:spacing w:after="0" w:line="5" w:lineRule="exact"/>
        <w:rPr>
          <w:rFonts w:ascii="Arial" w:cs="Arial" w:eastAsia="Arial" w:hAnsi="Arial"/>
          <w:sz w:val="16"/>
          <w:szCs w:val="16"/>
          <w:color w:val="auto"/>
        </w:rPr>
      </w:pPr>
    </w:p>
    <w:p>
      <w:pPr>
        <w:ind w:left="660" w:right="80" w:hanging="652"/>
        <w:spacing w:after="0" w:line="28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February 2, 2016, the Company acquired six stores from its VRS Self Storage LLC joint venture (“VRS”) in a step acquisition. These stores are located in Florida, Maryland, Nevada, New York, and Tennessee. The Company owns 45.0% of VRS, with the other 55.0% owned by affiliates of Prudential. VRS created a new subsidiary, Extra Space Properties 122 LLC (“ESP 122”) and transferred six stores into ESP 122. VRS then distributed ESP 122 to the Company and Prudential on a pro rata basis. This distribution was accounted for as a spinoff, and was therefore recorded at the net carrying amount of the properties of $17,261. Immediately after the distribution, the Company acquired Prudential’s 55.0% interest in ESP 122 for $53,940, resulting in 100% ownership of ESP 122 and the related six stores. Based on the purchase price of Prudential’s share of ESP 122, the Company determined that the fair value of its investment in ESP 122 immediately prior to the acquisition of Prudential’s share was $44,184, and the Company recorded a gain of $26,923 as a result of re-measuring to fair value its existing equity interest in ESP 122. This gain is included in equity in earnings of unconsolidated real estate ventures - gain on sale of real estate assets and purchase of joint venture partners’ interests on the Company’s consolidated statements of operations. The Company recorded fixed assets related to this acquisition of $98,082, which includes total cash paid, the investment in ESP 122, and the step acquisition gain, less net assets acquired.</w:t>
      </w:r>
    </w:p>
    <w:p>
      <w:pPr>
        <w:spacing w:after="0" w:line="4" w:lineRule="exact"/>
        <w:rPr>
          <w:rFonts w:ascii="Arial" w:cs="Arial" w:eastAsia="Arial" w:hAnsi="Arial"/>
          <w:sz w:val="16"/>
          <w:szCs w:val="16"/>
          <w:color w:val="auto"/>
        </w:rPr>
      </w:pPr>
    </w:p>
    <w:p>
      <w:pPr>
        <w:ind w:left="660" w:hanging="652"/>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This represents the acquisition of SmartStop Self Storage, Inc. (“SmartStop”). See below for more detailed information about this acquisition.</w:t>
      </w:r>
    </w:p>
    <w:p>
      <w:pPr>
        <w:spacing w:after="0" w:line="20" w:lineRule="exact"/>
        <w:rPr>
          <w:rFonts w:ascii="Arial" w:cs="Arial" w:eastAsia="Arial" w:hAnsi="Arial"/>
          <w:sz w:val="17"/>
          <w:szCs w:val="17"/>
          <w:color w:val="auto"/>
        </w:rPr>
      </w:pPr>
    </w:p>
    <w:p>
      <w:pPr>
        <w:ind w:left="660" w:right="80" w:hanging="652"/>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determined the consideration paid for this store was below its market value, and recognized a $1,100 gain, representing the difference between the fair value of the store and the consideration paid.</w:t>
      </w:r>
    </w:p>
    <w:p>
      <w:pPr>
        <w:ind w:left="660" w:right="80" w:hanging="652"/>
        <w:spacing w:after="0" w:line="25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represents the acquisition of a joint venture partners’ interest in Extra Space of Sacramento One LLC (“Sacramento One”), an existing joint venture, for $1,700 in cash. The result of the acquisition is that the Company owns 100% of Sacramento One, which owned one store located in California. Prior to the acquisition date, the Company accounted for its interest in Sacramento One as an equity-method investment, and the Company also held mortgage notes receivable from Sacramento One totaling $11,009, including related interest. The total acquisition date fair value of the Company’s previous equity interest was approximately $365 and is included in consideration transfered. The Company recognized a non-cash gain of $1,629 as a result of remeasuring the fair value of its equity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1"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held prior to the acquisition. The store is consolidated subsequent to the acquisition as the Company owns 100% of the store.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SmartStop</w:t>
      </w:r>
    </w:p>
    <w:p>
      <w:pPr>
        <w:spacing w:after="0" w:line="12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On October 1, 2015, the Company completed the acquisition of SmartStop, a public non-traded REIT (the “Transaction”), pursuant to an Agreement and Plan of Merger, dated June 15, 2015 (the “Merger Agreement”). The Company completed the Transaction as part of its strategy to acquire stores and portfolios of stores that can increase stockholder value. Under the terms of the Merger Agreement, SmartStop shareholders received $13.75 per share in cash, which represented a total purchase price of approximately $1,391,272.</w:t>
      </w:r>
    </w:p>
    <w:p>
      <w:pPr>
        <w:spacing w:after="0" w:line="186"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 connection with the Transaction, it was agreed that certain assets would be excluded from the Company’s acquisition of SmartStop (the “Excluded Assets”). The Company had determined that the Excluded Assets were not complementary to the Company’s business or otherwise not of primary interest to the Company. These Excluded Assets were instead sold by SmartStop to Strategic 1031, LLC, a Delaware limited liability company (“Strategic 1031”), prior to the Transaction. The Excluded Assets included five SmartStop stores located in Canada, one parcel of land located in California that is under development, and SmartStop’s non-traded REIT platform. Strategic 1031 is owned by and controlled by SmartStop’s former Chief Executive Officer, President and Chairman of the Board of Directors.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reconciles the purchase price to cash paid by the Company and total consideration transferred to acquire SmartStop: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purchase price</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1,391,272</w:t>
            </w:r>
          </w:p>
        </w:tc>
        <w:tc>
          <w:tcPr>
            <w:tcW w:w="0" w:type="dxa"/>
            <w:vAlign w:val="bottom"/>
          </w:tcPr>
          <w:p>
            <w:pPr>
              <w:spacing w:after="0"/>
              <w:rPr>
                <w:sz w:val="1"/>
                <w:szCs w:val="1"/>
                <w:color w:val="auto"/>
              </w:rPr>
            </w:pP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Less: amount paid for Excluded Assets by Strategic 1031</w:t>
            </w:r>
          </w:p>
        </w:tc>
        <w:tc>
          <w:tcPr>
            <w:tcW w:w="7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(90,360)</w:t>
            </w:r>
          </w:p>
        </w:tc>
        <w:tc>
          <w:tcPr>
            <w:tcW w:w="0" w:type="dxa"/>
            <w:vAlign w:val="bottom"/>
          </w:tcPr>
          <w:p>
            <w:pPr>
              <w:spacing w:after="0"/>
              <w:rPr>
                <w:sz w:val="1"/>
                <w:szCs w:val="1"/>
                <w:color w:val="auto"/>
              </w:rPr>
            </w:pPr>
          </w:p>
        </w:tc>
      </w:tr>
      <w:tr>
        <w:trPr>
          <w:trHeight w:val="27"/>
        </w:trPr>
        <w:tc>
          <w:tcPr>
            <w:tcW w:w="92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purchase price attributable to the Company</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1,300,912</w:t>
            </w:r>
          </w:p>
        </w:tc>
        <w:tc>
          <w:tcPr>
            <w:tcW w:w="0" w:type="dxa"/>
            <w:vAlign w:val="bottom"/>
          </w:tcPr>
          <w:p>
            <w:pPr>
              <w:spacing w:after="0"/>
              <w:rPr>
                <w:sz w:val="1"/>
                <w:szCs w:val="1"/>
                <w:color w:val="auto"/>
              </w:rPr>
            </w:pPr>
          </w:p>
        </w:tc>
      </w:tr>
      <w:tr>
        <w:trPr>
          <w:trHeight w:val="20"/>
        </w:trPr>
        <w:tc>
          <w:tcPr>
            <w:tcW w:w="9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Total cash paid by the Company</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40" w:type="dxa"/>
            <w:vAlign w:val="bottom"/>
            <w:vMerge w:val="continue"/>
          </w:tcPr>
          <w:p>
            <w:pPr>
              <w:spacing w:after="0"/>
              <w:rPr>
                <w:sz w:val="19"/>
                <w:szCs w:val="19"/>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1,272,256</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OP Units issued to certain SmartStop unit holders</w:t>
            </w:r>
          </w:p>
        </w:tc>
        <w:tc>
          <w:tcPr>
            <w:tcW w:w="7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28,656</w:t>
            </w:r>
          </w:p>
        </w:tc>
        <w:tc>
          <w:tcPr>
            <w:tcW w:w="0" w:type="dxa"/>
            <w:vAlign w:val="bottom"/>
          </w:tcPr>
          <w:p>
            <w:pPr>
              <w:spacing w:after="0"/>
              <w:rPr>
                <w:sz w:val="1"/>
                <w:szCs w:val="1"/>
                <w:color w:val="auto"/>
              </w:rPr>
            </w:pPr>
          </w:p>
        </w:tc>
      </w:tr>
      <w:tr>
        <w:trPr>
          <w:trHeight w:val="236"/>
        </w:trPr>
        <w:tc>
          <w:tcPr>
            <w:tcW w:w="924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1,300,912</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Cash paid for transaction costs</w:t>
            </w:r>
          </w:p>
        </w:tc>
        <w:tc>
          <w:tcPr>
            <w:tcW w:w="7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8,053</w:t>
            </w:r>
          </w:p>
        </w:tc>
        <w:tc>
          <w:tcPr>
            <w:tcW w:w="0" w:type="dxa"/>
            <w:vAlign w:val="bottom"/>
          </w:tcPr>
          <w:p>
            <w:pPr>
              <w:spacing w:after="0"/>
              <w:rPr>
                <w:sz w:val="1"/>
                <w:szCs w:val="1"/>
                <w:color w:val="auto"/>
              </w:rPr>
            </w:pP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Less: Cash paid for defeasance and prepayment fees</w:t>
            </w:r>
          </w:p>
        </w:tc>
        <w:tc>
          <w:tcPr>
            <w:tcW w:w="7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38,360</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Severance and share-based compensation to SmartStop employees</w:t>
            </w:r>
          </w:p>
        </w:tc>
        <w:tc>
          <w:tcPr>
            <w:tcW w:w="7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7,665</w:t>
            </w:r>
          </w:p>
        </w:tc>
        <w:tc>
          <w:tcPr>
            <w:tcW w:w="0" w:type="dxa"/>
            <w:vAlign w:val="bottom"/>
          </w:tcPr>
          <w:p>
            <w:pPr>
              <w:spacing w:after="0"/>
              <w:rPr>
                <w:sz w:val="1"/>
                <w:szCs w:val="1"/>
                <w:color w:val="auto"/>
              </w:rPr>
            </w:pPr>
          </w:p>
        </w:tc>
      </w:tr>
      <w:tr>
        <w:trPr>
          <w:trHeight w:val="236"/>
        </w:trPr>
        <w:tc>
          <w:tcPr>
            <w:tcW w:w="9240" w:type="dxa"/>
            <w:vAlign w:val="bottom"/>
          </w:tcPr>
          <w:p>
            <w:pPr>
              <w:ind w:left="40"/>
              <w:spacing w:after="0"/>
              <w:rPr>
                <w:sz w:val="20"/>
                <w:szCs w:val="20"/>
                <w:color w:val="auto"/>
              </w:rPr>
            </w:pPr>
            <w:r>
              <w:rPr>
                <w:rFonts w:ascii="Arial" w:cs="Arial" w:eastAsia="Arial" w:hAnsi="Arial"/>
                <w:sz w:val="18"/>
                <w:szCs w:val="18"/>
                <w:color w:val="auto"/>
              </w:rPr>
              <w:t>Total consideration transferred</w:t>
            </w:r>
          </w:p>
        </w:tc>
        <w:tc>
          <w:tcPr>
            <w:tcW w:w="7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1,246,834</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As part of this acquisition, the Company recorded an expense of $38,360 related to defeasance costs and prepayment penalties incurred related to the repayment of SmartStop’s existing debt as of the acquisition date. The Company incurred $8,053 of professional fees/closing costs, $6,338 of severance-related costs, and $1,327 of other payroll-related costs for a total of $54,078 that was paid at closing. Another $9,043 of other acquisition related costs were incurred that were not paid in connection with the closing for a total of $63,121.</w:t>
      </w:r>
    </w:p>
    <w:p>
      <w:pPr>
        <w:spacing w:after="0" w:line="170"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at the acquisition date. The Company’s allocation of consideration transferred for SmartStop is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179,700</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Buildings</w:t>
            </w:r>
          </w:p>
        </w:tc>
        <w:tc>
          <w:tcPr>
            <w:tcW w:w="7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978,368</w:t>
            </w:r>
          </w:p>
        </w:tc>
      </w:tr>
      <w:tr>
        <w:trPr>
          <w:trHeight w:val="27"/>
        </w:trPr>
        <w:tc>
          <w:tcPr>
            <w:tcW w:w="9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w:t>
            </w:r>
          </w:p>
        </w:tc>
        <w:tc>
          <w:tcPr>
            <w:tcW w:w="7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18,830</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Investments in unconsolidated real estate ventures</w:t>
            </w:r>
          </w:p>
        </w:tc>
        <w:tc>
          <w:tcPr>
            <w:tcW w:w="7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60,981</w:t>
            </w:r>
          </w:p>
        </w:tc>
      </w:tr>
      <w:tr>
        <w:trPr>
          <w:trHeight w:val="27"/>
        </w:trPr>
        <w:tc>
          <w:tcPr>
            <w:tcW w:w="9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7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34,500</w:t>
            </w:r>
          </w:p>
        </w:tc>
      </w:tr>
      <w:tr>
        <w:trPr>
          <w:trHeight w:val="236"/>
        </w:trPr>
        <w:tc>
          <w:tcPr>
            <w:tcW w:w="9240" w:type="dxa"/>
            <w:vAlign w:val="bottom"/>
          </w:tcPr>
          <w:p>
            <w:pPr>
              <w:ind w:left="380"/>
              <w:spacing w:after="0"/>
              <w:rPr>
                <w:sz w:val="20"/>
                <w:szCs w:val="20"/>
                <w:color w:val="auto"/>
              </w:rPr>
            </w:pPr>
            <w:r>
              <w:rPr>
                <w:rFonts w:ascii="Arial" w:cs="Arial" w:eastAsia="Arial" w:hAnsi="Arial"/>
                <w:sz w:val="18"/>
                <w:szCs w:val="18"/>
                <w:color w:val="auto"/>
              </w:rPr>
              <w:t>Total assets acquired</w:t>
            </w:r>
          </w:p>
        </w:tc>
        <w:tc>
          <w:tcPr>
            <w:tcW w:w="7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1,272,379</w:t>
            </w:r>
          </w:p>
        </w:tc>
      </w:tr>
      <w:tr>
        <w:trPr>
          <w:trHeight w:val="27"/>
        </w:trPr>
        <w:tc>
          <w:tcPr>
            <w:tcW w:w="9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liabilities assumed</w:t>
            </w:r>
          </w:p>
        </w:tc>
        <w:tc>
          <w:tcPr>
            <w:tcW w:w="7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17,064</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Other liabilities assumed</w:t>
            </w:r>
          </w:p>
        </w:tc>
        <w:tc>
          <w:tcPr>
            <w:tcW w:w="7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8,481</w:t>
            </w:r>
          </w:p>
        </w:tc>
      </w:tr>
      <w:tr>
        <w:trPr>
          <w:trHeight w:val="27"/>
        </w:trPr>
        <w:tc>
          <w:tcPr>
            <w:tcW w:w="92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8"/>
        </w:trPr>
        <w:tc>
          <w:tcPr>
            <w:tcW w:w="9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assets acquired</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1,246,834</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The Company agreed to loan Strategic 1031 $84,331 to finance the purchase of the Excluded Assets. The loans are secured by an interest in the Excluded Assets and accrue interest at 7.0% per annum until February 1, 2017, when the interest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1" w:right="2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rate increases to 9.0%. The loans are due May 30, 2018. As of December 31, 2016, the remaining principal balance was $52,201. These loans receivable are included in Other assets on the Company’s consolidated balance sheets.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Information</w:t>
      </w:r>
    </w:p>
    <w:p>
      <w:pPr>
        <w:spacing w:after="0" w:line="148" w:lineRule="exact"/>
        <w:rPr>
          <w:sz w:val="20"/>
          <w:szCs w:val="20"/>
          <w:color w:val="auto"/>
        </w:rPr>
      </w:pPr>
    </w:p>
    <w:p>
      <w:pPr>
        <w:ind w:right="20" w:firstLine="432"/>
        <w:spacing w:after="0" w:line="360" w:lineRule="auto"/>
        <w:rPr>
          <w:sz w:val="20"/>
          <w:szCs w:val="20"/>
          <w:color w:val="auto"/>
        </w:rPr>
      </w:pPr>
      <w:r>
        <w:rPr>
          <w:rFonts w:ascii="Arial" w:cs="Arial" w:eastAsia="Arial" w:hAnsi="Arial"/>
          <w:sz w:val="16"/>
          <w:szCs w:val="16"/>
          <w:color w:val="auto"/>
        </w:rPr>
        <w:t>During the year ended December 31, 2016, the Company acquired 99 operating stores. The following pro forma financial information includes 66 of the 99 operating stores acquired. 33 stores were excluded as it was impractical to obtain the historical information from the previous owners and in total they represent and immaterial amount of total revenues. The following pro forma financial information is based on the combined historical financial statements of the Company and 66 of the stores acquired, and presents the Company’s results as if the acquisitions had occurred as of January 1, 2015 (unaudited):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For the Year Ended December 31,</w:t>
            </w:r>
          </w:p>
        </w:tc>
      </w:tr>
      <w:tr>
        <w:trPr>
          <w:trHeight w:val="263"/>
        </w:trPr>
        <w:tc>
          <w:tcPr>
            <w:tcW w:w="83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Pro Forma</w:t>
            </w:r>
          </w:p>
        </w:tc>
        <w:tc>
          <w:tcPr>
            <w:tcW w:w="260" w:type="dxa"/>
            <w:vAlign w:val="bottom"/>
          </w:tcPr>
          <w:p>
            <w:pPr>
              <w:spacing w:after="0"/>
              <w:rPr>
                <w:sz w:val="21"/>
                <w:szCs w:val="21"/>
                <w:color w:val="auto"/>
              </w:rPr>
            </w:pPr>
          </w:p>
        </w:tc>
        <w:tc>
          <w:tcPr>
            <w:tcW w:w="1220" w:type="dxa"/>
            <w:vAlign w:val="bottom"/>
          </w:tcPr>
          <w:p>
            <w:pPr>
              <w:jc w:val="right"/>
              <w:ind w:right="319"/>
              <w:spacing w:after="0"/>
              <w:rPr>
                <w:sz w:val="20"/>
                <w:szCs w:val="20"/>
                <w:color w:val="auto"/>
              </w:rPr>
            </w:pPr>
            <w:r>
              <w:rPr>
                <w:rFonts w:ascii="Arial" w:cs="Arial" w:eastAsia="Arial" w:hAnsi="Arial"/>
                <w:sz w:val="14"/>
                <w:szCs w:val="14"/>
                <w:b w:val="1"/>
                <w:bCs w:val="1"/>
                <w:color w:val="auto"/>
              </w:rPr>
              <w:t>Pro Forma</w:t>
            </w:r>
          </w:p>
        </w:tc>
      </w:tr>
      <w:tr>
        <w:trPr>
          <w:trHeight w:val="249"/>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1,025,639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831,730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41"/>
              <w:spacing w:after="0"/>
              <w:rPr>
                <w:sz w:val="20"/>
                <w:szCs w:val="20"/>
                <w:color w:val="auto"/>
              </w:rPr>
            </w:pPr>
            <w:r>
              <w:rPr>
                <w:rFonts w:ascii="Arial" w:cs="Arial" w:eastAsia="Arial" w:hAnsi="Arial"/>
                <w:sz w:val="18"/>
                <w:szCs w:val="18"/>
                <w:color w:val="auto"/>
              </w:rPr>
              <w:t>381,883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212,313</w:t>
            </w:r>
          </w:p>
        </w:tc>
      </w:tr>
    </w:tbl>
    <w:p>
      <w:pPr>
        <w:spacing w:after="0" w:line="22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the revenues and earnings related to the 99 stores acquired during 2016 since their acquisition dates, which are included in the Company’s consolidated statements of operations for the year ended December 31, 2016:</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299"/>
              <w:spacing w:after="0"/>
              <w:rPr>
                <w:sz w:val="20"/>
                <w:szCs w:val="20"/>
                <w:color w:val="auto"/>
              </w:rPr>
            </w:pPr>
            <w:r>
              <w:rPr>
                <w:rFonts w:ascii="Arial" w:cs="Arial" w:eastAsia="Arial" w:hAnsi="Arial"/>
                <w:sz w:val="14"/>
                <w:szCs w:val="14"/>
                <w:b w:val="1"/>
                <w:bCs w:val="1"/>
                <w:color w:val="auto"/>
              </w:rPr>
              <w:t>Year Ended</w:t>
            </w:r>
          </w:p>
        </w:tc>
      </w:tr>
      <w:tr>
        <w:trPr>
          <w:trHeight w:val="192"/>
        </w:trPr>
        <w:tc>
          <w:tcPr>
            <w:tcW w:w="99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1"/>
              </w:rPr>
              <w:t>December 31, 2016</w:t>
            </w:r>
          </w:p>
        </w:tc>
      </w:tr>
      <w:tr>
        <w:trPr>
          <w:trHeight w:val="249"/>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44,712</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12,560</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Disposals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July 26, 2016, the Company completed the sale of an operating store located in Indiana that had been classified as held for sale for $4,447 in cash.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no gain or loss related to this disposition.</w:t>
      </w:r>
    </w:p>
    <w:p>
      <w:pPr>
        <w:spacing w:after="0" w:line="210" w:lineRule="exact"/>
        <w:rPr>
          <w:sz w:val="20"/>
          <w:szCs w:val="20"/>
          <w:color w:val="auto"/>
        </w:rPr>
      </w:pPr>
    </w:p>
    <w:p>
      <w:pPr>
        <w:jc w:val="both"/>
        <w:ind w:right="260" w:firstLine="405"/>
        <w:spacing w:after="0" w:line="263" w:lineRule="auto"/>
        <w:rPr>
          <w:sz w:val="20"/>
          <w:szCs w:val="20"/>
          <w:color w:val="auto"/>
        </w:rPr>
      </w:pPr>
      <w:r>
        <w:rPr>
          <w:rFonts w:ascii="Arial" w:cs="Arial" w:eastAsia="Arial" w:hAnsi="Arial"/>
          <w:sz w:val="18"/>
          <w:szCs w:val="18"/>
          <w:color w:val="auto"/>
        </w:rPr>
        <w:t>On April 20, 2016, the Company completed the sale of seven operating stores located in Ohio and Indiana that had been classified as held for sale for $17,555 in cash. The Company recognized a gain of $11,265 related to this disposition, which is included in gain (loss) on real estate transactions, earnout from prior acquisitions, and sale of other assets on the Company's consolidated statements of operations.</w:t>
      </w:r>
    </w:p>
    <w:p>
      <w:pPr>
        <w:spacing w:after="0" w:line="183" w:lineRule="exact"/>
        <w:rPr>
          <w:sz w:val="20"/>
          <w:szCs w:val="20"/>
          <w:color w:val="auto"/>
        </w:rPr>
      </w:pPr>
    </w:p>
    <w:p>
      <w:pPr>
        <w:ind w:right="120" w:firstLine="405"/>
        <w:spacing w:after="0" w:line="311" w:lineRule="auto"/>
        <w:rPr>
          <w:sz w:val="20"/>
          <w:szCs w:val="20"/>
          <w:color w:val="auto"/>
        </w:rPr>
      </w:pPr>
      <w:r>
        <w:rPr>
          <w:rFonts w:ascii="Arial" w:cs="Arial" w:eastAsia="Arial" w:hAnsi="Arial"/>
          <w:sz w:val="16"/>
          <w:szCs w:val="16"/>
          <w:color w:val="auto"/>
        </w:rPr>
        <w:t>On April 1, 2016, the Company disposed of a single store in Texas in exchange for 85,452 of the Company's OP Units valued at $7,689. The Operating Partnership canceled the OP Units received in this disposition. The Company recognized a gain of $93 related to this disposition, which is included in gain (loss) on real estate transactions, earnout from prior acquisitions, and sale of other assets on the Company's consolidated statements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Losses on Earnouts from Prior Acquisitions</w:t>
      </w:r>
    </w:p>
    <w:p>
      <w:pPr>
        <w:spacing w:after="0" w:line="121"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On December 2014, the Company acquired a portfolio of five stores located in New Jersey and Virginia. As part of this acquisition, the Company agreed to make an additional cash payment to the sellers if the acquired stores exceeded a specified amount of net operating income for the years ending December 31, 2015 and 2016. At the acquisition date, the Company recorded an estimated liability related to this earnout provision. The operating income of these stores during the earnout period has been higher than expected, resulting in an increase in the estimate of the amount due to the sellers of $4,284, which was recorded as a loss and included in gain (loss) on real estate transactions, earnout from prior acquisition and sale of other assets on the Company's consolidated statements of operations for the year ended December 31, 2016.</w:t>
      </w:r>
    </w:p>
    <w:p>
      <w:pPr>
        <w:spacing w:after="0" w:line="123" w:lineRule="exact"/>
        <w:rPr>
          <w:sz w:val="20"/>
          <w:szCs w:val="20"/>
          <w:color w:val="auto"/>
        </w:rPr>
      </w:pPr>
    </w:p>
    <w:p>
      <w:pPr>
        <w:jc w:val="both"/>
        <w:ind w:right="120" w:firstLine="432"/>
        <w:spacing w:after="0" w:line="263" w:lineRule="auto"/>
        <w:rPr>
          <w:sz w:val="20"/>
          <w:szCs w:val="20"/>
          <w:color w:val="auto"/>
        </w:rPr>
      </w:pPr>
      <w:r>
        <w:rPr>
          <w:rFonts w:ascii="Arial" w:cs="Arial" w:eastAsia="Arial" w:hAnsi="Arial"/>
          <w:sz w:val="18"/>
          <w:szCs w:val="18"/>
          <w:color w:val="auto"/>
        </w:rPr>
        <w:t>During 2011, the Company acquired a store located in Florida. As part of this acquisition, the Company agreed to make an additional cash payment to the sellers if the acquired store exceeded a specified amount of net rental income for any twelve-month period prior to June 30, 2015. At the acquisition date, $133 was recorded as the estimated amount that would be due, and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believed that it was unlikely that any significant additional payment would be made as a result of this earnout provision. Because the rental growth of the stores was trending significantly higher than expected, the Company estimated that an additional earnout payment of $2,500 would be due to the seller as of December 31, 2014. This amount is included in gain (loss) on real estate transactions, earnout from prior acquisitions and sale of other assets on the Company’s consolidated statements of operations for the year ended December 31, 2014. During the year ended December 31, 2015, the Company recorded a gain of $400 to adjust the existing liability to the actual amount owed to the sellers as of June 30, 2015. This gain is included in gain (loss) on real estate transactions, earnout from prior acquisition and sale of other assets on the Company’s consolidated statements of operations for the year ended December 31, 2015.</w:t>
      </w:r>
    </w:p>
    <w:p>
      <w:pPr>
        <w:spacing w:after="0" w:line="13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During 2012, the Company acquired a portfolio of ten stores located in New Jersey and New York. As part of this acquisition, the Company agreed to make an additional cash payment to the sellers if the acquired stores exceeded a specified amount of net rental income two years after the acquisition date. At the acquisition date, the Company believed that it was unlikely that any significant payment would be made as a result of this earnout provision. The rental growth of the stores was significantly higher than expected, resulting in a payment to the sellers of $7,785. This amount is included in gain (loss) on real estate transactions, earnout from prior acquisition and sale of other assets on the Company’s consolidated statements of operations for the year ended December 31, 2014.</w:t>
      </w:r>
    </w:p>
    <w:p>
      <w:pPr>
        <w:spacing w:after="0" w:line="19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During 2011, the Company acquired a store located in Florida. As part of this acquisition, the Company agreed to make an additional cash payment to the sellers if the acquired store exceeded a specified amount of net rental income for any twelve-month period prior to June 30, 2015. At the acquisition date, $133 was recorded as the estimated amount that would be due, and the Company believed that it was unlikely that any significant additional payment would be made as a result of this earnout provision. Because the rental growth of the stores was trending significantly higher than expected, the Company estimated that an additional earnout payment of $2,500 would be due to the seller as of December 31, 2014. This amount is included in gain (loss) on real estate transactions, earnout from prior acquisitions and sale of other assets on the Company’s consolidated statements of operations for the year ended December 31, 2014. During the year ended December 31, 2015, the Company recorded a gain of $400 to adjust the existing liability to the actual amount owed to the sellers as of June 30, 2015. This gain is included in gain (loss) on real estate transactions, earnout from prior acquisition and sale of other assets on the Company’s consolidated statements of operations for the year ended December 31, 2015.</w:t>
      </w:r>
    </w:p>
    <w:p>
      <w:pPr>
        <w:spacing w:after="0" w:line="283" w:lineRule="exact"/>
        <w:rPr>
          <w:sz w:val="20"/>
          <w:szCs w:val="20"/>
          <w:color w:val="auto"/>
        </w:rPr>
      </w:pPr>
    </w:p>
    <w:p>
      <w:pPr>
        <w:ind w:left="440" w:right="5440" w:hanging="432"/>
        <w:spacing w:after="0" w:line="454" w:lineRule="auto"/>
        <w:tabs>
          <w:tab w:leader="none" w:pos="368"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INVESTMENTS IN UNCONSOLIDATED REAL ESTATE VENTURES </w:t>
      </w:r>
      <w:r>
        <w:rPr>
          <w:rFonts w:ascii="Arial" w:cs="Arial" w:eastAsia="Arial" w:hAnsi="Arial"/>
          <w:sz w:val="16"/>
          <w:szCs w:val="16"/>
          <w:color w:val="auto"/>
        </w:rPr>
        <w:t>Investments in unconsolidated real estate ventures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6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Equity</w:t>
            </w: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Excess Profit</w:t>
            </w: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514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Ownership %</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Participation %</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VRS Self Storage LLC ("VRS")</w:t>
            </w:r>
          </w:p>
        </w:tc>
        <w:tc>
          <w:tcPr>
            <w:tcW w:w="1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39,091</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PR EXR Self Storage, LLC ("PREXR")</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12,430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Portfolio I LLC ("SP I")</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25-40%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11,782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11,813</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PRISA Self Storage LLC ("PRISA")</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10,152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10,309</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Extra Space West Two LLC ("ESW II")</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4,122</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w w:val="98"/>
              </w:rPr>
              <w:t>Clarendon Storage Associates Limited Partnership ("Clarendon")</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3,111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3,131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Extra Space of Santa Monica LLC ("ESSM")</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WCOT Self Storage LLC ("WCOT")</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PRISA II Self Storage LLC ("PRISA II")</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8,323</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Extra Space West One LLC ("ESW")</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Extra Space Northern Properties Six LLC ("ESNPS")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Other minority owned properties</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10-50%</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19-50%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17,703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6,148</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79,570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87,045</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Investments in Strategic Storage Growth Trust "SSGT"</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15,962</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Total</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79,570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103,007</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right"/>
              <w:ind w:right="732"/>
              <w:spacing w:after="0"/>
              <w:rPr>
                <w:sz w:val="20"/>
                <w:szCs w:val="20"/>
                <w:color w:val="auto"/>
              </w:rPr>
            </w:pPr>
            <w:r>
              <w:rPr>
                <w:rFonts w:ascii="Arial" w:cs="Arial" w:eastAsia="Arial" w:hAnsi="Arial"/>
                <w:sz w:val="18"/>
                <w:szCs w:val="18"/>
                <w:color w:val="auto"/>
              </w:rPr>
              <w:t>65</w:t>
            </w: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14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20" w:firstLine="432"/>
        <w:spacing w:after="0" w:line="263" w:lineRule="auto"/>
        <w:rPr>
          <w:sz w:val="20"/>
          <w:szCs w:val="20"/>
          <w:color w:val="auto"/>
        </w:rPr>
      </w:pPr>
      <w:r>
        <w:rPr>
          <w:rFonts w:ascii="Arial" w:cs="Arial" w:eastAsia="Arial" w:hAnsi="Arial"/>
          <w:sz w:val="18"/>
          <w:szCs w:val="18"/>
          <w:color w:val="auto"/>
        </w:rPr>
        <w:t>In these joint ventures, the Company and the joint venture partner generally receive a preferred return on their invested capital. To the extent that cash/profits in excess of these preferred returns are generated through operations or capital transactions, the Company would receive a higher percentage of the excess cash/profits than its equity interest.</w:t>
      </w:r>
    </w:p>
    <w:p>
      <w:pPr>
        <w:spacing w:after="0" w:line="183" w:lineRule="exact"/>
        <w:rPr>
          <w:sz w:val="20"/>
          <w:szCs w:val="20"/>
          <w:color w:val="auto"/>
        </w:rPr>
      </w:pPr>
    </w:p>
    <w:p>
      <w:pPr>
        <w:ind w:right="400" w:firstLine="432"/>
        <w:spacing w:after="0" w:line="341" w:lineRule="auto"/>
        <w:rPr>
          <w:sz w:val="20"/>
          <w:szCs w:val="20"/>
          <w:color w:val="auto"/>
        </w:rPr>
      </w:pPr>
      <w:r>
        <w:rPr>
          <w:rFonts w:ascii="Arial" w:cs="Arial" w:eastAsia="Arial" w:hAnsi="Arial"/>
          <w:sz w:val="16"/>
          <w:szCs w:val="16"/>
          <w:color w:val="auto"/>
        </w:rPr>
        <w:t>In accordance with ASC 810, the Company reviews all of its joint venture relationships quarterly to ensure that there are no entities that require consolidation. As of December 31, 2016, there were no previously unconsolidated entities that were required to be consolidated as a result of this review.</w:t>
      </w:r>
    </w:p>
    <w:p>
      <w:pPr>
        <w:spacing w:after="0" w:line="125"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Company has entered into several new real estate ventures. The Company accounts for its investment in the following ventures under the equity method of accounting. Information about these real estate ventures is summarized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Joint venture</w:t>
            </w:r>
          </w:p>
        </w:tc>
        <w:tc>
          <w:tcPr>
            <w:tcW w:w="2420" w:type="dxa"/>
            <w:vAlign w:val="bottom"/>
            <w:gridSpan w:val="2"/>
          </w:tcPr>
          <w:p>
            <w:pPr>
              <w:jc w:val="center"/>
              <w:ind w:left="733"/>
              <w:spacing w:after="0"/>
              <w:rPr>
                <w:sz w:val="20"/>
                <w:szCs w:val="20"/>
                <w:color w:val="auto"/>
              </w:rPr>
            </w:pPr>
            <w:r>
              <w:rPr>
                <w:rFonts w:ascii="Arial" w:cs="Arial" w:eastAsia="Arial" w:hAnsi="Arial"/>
                <w:sz w:val="14"/>
                <w:szCs w:val="14"/>
                <w:b w:val="1"/>
                <w:bCs w:val="1"/>
                <w:color w:val="auto"/>
                <w:w w:val="95"/>
              </w:rPr>
              <w:t>Date of initial</w:t>
            </w:r>
          </w:p>
        </w:tc>
        <w:tc>
          <w:tcPr>
            <w:tcW w:w="160" w:type="dxa"/>
            <w:vAlign w:val="bottom"/>
          </w:tcPr>
          <w:p>
            <w:pPr>
              <w:spacing w:after="0"/>
              <w:rPr>
                <w:sz w:val="14"/>
                <w:szCs w:val="14"/>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Initial Investment</w:t>
            </w: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Equity Ownership %</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operating stores</w:t>
            </w:r>
          </w:p>
        </w:tc>
        <w:tc>
          <w:tcPr>
            <w:tcW w:w="0" w:type="dxa"/>
            <w:vAlign w:val="bottom"/>
          </w:tcPr>
          <w:p>
            <w:pPr>
              <w:spacing w:after="0"/>
              <w:rPr>
                <w:sz w:val="1"/>
                <w:szCs w:val="1"/>
                <w:color w:val="auto"/>
              </w:rPr>
            </w:pPr>
          </w:p>
        </w:tc>
      </w:tr>
      <w:tr>
        <w:trPr>
          <w:trHeight w:val="192"/>
        </w:trPr>
        <w:tc>
          <w:tcPr>
            <w:tcW w:w="3880" w:type="dxa"/>
            <w:vAlign w:val="bottom"/>
            <w:vMerge w:val="continue"/>
          </w:tcPr>
          <w:p>
            <w:pPr>
              <w:spacing w:after="0"/>
              <w:rPr>
                <w:sz w:val="16"/>
                <w:szCs w:val="16"/>
                <w:color w:val="auto"/>
              </w:rPr>
            </w:pPr>
          </w:p>
        </w:tc>
        <w:tc>
          <w:tcPr>
            <w:tcW w:w="2420" w:type="dxa"/>
            <w:vAlign w:val="bottom"/>
            <w:gridSpan w:val="2"/>
          </w:tcPr>
          <w:p>
            <w:pPr>
              <w:jc w:val="center"/>
              <w:ind w:left="733"/>
              <w:spacing w:after="0"/>
              <w:rPr>
                <w:sz w:val="20"/>
                <w:szCs w:val="20"/>
                <w:color w:val="auto"/>
              </w:rPr>
            </w:pPr>
            <w:r>
              <w:rPr>
                <w:rFonts w:ascii="Arial" w:cs="Arial" w:eastAsia="Arial" w:hAnsi="Arial"/>
                <w:sz w:val="14"/>
                <w:szCs w:val="14"/>
                <w:b w:val="1"/>
                <w:bCs w:val="1"/>
                <w:color w:val="auto"/>
                <w:w w:val="93"/>
              </w:rPr>
              <w:t>contribution</w:t>
            </w:r>
          </w:p>
        </w:tc>
        <w:tc>
          <w:tcPr>
            <w:tcW w:w="16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0"/>
              </w:rPr>
              <w:t>owned</w:t>
            </w:r>
          </w:p>
        </w:tc>
        <w:tc>
          <w:tcPr>
            <w:tcW w:w="0" w:type="dxa"/>
            <w:vAlign w:val="bottom"/>
          </w:tcPr>
          <w:p>
            <w:pPr>
              <w:spacing w:after="0"/>
              <w:rPr>
                <w:sz w:val="1"/>
                <w:szCs w:val="1"/>
                <w:color w:val="auto"/>
              </w:rPr>
            </w:pPr>
          </w:p>
        </w:tc>
      </w:tr>
      <w:tr>
        <w:trPr>
          <w:trHeight w:val="249"/>
        </w:trPr>
        <w:tc>
          <w:tcPr>
            <w:tcW w:w="38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BH Ridgelake LLC</w:t>
            </w:r>
          </w:p>
        </w:tc>
        <w:tc>
          <w:tcPr>
            <w:tcW w:w="2300" w:type="dxa"/>
            <w:vAlign w:val="bottom"/>
            <w:tcBorders>
              <w:top w:val="single" w:sz="8" w:color="auto"/>
              <w:bottom w:val="single" w:sz="8" w:color="CCEEFF"/>
            </w:tcBorders>
            <w:shd w:val="clear" w:color="auto" w:fill="CCEEFF"/>
          </w:tcPr>
          <w:p>
            <w:pPr>
              <w:jc w:val="center"/>
              <w:ind w:left="833"/>
              <w:spacing w:after="0"/>
              <w:rPr>
                <w:sz w:val="20"/>
                <w:szCs w:val="20"/>
                <w:color w:val="auto"/>
              </w:rPr>
            </w:pPr>
            <w:r>
              <w:rPr>
                <w:rFonts w:ascii="Arial" w:cs="Arial" w:eastAsia="Arial" w:hAnsi="Arial"/>
                <w:sz w:val="18"/>
                <w:szCs w:val="18"/>
                <w:color w:val="auto"/>
                <w:w w:val="90"/>
              </w:rPr>
              <w:t>12/21/2016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ESS-GS Portland &amp; Broadway LLC</w:t>
            </w:r>
          </w:p>
        </w:tc>
        <w:tc>
          <w:tcPr>
            <w:tcW w:w="2300" w:type="dxa"/>
            <w:vAlign w:val="bottom"/>
          </w:tcPr>
          <w:p>
            <w:pPr>
              <w:jc w:val="center"/>
              <w:ind w:left="833"/>
              <w:spacing w:after="0"/>
              <w:rPr>
                <w:sz w:val="20"/>
                <w:szCs w:val="20"/>
                <w:color w:val="auto"/>
              </w:rPr>
            </w:pPr>
            <w:r>
              <w:rPr>
                <w:rFonts w:ascii="Arial" w:cs="Arial" w:eastAsia="Arial" w:hAnsi="Arial"/>
                <w:sz w:val="18"/>
                <w:szCs w:val="18"/>
                <w:color w:val="auto"/>
                <w:w w:val="90"/>
              </w:rPr>
              <w:t>10/19/2016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25.0%</w:t>
            </w:r>
          </w:p>
        </w:tc>
        <w:tc>
          <w:tcPr>
            <w:tcW w:w="12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ESS-GS Vancouver-139th LLC</w:t>
            </w:r>
          </w:p>
        </w:tc>
        <w:tc>
          <w:tcPr>
            <w:tcW w:w="2300" w:type="dxa"/>
            <w:vAlign w:val="bottom"/>
            <w:tcBorders>
              <w:bottom w:val="single" w:sz="8" w:color="CCEEFF"/>
            </w:tcBorders>
            <w:shd w:val="clear" w:color="auto" w:fill="CCEEFF"/>
          </w:tcPr>
          <w:p>
            <w:pPr>
              <w:jc w:val="center"/>
              <w:ind w:left="853"/>
              <w:spacing w:after="0"/>
              <w:rPr>
                <w:sz w:val="20"/>
                <w:szCs w:val="20"/>
                <w:color w:val="auto"/>
              </w:rPr>
            </w:pPr>
            <w:r>
              <w:rPr>
                <w:rFonts w:ascii="Arial" w:cs="Arial" w:eastAsia="Arial" w:hAnsi="Arial"/>
                <w:sz w:val="18"/>
                <w:szCs w:val="18"/>
                <w:color w:val="auto"/>
                <w:w w:val="89"/>
              </w:rPr>
              <w:t>9/14/2016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ESS-H Elmont Associates LLC</w:t>
            </w:r>
          </w:p>
        </w:tc>
        <w:tc>
          <w:tcPr>
            <w:tcW w:w="2300" w:type="dxa"/>
            <w:vAlign w:val="bottom"/>
          </w:tcPr>
          <w:p>
            <w:pPr>
              <w:jc w:val="center"/>
              <w:ind w:left="853"/>
              <w:spacing w:after="0"/>
              <w:rPr>
                <w:sz w:val="20"/>
                <w:szCs w:val="20"/>
                <w:color w:val="auto"/>
              </w:rPr>
            </w:pPr>
            <w:r>
              <w:rPr>
                <w:rFonts w:ascii="Arial" w:cs="Arial" w:eastAsia="Arial" w:hAnsi="Arial"/>
                <w:sz w:val="18"/>
                <w:szCs w:val="18"/>
                <w:color w:val="auto"/>
                <w:w w:val="89"/>
              </w:rPr>
              <w:t>8/16/2016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4,712</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50.0%</w:t>
            </w:r>
          </w:p>
        </w:tc>
        <w:tc>
          <w:tcPr>
            <w:tcW w:w="12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ESS-GS Hillsboro-73rd LLC</w:t>
            </w:r>
          </w:p>
        </w:tc>
        <w:tc>
          <w:tcPr>
            <w:tcW w:w="2300" w:type="dxa"/>
            <w:vAlign w:val="bottom"/>
            <w:tcBorders>
              <w:bottom w:val="single" w:sz="8" w:color="CCEEFF"/>
            </w:tcBorders>
            <w:shd w:val="clear" w:color="auto" w:fill="CCEEFF"/>
          </w:tcPr>
          <w:p>
            <w:pPr>
              <w:jc w:val="center"/>
              <w:ind w:left="853"/>
              <w:spacing w:after="0"/>
              <w:rPr>
                <w:sz w:val="20"/>
                <w:szCs w:val="20"/>
                <w:color w:val="auto"/>
              </w:rPr>
            </w:pPr>
            <w:r>
              <w:rPr>
                <w:rFonts w:ascii="Arial" w:cs="Arial" w:eastAsia="Arial" w:hAnsi="Arial"/>
                <w:sz w:val="18"/>
                <w:szCs w:val="18"/>
                <w:color w:val="auto"/>
                <w:w w:val="91"/>
              </w:rPr>
              <w:t>7/8/2016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BH Storage Columbia LLC</w:t>
            </w:r>
          </w:p>
        </w:tc>
        <w:tc>
          <w:tcPr>
            <w:tcW w:w="2300" w:type="dxa"/>
            <w:vAlign w:val="bottom"/>
          </w:tcPr>
          <w:p>
            <w:pPr>
              <w:jc w:val="center"/>
              <w:ind w:left="853"/>
              <w:spacing w:after="0"/>
              <w:rPr>
                <w:sz w:val="20"/>
                <w:szCs w:val="20"/>
                <w:color w:val="auto"/>
              </w:rPr>
            </w:pPr>
            <w:r>
              <w:rPr>
                <w:rFonts w:ascii="Arial" w:cs="Arial" w:eastAsia="Arial" w:hAnsi="Arial"/>
                <w:sz w:val="18"/>
                <w:szCs w:val="18"/>
                <w:color w:val="auto"/>
                <w:w w:val="89"/>
              </w:rPr>
              <w:t>5/20/2016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20.0%</w:t>
            </w:r>
          </w:p>
        </w:tc>
        <w:tc>
          <w:tcPr>
            <w:tcW w:w="12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 EXR Self-Storage, LLC</w:t>
            </w:r>
          </w:p>
        </w:tc>
        <w:tc>
          <w:tcPr>
            <w:tcW w:w="2300" w:type="dxa"/>
            <w:vAlign w:val="bottom"/>
            <w:tcBorders>
              <w:bottom w:val="single" w:sz="8" w:color="CCEEFF"/>
            </w:tcBorders>
            <w:shd w:val="clear" w:color="auto" w:fill="CCEEFF"/>
          </w:tcPr>
          <w:p>
            <w:pPr>
              <w:jc w:val="center"/>
              <w:ind w:left="853"/>
              <w:spacing w:after="0"/>
              <w:rPr>
                <w:sz w:val="20"/>
                <w:szCs w:val="20"/>
                <w:color w:val="auto"/>
              </w:rPr>
            </w:pPr>
            <w:r>
              <w:rPr>
                <w:rFonts w:ascii="Arial" w:cs="Arial" w:eastAsia="Arial" w:hAnsi="Arial"/>
                <w:sz w:val="18"/>
                <w:szCs w:val="18"/>
                <w:color w:val="auto"/>
                <w:w w:val="91"/>
              </w:rPr>
              <w:t>4/8/2016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12,114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ESS-H Baychester Investments LLC</w:t>
            </w:r>
          </w:p>
        </w:tc>
        <w:tc>
          <w:tcPr>
            <w:tcW w:w="2300" w:type="dxa"/>
            <w:vAlign w:val="bottom"/>
          </w:tcPr>
          <w:p>
            <w:pPr>
              <w:jc w:val="center"/>
              <w:ind w:left="853"/>
              <w:spacing w:after="0"/>
              <w:rPr>
                <w:sz w:val="20"/>
                <w:szCs w:val="20"/>
                <w:color w:val="auto"/>
              </w:rPr>
            </w:pPr>
            <w:r>
              <w:rPr>
                <w:rFonts w:ascii="Arial" w:cs="Arial" w:eastAsia="Arial" w:hAnsi="Arial"/>
                <w:sz w:val="18"/>
                <w:szCs w:val="18"/>
                <w:color w:val="auto"/>
                <w:w w:val="89"/>
              </w:rPr>
              <w:t>3/31/2016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4,794</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44.4%</w:t>
            </w:r>
          </w:p>
        </w:tc>
        <w:tc>
          <w:tcPr>
            <w:tcW w:w="12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ESS-H Bloomfield Investment LLC</w:t>
            </w:r>
          </w:p>
        </w:tc>
        <w:tc>
          <w:tcPr>
            <w:tcW w:w="2300" w:type="dxa"/>
            <w:vAlign w:val="bottom"/>
            <w:shd w:val="clear" w:color="auto" w:fill="CCEEFF"/>
          </w:tcPr>
          <w:p>
            <w:pPr>
              <w:jc w:val="center"/>
              <w:ind w:left="833"/>
              <w:spacing w:after="0"/>
              <w:rPr>
                <w:sz w:val="20"/>
                <w:szCs w:val="20"/>
                <w:color w:val="auto"/>
              </w:rPr>
            </w:pPr>
            <w:r>
              <w:rPr>
                <w:rFonts w:ascii="Arial" w:cs="Arial" w:eastAsia="Arial" w:hAnsi="Arial"/>
                <w:sz w:val="18"/>
                <w:szCs w:val="18"/>
                <w:color w:val="auto"/>
                <w:w w:val="90"/>
              </w:rPr>
              <w:t>12/30/2015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2,885</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w:t>
            </w:r>
          </w:p>
        </w:tc>
        <w:tc>
          <w:tcPr>
            <w:tcW w:w="120" w:type="dxa"/>
            <w:vAlign w:val="bottom"/>
            <w:shd w:val="clear" w:color="auto" w:fill="CCEEFF"/>
          </w:tcPr>
          <w:p>
            <w:pPr>
              <w:spacing w:after="0"/>
              <w:rPr>
                <w:sz w:val="21"/>
                <w:szCs w:val="21"/>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7"/>
        </w:trPr>
        <w:tc>
          <w:tcPr>
            <w:tcW w:w="388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On September 16, 2016, subsequent to its acquisition of 23 properties as outlined in Note 4, the Company sold its 4.42% interest in PRISA II to Prudential for $34,758 in cash. The carrying value of the Company's investment prior to the acquisition was $3,912, and the Company recorded a gain on the sale of $30,846. This gain is included in equity in earnings of unconsolidated real estate ventures - gain on sale of real estate assets and purchase of joint venture partners' interests on the Company's consolidated statements of operations.</w:t>
      </w:r>
    </w:p>
    <w:p>
      <w:pPr>
        <w:spacing w:after="0" w:line="186"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On April 25, 2016, the Company and Prudential entered into the “Second Amendment to Amended and Restated Operating Agreement of ESS PRISA LLC” and the “First Amendment to Amended and Restated Operating Agreement of ESS PRISA II LLC” (the “Amendments”). The Amendments are deemed effective as of April 1, 2016. Under the Amendments, the Company gave up any future rights to receive distributions from these joint ventures at the higher “excess profit participation” percentage of 17.0% in exchange for a higher equity ownership percentage. The Company’s equity ownership in ESS PRISA LLC increased from 2.0% to 4.0%, and the Company’s equity ownership in ESS PRISA II LLC increased from 2.0% to 4.4%. The Company continues to account for its investment in PRISA under the equity method of accounting. The Company subsequently sold its interest in PRISA II as noted above.</w:t>
      </w:r>
    </w:p>
    <w:p>
      <w:pPr>
        <w:spacing w:after="0" w:line="163" w:lineRule="exact"/>
        <w:rPr>
          <w:sz w:val="20"/>
          <w:szCs w:val="20"/>
          <w:color w:val="auto"/>
        </w:rPr>
      </w:pPr>
    </w:p>
    <w:p>
      <w:pPr>
        <w:ind w:right="280" w:firstLine="432"/>
        <w:spacing w:after="0" w:line="272" w:lineRule="auto"/>
        <w:rPr>
          <w:sz w:val="20"/>
          <w:szCs w:val="20"/>
          <w:color w:val="auto"/>
        </w:rPr>
      </w:pPr>
      <w:r>
        <w:rPr>
          <w:rFonts w:ascii="Arial" w:cs="Arial" w:eastAsia="Arial" w:hAnsi="Arial"/>
          <w:sz w:val="17"/>
          <w:szCs w:val="17"/>
          <w:color w:val="auto"/>
        </w:rPr>
        <w:t>In December 2013 and May 2014, the Company acquired twelve stores located in California from entities associated with Grupe Properties Co. Inc. (“Grupe.”) As part of the Grupe acquisition, the Company acquired its joint venture partners’ 60% to 65% equity interests in six stores. The Company previously held the remaining 35% to 40% interests in these stores through six separate joint ventures with Grupe. Prior to the acquisition, the Company accounted for its interests in these joint ventures as equity-method investments. The Company recognized a non-cash gain of $3,438 during the year ended December 31, 2014 as a result of re-measuring the fair value of its equity interest in one of these joint ventures held before the acquisition. During the year ended December 31, 2014, the Company recorded a gain of $584 as a result of the final cash distributions received from the other five joint ventures associated with the acquisitions that were completed during 2013.</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1"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Equity in earnings of unconsolidated real estate ventures consists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3"/>
        </w:trPr>
        <w:tc>
          <w:tcPr>
            <w:tcW w:w="67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49"/>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VRS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3,510</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Equity in earnings of PREXR</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SP I</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1,541</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Equity in earnings of PRISA</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929</w:t>
            </w:r>
          </w:p>
        </w:tc>
      </w:tr>
      <w:tr>
        <w:trPr>
          <w:trHeight w:val="27"/>
        </w:trPr>
        <w:tc>
          <w:tcPr>
            <w:tcW w:w="6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ESW II</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Equity in earnings of Clarendon</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551</w:t>
            </w:r>
          </w:p>
        </w:tc>
      </w:tr>
      <w:tr>
        <w:trPr>
          <w:trHeight w:val="27"/>
        </w:trPr>
        <w:tc>
          <w:tcPr>
            <w:tcW w:w="6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ESSM</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Equity in earnings of WCOT</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498</w:t>
            </w:r>
          </w:p>
        </w:tc>
      </w:tr>
      <w:tr>
        <w:trPr>
          <w:trHeight w:val="27"/>
        </w:trPr>
        <w:tc>
          <w:tcPr>
            <w:tcW w:w="6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PRISA II</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764</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Equity in earnings of ESW</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1,571</w:t>
            </w:r>
          </w:p>
        </w:tc>
      </w:tr>
      <w:tr>
        <w:trPr>
          <w:trHeight w:val="27"/>
        </w:trPr>
        <w:tc>
          <w:tcPr>
            <w:tcW w:w="6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ESNPS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513</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Equity in earnings of other minority owned properties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138</w:t>
            </w:r>
          </w:p>
        </w:tc>
      </w:tr>
      <w:tr>
        <w:trPr>
          <w:trHeight w:val="27"/>
        </w:trPr>
        <w:tc>
          <w:tcPr>
            <w:tcW w:w="6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8"/>
        </w:trPr>
        <w:tc>
          <w:tcPr>
            <w:tcW w:w="67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12,351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10,541</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Equity in earnings of ESW II, SP I and VRS includes the amortization of the Company’s excess purchase price of $26,806 of these equity investments over its original basis. The excess basis is amortized over 40 years.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Information (unaudited) related to the real estate ventures’ debt at December 31, 2016, is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Loan Amount</w:t>
            </w: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Current Interest Rate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8"/>
              </w:rPr>
              <w:t>Debt Maturity</w:t>
            </w:r>
          </w:p>
        </w:tc>
      </w:tr>
      <w:tr>
        <w:trPr>
          <w:trHeight w:val="236"/>
        </w:trPr>
        <w:tc>
          <w:tcPr>
            <w:tcW w:w="6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VRS - Swapped to fixed</w:t>
            </w: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52,100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June 2020</w:t>
            </w:r>
          </w:p>
        </w:tc>
      </w:tr>
      <w:tr>
        <w:trPr>
          <w:trHeight w:val="237"/>
        </w:trPr>
        <w:tc>
          <w:tcPr>
            <w:tcW w:w="6720" w:type="dxa"/>
            <w:vAlign w:val="bottom"/>
          </w:tcPr>
          <w:p>
            <w:pPr>
              <w:ind w:left="40"/>
              <w:spacing w:after="0"/>
              <w:rPr>
                <w:sz w:val="20"/>
                <w:szCs w:val="20"/>
                <w:color w:val="auto"/>
              </w:rPr>
            </w:pPr>
            <w:r>
              <w:rPr>
                <w:rFonts w:ascii="Arial" w:cs="Arial" w:eastAsia="Arial" w:hAnsi="Arial"/>
                <w:sz w:val="16"/>
                <w:szCs w:val="16"/>
                <w:color w:val="auto"/>
              </w:rPr>
              <w:t>PREXR</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Unleveraged</w:t>
            </w:r>
          </w:p>
        </w:tc>
      </w:tr>
      <w:tr>
        <w:trPr>
          <w:trHeight w:val="33"/>
        </w:trPr>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SP I - Fixed</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86,285</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April 2018</w:t>
            </w:r>
          </w:p>
        </w:tc>
      </w:tr>
      <w:tr>
        <w:trPr>
          <w:trHeight w:val="237"/>
        </w:trPr>
        <w:tc>
          <w:tcPr>
            <w:tcW w:w="6720" w:type="dxa"/>
            <w:vAlign w:val="bottom"/>
          </w:tcPr>
          <w:p>
            <w:pPr>
              <w:ind w:left="40"/>
              <w:spacing w:after="0"/>
              <w:rPr>
                <w:sz w:val="20"/>
                <w:szCs w:val="20"/>
                <w:color w:val="auto"/>
              </w:rPr>
            </w:pPr>
            <w:r>
              <w:rPr>
                <w:rFonts w:ascii="Arial" w:cs="Arial" w:eastAsia="Arial" w:hAnsi="Arial"/>
                <w:sz w:val="16"/>
                <w:szCs w:val="16"/>
                <w:color w:val="auto"/>
              </w:rPr>
              <w:t>PRISA</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Unleveraged</w:t>
            </w:r>
          </w:p>
        </w:tc>
      </w:tr>
      <w:tr>
        <w:trPr>
          <w:trHeight w:val="33"/>
        </w:trPr>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ESW II - Swapped to fixed</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18,072</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February 2019</w:t>
            </w:r>
          </w:p>
        </w:tc>
      </w:tr>
      <w:tr>
        <w:trPr>
          <w:trHeight w:val="237"/>
        </w:trPr>
        <w:tc>
          <w:tcPr>
            <w:tcW w:w="6720" w:type="dxa"/>
            <w:vAlign w:val="bottom"/>
          </w:tcPr>
          <w:p>
            <w:pPr>
              <w:ind w:left="40"/>
              <w:spacing w:after="0"/>
              <w:rPr>
                <w:sz w:val="20"/>
                <w:szCs w:val="20"/>
                <w:color w:val="auto"/>
              </w:rPr>
            </w:pPr>
            <w:r>
              <w:rPr>
                <w:rFonts w:ascii="Arial" w:cs="Arial" w:eastAsia="Arial" w:hAnsi="Arial"/>
                <w:sz w:val="16"/>
                <w:szCs w:val="16"/>
                <w:color w:val="auto"/>
              </w:rPr>
              <w:t>Clarendon - Swapped to fixed</w:t>
            </w: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7,596</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September 2018</w:t>
            </w:r>
          </w:p>
        </w:tc>
      </w:tr>
      <w:tr>
        <w:trPr>
          <w:trHeight w:val="33"/>
        </w:trPr>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ESSM - Variable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13,374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May 2021</w:t>
            </w:r>
          </w:p>
        </w:tc>
      </w:tr>
      <w:tr>
        <w:trPr>
          <w:trHeight w:val="237"/>
        </w:trPr>
        <w:tc>
          <w:tcPr>
            <w:tcW w:w="6720" w:type="dxa"/>
            <w:vAlign w:val="bottom"/>
          </w:tcPr>
          <w:p>
            <w:pPr>
              <w:ind w:left="40"/>
              <w:spacing w:after="0"/>
              <w:rPr>
                <w:sz w:val="20"/>
                <w:szCs w:val="20"/>
                <w:color w:val="auto"/>
              </w:rPr>
            </w:pPr>
            <w:r>
              <w:rPr>
                <w:rFonts w:ascii="Arial" w:cs="Arial" w:eastAsia="Arial" w:hAnsi="Arial"/>
                <w:sz w:val="16"/>
                <w:szCs w:val="16"/>
                <w:color w:val="auto"/>
              </w:rPr>
              <w:t>WCOT - Swapped to fixed</w:t>
            </w: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87,500</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August 2019</w:t>
            </w:r>
          </w:p>
        </w:tc>
      </w:tr>
      <w:tr>
        <w:trPr>
          <w:trHeight w:val="33"/>
        </w:trPr>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ESW - Variable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17,150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August 2020</w:t>
            </w:r>
          </w:p>
        </w:tc>
      </w:tr>
      <w:tr>
        <w:trPr>
          <w:trHeight w:val="237"/>
        </w:trPr>
        <w:tc>
          <w:tcPr>
            <w:tcW w:w="6720" w:type="dxa"/>
            <w:vAlign w:val="bottom"/>
          </w:tcPr>
          <w:p>
            <w:pPr>
              <w:ind w:left="40"/>
              <w:spacing w:after="0"/>
              <w:rPr>
                <w:sz w:val="20"/>
                <w:szCs w:val="20"/>
                <w:color w:val="auto"/>
              </w:rPr>
            </w:pPr>
            <w:r>
              <w:rPr>
                <w:rFonts w:ascii="Arial" w:cs="Arial" w:eastAsia="Arial" w:hAnsi="Arial"/>
                <w:sz w:val="16"/>
                <w:szCs w:val="16"/>
                <w:color w:val="auto"/>
              </w:rPr>
              <w:t>ESNPS - Variable</w:t>
            </w: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35,500</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July 2025</w:t>
            </w:r>
          </w:p>
        </w:tc>
      </w:tr>
      <w:tr>
        <w:trPr>
          <w:trHeight w:val="33"/>
        </w:trPr>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6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minority owned properties</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67,087</w:t>
            </w:r>
          </w:p>
        </w:tc>
        <w:tc>
          <w:tcPr>
            <w:tcW w:w="1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Various</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Various</w:t>
            </w:r>
          </w:p>
        </w:tc>
      </w:tr>
      <w:tr>
        <w:trPr>
          <w:trHeight w:val="33"/>
        </w:trPr>
        <w:tc>
          <w:tcPr>
            <w:tcW w:w="6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1" w:right="2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firstLine="432"/>
        <w:spacing w:after="0" w:line="339" w:lineRule="auto"/>
        <w:rPr>
          <w:sz w:val="20"/>
          <w:szCs w:val="20"/>
          <w:color w:val="auto"/>
        </w:rPr>
      </w:pPr>
      <w:r>
        <w:rPr>
          <w:rFonts w:ascii="Arial" w:cs="Arial" w:eastAsia="Arial" w:hAnsi="Arial"/>
          <w:sz w:val="18"/>
          <w:szCs w:val="18"/>
          <w:color w:val="auto"/>
        </w:rPr>
        <w:t>Combined, condensed unaudited financial information of VRS, PREXR, SP I, PRISA, ESW II, PRISA II, WCOT, ESW and ESNPS as of December 31, 2016 and 2015, and for the years ended December 31, 2016, 2015 and 2014,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496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88"/>
        </w:trPr>
        <w:tc>
          <w:tcPr>
            <w:tcW w:w="6720" w:type="dxa"/>
            <w:vAlign w:val="bottom"/>
            <w:gridSpan w:val="4"/>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Balance Sheets:</w:t>
            </w:r>
          </w:p>
        </w:tc>
        <w:tc>
          <w:tcPr>
            <w:tcW w:w="3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9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6720" w:type="dxa"/>
            <w:vAlign w:val="bottom"/>
            <w:gridSpan w:val="4"/>
          </w:tcPr>
          <w:p>
            <w:pPr>
              <w:ind w:left="40"/>
              <w:spacing w:after="0"/>
              <w:rPr>
                <w:sz w:val="20"/>
                <w:szCs w:val="20"/>
                <w:color w:val="auto"/>
              </w:rPr>
            </w:pPr>
            <w:r>
              <w:rPr>
                <w:rFonts w:ascii="Arial" w:cs="Arial" w:eastAsia="Arial" w:hAnsi="Arial"/>
                <w:sz w:val="18"/>
                <w:szCs w:val="18"/>
                <w:color w:val="auto"/>
              </w:rPr>
              <w:t>Assets: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real estate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906,637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1,389,974</w:t>
            </w:r>
          </w:p>
        </w:tc>
        <w:tc>
          <w:tcPr>
            <w:tcW w:w="0" w:type="dxa"/>
            <w:vAlign w:val="bottom"/>
          </w:tcPr>
          <w:p>
            <w:pPr>
              <w:spacing w:after="0"/>
              <w:rPr>
                <w:sz w:val="1"/>
                <w:szCs w:val="1"/>
                <w:color w:val="auto"/>
              </w:rPr>
            </w:pPr>
          </w:p>
        </w:tc>
      </w:tr>
      <w:tr>
        <w:trPr>
          <w:trHeight w:val="243"/>
        </w:trPr>
        <w:tc>
          <w:tcPr>
            <w:tcW w:w="6720" w:type="dxa"/>
            <w:vAlign w:val="bottom"/>
            <w:gridSpan w:val="4"/>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34,116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33,703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49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940,753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1,423,677</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8"/>
                <w:szCs w:val="18"/>
                <w:color w:val="auto"/>
              </w:rPr>
              <w:t>Liabilities and members' equity:</w:t>
            </w:r>
          </w:p>
        </w:tc>
        <w:tc>
          <w:tcPr>
            <w:tcW w:w="3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gridSpan w:val="4"/>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296,607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299,730</w:t>
            </w:r>
          </w:p>
        </w:tc>
        <w:tc>
          <w:tcPr>
            <w:tcW w:w="0" w:type="dxa"/>
            <w:vAlign w:val="bottom"/>
          </w:tcPr>
          <w:p>
            <w:pPr>
              <w:spacing w:after="0"/>
              <w:rPr>
                <w:sz w:val="1"/>
                <w:szCs w:val="1"/>
                <w:color w:val="auto"/>
              </w:rPr>
            </w:pPr>
          </w:p>
        </w:tc>
      </w:tr>
      <w:tr>
        <w:trPr>
          <w:trHeight w:val="243"/>
        </w:trPr>
        <w:tc>
          <w:tcPr>
            <w:tcW w:w="6720" w:type="dxa"/>
            <w:vAlign w:val="bottom"/>
            <w:gridSpan w:val="4"/>
          </w:tcPr>
          <w:p>
            <w:pPr>
              <w:ind w:left="40"/>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19,878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25,715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Members' equity</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624,268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1,098,232</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940,753</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1,423,677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For the Year Ended 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49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88"/>
        </w:trPr>
        <w:tc>
          <w:tcPr>
            <w:tcW w:w="6720" w:type="dxa"/>
            <w:vAlign w:val="bottom"/>
            <w:gridSpan w:val="4"/>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Statements of Income:</w:t>
            </w:r>
          </w:p>
        </w:tc>
        <w:tc>
          <w:tcPr>
            <w:tcW w:w="3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49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6720" w:type="dxa"/>
            <w:vAlign w:val="bottom"/>
            <w:gridSpan w:val="4"/>
          </w:tcPr>
          <w:p>
            <w:pPr>
              <w:ind w:left="40"/>
              <w:spacing w:after="0"/>
              <w:rPr>
                <w:sz w:val="20"/>
                <w:szCs w:val="20"/>
                <w:color w:val="auto"/>
              </w:rPr>
            </w:pPr>
            <w:r>
              <w:rPr>
                <w:rFonts w:ascii="Arial" w:cs="Arial" w:eastAsia="Arial" w:hAnsi="Arial"/>
                <w:sz w:val="18"/>
                <w:szCs w:val="18"/>
                <w:color w:val="auto"/>
              </w:rPr>
              <w:t>Rents and other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269,858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286,857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273,231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(155,851)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(153,973)</w:t>
            </w:r>
          </w:p>
        </w:tc>
        <w:tc>
          <w:tcPr>
            <w:tcW w:w="0" w:type="dxa"/>
            <w:vAlign w:val="bottom"/>
          </w:tcPr>
          <w:p>
            <w:pPr>
              <w:spacing w:after="0"/>
              <w:rPr>
                <w:sz w:val="1"/>
                <w:szCs w:val="1"/>
                <w:color w:val="auto"/>
              </w:rPr>
            </w:pPr>
          </w:p>
        </w:tc>
      </w:tr>
      <w:tr>
        <w:trPr>
          <w:trHeight w:val="243"/>
        </w:trPr>
        <w:tc>
          <w:tcPr>
            <w:tcW w:w="6720" w:type="dxa"/>
            <w:vAlign w:val="bottom"/>
            <w:gridSpan w:val="4"/>
          </w:tcPr>
          <w:p>
            <w:pPr>
              <w:ind w:left="40"/>
              <w:spacing w:after="0"/>
              <w:rPr>
                <w:sz w:val="20"/>
                <w:szCs w:val="20"/>
                <w:color w:val="auto"/>
              </w:rPr>
            </w:pPr>
            <w:r>
              <w:rPr>
                <w:rFonts w:ascii="Arial" w:cs="Arial" w:eastAsia="Arial" w:hAnsi="Arial"/>
                <w:sz w:val="18"/>
                <w:szCs w:val="18"/>
                <w:color w:val="auto"/>
              </w:rPr>
              <w:t>Gain on sale of real estate</w:t>
            </w: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60,495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7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126,053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191,501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119,258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March 2015, PRISA II sold a single store located in New York and recorded a gain of $60,495.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no consolidated VIEs for the years ended December 31, 2016 or 2015.</w:t>
      </w:r>
    </w:p>
    <w:p>
      <w:pPr>
        <w:spacing w:after="0" w:line="329" w:lineRule="exact"/>
        <w:rPr>
          <w:sz w:val="20"/>
          <w:szCs w:val="20"/>
          <w:color w:val="auto"/>
        </w:rPr>
      </w:pPr>
    </w:p>
    <w:p>
      <w:pPr>
        <w:ind w:left="440" w:right="6400" w:hanging="432"/>
        <w:spacing w:after="0" w:line="460" w:lineRule="auto"/>
        <w:tabs>
          <w:tab w:leader="none" w:pos="368"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NOTES PAYABLE AND REVOLVING LINES OF CREDIT </w:t>
      </w:r>
      <w:r>
        <w:rPr>
          <w:rFonts w:ascii="Arial" w:cs="Arial" w:eastAsia="Arial" w:hAnsi="Arial"/>
          <w:sz w:val="16"/>
          <w:szCs w:val="16"/>
          <w:color w:val="auto"/>
        </w:rPr>
        <w:t>The components of notes payable are summarized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7"/>
                <w:szCs w:val="17"/>
                <w:color w:val="auto"/>
              </w:rPr>
            </w:pPr>
          </w:p>
        </w:tc>
        <w:tc>
          <w:tcPr>
            <w:tcW w:w="1120" w:type="dxa"/>
            <w:vAlign w:val="bottom"/>
          </w:tcPr>
          <w:p>
            <w:pPr>
              <w:jc w:val="right"/>
              <w:ind w:right="72"/>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10"/>
        </w:trPr>
        <w:tc>
          <w:tcPr>
            <w:tcW w:w="3440" w:type="dxa"/>
            <w:vAlign w:val="bottom"/>
          </w:tcPr>
          <w:p>
            <w:pPr>
              <w:ind w:left="40"/>
              <w:spacing w:after="0"/>
              <w:rPr>
                <w:sz w:val="20"/>
                <w:szCs w:val="20"/>
                <w:color w:val="auto"/>
              </w:rPr>
            </w:pPr>
            <w:r>
              <w:rPr>
                <w:rFonts w:ascii="Arial" w:cs="Arial" w:eastAsia="Arial" w:hAnsi="Arial"/>
                <w:sz w:val="16"/>
                <w:szCs w:val="16"/>
                <w:b w:val="1"/>
                <w:bCs w:val="1"/>
                <w:color w:val="auto"/>
              </w:rPr>
              <w:t>Notes Payable</w:t>
            </w:r>
          </w:p>
        </w:tc>
        <w:tc>
          <w:tcPr>
            <w:tcW w:w="14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9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6"/>
                <w:szCs w:val="16"/>
                <w:b w:val="1"/>
                <w:bCs w:val="1"/>
                <w:color w:val="auto"/>
              </w:rPr>
              <w:t>Fixed Rate</w:t>
            </w:r>
          </w:p>
        </w:tc>
        <w:tc>
          <w:tcPr>
            <w:tcW w:w="1120" w:type="dxa"/>
            <w:vAlign w:val="bottom"/>
            <w:gridSpan w:val="2"/>
          </w:tcPr>
          <w:p>
            <w:pPr>
              <w:ind w:left="20"/>
              <w:spacing w:after="0"/>
              <w:rPr>
                <w:sz w:val="20"/>
                <w:szCs w:val="20"/>
                <w:color w:val="auto"/>
              </w:rPr>
            </w:pPr>
            <w:r>
              <w:rPr>
                <w:rFonts w:ascii="Arial" w:cs="Arial" w:eastAsia="Arial" w:hAnsi="Arial"/>
                <w:sz w:val="16"/>
                <w:szCs w:val="16"/>
                <w:b w:val="1"/>
                <w:bCs w:val="1"/>
                <w:color w:val="auto"/>
              </w:rPr>
              <w:t>Variable Rate</w:t>
            </w:r>
          </w:p>
        </w:tc>
        <w:tc>
          <w:tcPr>
            <w:tcW w:w="1140" w:type="dxa"/>
            <w:vAlign w:val="bottom"/>
            <w:gridSpan w:val="2"/>
          </w:tcPr>
          <w:p>
            <w:pPr>
              <w:ind w:left="160"/>
              <w:spacing w:after="0"/>
              <w:rPr>
                <w:sz w:val="20"/>
                <w:szCs w:val="20"/>
                <w:color w:val="auto"/>
              </w:rPr>
            </w:pPr>
            <w:r>
              <w:rPr>
                <w:rFonts w:ascii="Arial" w:cs="Arial" w:eastAsia="Arial" w:hAnsi="Arial"/>
                <w:sz w:val="16"/>
                <w:szCs w:val="16"/>
                <w:b w:val="1"/>
                <w:bCs w:val="1"/>
                <w:color w:val="auto"/>
              </w:rPr>
              <w:t>Basis Rate</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6"/>
              </w:rPr>
              <w:t>Maturity Dates</w:t>
            </w:r>
          </w:p>
        </w:tc>
      </w:tr>
      <w:tr>
        <w:trPr>
          <w:trHeight w:val="33"/>
        </w:trPr>
        <w:tc>
          <w:tcPr>
            <w:tcW w:w="3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2"/>
        </w:trPr>
        <w:tc>
          <w:tcPr>
            <w:tcW w:w="3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2017 -</w:t>
            </w:r>
          </w:p>
        </w:tc>
      </w:tr>
      <w:tr>
        <w:trPr>
          <w:trHeight w:val="257"/>
        </w:trPr>
        <w:tc>
          <w:tcPr>
            <w:tcW w:w="344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Secured fixed rate notes payable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2,297,968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1,613,490</w:t>
            </w:r>
          </w:p>
        </w:tc>
        <w:tc>
          <w:tcPr>
            <w:tcW w:w="11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2.8 - 6.1%</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2026</w:t>
            </w:r>
          </w:p>
        </w:tc>
      </w:tr>
      <w:tr>
        <w:trPr>
          <w:trHeight w:val="228"/>
        </w:trPr>
        <w:tc>
          <w:tcPr>
            <w:tcW w:w="3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Libor plus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January 2017 - October</w:t>
            </w:r>
          </w:p>
        </w:tc>
      </w:tr>
      <w:tr>
        <w:trPr>
          <w:trHeight w:val="257"/>
        </w:trPr>
        <w:tc>
          <w:tcPr>
            <w:tcW w:w="344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Secured variable rate notes payable </w:t>
            </w:r>
            <w:r>
              <w:rPr>
                <w:rFonts w:ascii="Arial" w:cs="Arial" w:eastAsia="Arial" w:hAnsi="Arial"/>
                <w:sz w:val="25"/>
                <w:szCs w:val="25"/>
                <w:color w:val="auto"/>
                <w:vertAlign w:val="superscript"/>
              </w:rPr>
              <w:t>(1)</w:t>
            </w:r>
          </w:p>
        </w:tc>
        <w:tc>
          <w:tcPr>
            <w:tcW w:w="14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642,970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1,094,985</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2.4 - 2.8%</w:t>
            </w:r>
          </w:p>
        </w:tc>
        <w:tc>
          <w:tcPr>
            <w:tcW w:w="100" w:type="dxa"/>
            <w:vAlign w:val="bottom"/>
          </w:tcPr>
          <w:p>
            <w:pPr>
              <w:spacing w:after="0"/>
              <w:rPr>
                <w:sz w:val="22"/>
                <w:szCs w:val="22"/>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1.6 - 2.0%</w:t>
            </w:r>
          </w:p>
        </w:tc>
        <w:tc>
          <w:tcPr>
            <w:tcW w:w="10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2023</w:t>
            </w: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Unsecured fixed rate notes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73,825</w:t>
            </w:r>
          </w:p>
        </w:tc>
        <w:tc>
          <w:tcPr>
            <w:tcW w:w="1120" w:type="dxa"/>
            <w:vAlign w:val="bottom"/>
            <w:tcBorders>
              <w:bottom w:val="single" w:sz="8" w:color="CCEEFF"/>
            </w:tcBorders>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March 2020</w:t>
            </w:r>
          </w:p>
        </w:tc>
      </w:tr>
      <w:tr>
        <w:trPr>
          <w:trHeight w:val="228"/>
        </w:trPr>
        <w:tc>
          <w:tcPr>
            <w:tcW w:w="3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Libor plus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October 2021 - October</w:t>
            </w: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Unsecured variable rate notes payable</w:t>
            </w:r>
          </w:p>
        </w:tc>
        <w:tc>
          <w:tcPr>
            <w:tcW w:w="14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2023</w:t>
            </w:r>
          </w:p>
        </w:tc>
      </w:tr>
      <w:tr>
        <w:trPr>
          <w:trHeight w:val="27"/>
        </w:trPr>
        <w:tc>
          <w:tcPr>
            <w:tcW w:w="3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43"/>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3,240,938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2,782,300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Plus: Premium on notes payable</w:t>
            </w:r>
          </w:p>
        </w:tc>
        <w:tc>
          <w:tcPr>
            <w:tcW w:w="14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(24,605)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r>
      <w:tr>
        <w:trPr>
          <w:trHeight w:val="236"/>
        </w:trPr>
        <w:tc>
          <w:tcPr>
            <w:tcW w:w="344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3,213,588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2,758,567</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67"/>
        </w:trPr>
        <w:tc>
          <w:tcPr>
            <w:tcW w:w="34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20" w:type="dxa"/>
            <w:vAlign w:val="bottom"/>
            <w:tcBorders>
              <w:bottom w:val="single" w:sz="8" w:color="CCEEFF"/>
            </w:tcBorders>
          </w:tcPr>
          <w:p>
            <w:pPr>
              <w:spacing w:after="0"/>
              <w:rPr>
                <w:sz w:val="5"/>
                <w:szCs w:val="5"/>
                <w:color w:val="auto"/>
              </w:rPr>
            </w:pPr>
          </w:p>
        </w:tc>
      </w:tr>
      <w:tr>
        <w:trPr>
          <w:trHeight w:val="277"/>
        </w:trPr>
        <w:tc>
          <w:tcPr>
            <w:tcW w:w="3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 The loans are collateralized by mortgages on real estate assets and the assignment of rents.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1" w:right="2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361"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On October 14, 2016, the Company entered into a credit agreement (the “Credit Agreement”) which provides for aggregate borrowings of up to $1.15 billion, consisting of a senior unsecured four-year revolving credit facility of $500 million (the “Revolving Credit Facility”), a senior unsecured five-year term loan of up to $430 million (the “Five-Year Term Loan Facility”) and a senior unsecured seven-year term loan of up to $220 million (the “Seven-Year Term Loan Facility” and, together with the Revolving Credit Facility and the Five-Year Term Loan Facility, the “Credit Facility”). The Company may request an increase in the amount of the commitments under the Credit Facility up to an aggregate of $1.5 billion, and extend the term of the Revolving Credit Facility for up to two additional periods of six months each, after satisfying certain conditions. The latest date by which capacity may be drawn on The Five-Year Term Loan Facility and Seven-Year Term Loan Facility are October 13, 2017 and April 4, 2017, respectively. Costs incurred in connection with the Credit Facility were approximately $8,000. These costs are being amortized as an adjustment to interest expense over the terms of each loan.</w:t>
      </w:r>
    </w:p>
    <w:p>
      <w:pPr>
        <w:spacing w:after="0" w:line="218" w:lineRule="exact"/>
        <w:rPr>
          <w:sz w:val="20"/>
          <w:szCs w:val="20"/>
          <w:color w:val="auto"/>
        </w:rPr>
      </w:pPr>
    </w:p>
    <w:p>
      <w:pPr>
        <w:ind w:right="380" w:firstLine="432"/>
        <w:spacing w:after="0" w:line="290" w:lineRule="auto"/>
        <w:rPr>
          <w:sz w:val="20"/>
          <w:szCs w:val="20"/>
          <w:color w:val="auto"/>
        </w:rPr>
      </w:pPr>
      <w:r>
        <w:rPr>
          <w:rFonts w:ascii="Arial" w:cs="Arial" w:eastAsia="Arial" w:hAnsi="Arial"/>
          <w:sz w:val="16"/>
          <w:szCs w:val="16"/>
          <w:color w:val="auto"/>
        </w:rPr>
        <w:t>Amounts outstanding under the Credit Facility bear interest at floating rates, at the Company’s option, equal to either (i) LIBOR plus the applicable Eurodollar rate margin or (ii) the applicable base rate which is the applicable margin plus the highest of (a) 0.0%, (b) the federal funds rate plus 0.50%,</w:t>
      </w:r>
    </w:p>
    <w:p>
      <w:pPr>
        <w:spacing w:after="0" w:line="1"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U.S. Bank’s prime rate or (d) the Eurodollar rate plus 1.00%. The applicable Eurodollar rate margin will range from 1.35% to 2.50% per annum and the</w:t>
      </w:r>
    </w:p>
    <w:p>
      <w:pPr>
        <w:spacing w:after="0" w:line="31" w:lineRule="exact"/>
        <w:rPr>
          <w:rFonts w:ascii="Arial" w:cs="Arial" w:eastAsia="Arial" w:hAnsi="Arial"/>
          <w:sz w:val="16"/>
          <w:szCs w:val="16"/>
          <w:color w:val="auto"/>
        </w:rPr>
      </w:pPr>
    </w:p>
    <w:p>
      <w:pPr>
        <w:ind w:right="20"/>
        <w:spacing w:after="0" w:line="295" w:lineRule="auto"/>
        <w:rPr>
          <w:rFonts w:ascii="Arial" w:cs="Arial" w:eastAsia="Arial" w:hAnsi="Arial"/>
          <w:sz w:val="16"/>
          <w:szCs w:val="16"/>
          <w:color w:val="auto"/>
        </w:rPr>
      </w:pPr>
      <w:r>
        <w:rPr>
          <w:rFonts w:ascii="Arial" w:cs="Arial" w:eastAsia="Arial" w:hAnsi="Arial"/>
          <w:sz w:val="16"/>
          <w:szCs w:val="16"/>
          <w:color w:val="auto"/>
        </w:rPr>
        <w:t>applicable base rate margin will range from 0.35% to 1.50% per annum, in each case depending on the Company’s Consolidated Leverage Ratio, as defined in the Credit Agreement, and the type of loan. If the Operating Partnership obtains a specified investment grade rating from two or more specified credit rating agencies, and elects to use the alternative rates based on the Company’s debt rating, the applicable Eurodollar rate margin will range from 0.85% to 2.45% per annum and the applicable base rate margin will range from 0.00% to 1.45% per annum, in each case depending on the rating achieved and the type of loan.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20" w:type="dxa"/>
            <w:vAlign w:val="bottom"/>
          </w:tcPr>
          <w:p>
            <w:pPr>
              <w:ind w:left="440"/>
              <w:spacing w:after="0"/>
              <w:rPr>
                <w:sz w:val="20"/>
                <w:szCs w:val="20"/>
                <w:color w:val="auto"/>
              </w:rPr>
            </w:pPr>
            <w:r>
              <w:rPr>
                <w:rFonts w:ascii="Arial" w:cs="Arial" w:eastAsia="Arial" w:hAnsi="Arial"/>
                <w:sz w:val="18"/>
                <w:szCs w:val="18"/>
                <w:color w:val="auto"/>
              </w:rPr>
              <w:t>The Credit Agreement is guaranteed by the Company and is not secured by any assets of the Company.</w:t>
            </w: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9920" w:type="dxa"/>
            <w:vAlign w:val="bottom"/>
          </w:tcPr>
          <w:p>
            <w:pPr>
              <w:ind w:left="440"/>
              <w:spacing w:after="0"/>
              <w:rPr>
                <w:sz w:val="20"/>
                <w:szCs w:val="20"/>
                <w:color w:val="auto"/>
              </w:rPr>
            </w:pPr>
            <w:r>
              <w:rPr>
                <w:rFonts w:ascii="Arial" w:cs="Arial" w:eastAsia="Arial" w:hAnsi="Arial"/>
                <w:sz w:val="18"/>
                <w:szCs w:val="18"/>
                <w:color w:val="auto"/>
              </w:rPr>
              <w:t>As of December 31, 2016, the Company was in compliance with all of its financial covenants.</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9920" w:type="dxa"/>
            <w:vAlign w:val="bottom"/>
          </w:tcPr>
          <w:p>
            <w:pPr>
              <w:ind w:left="440"/>
              <w:spacing w:after="0"/>
              <w:rPr>
                <w:sz w:val="20"/>
                <w:szCs w:val="20"/>
                <w:color w:val="auto"/>
              </w:rPr>
            </w:pPr>
            <w:r>
              <w:rPr>
                <w:rFonts w:ascii="Arial" w:cs="Arial" w:eastAsia="Arial" w:hAnsi="Arial"/>
                <w:sz w:val="18"/>
                <w:szCs w:val="18"/>
                <w:color w:val="auto"/>
              </w:rPr>
              <w:t>The following table summarizes the scheduled maturities of notes payable at December 31, 2016:</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59"/>
        </w:trPr>
        <w:tc>
          <w:tcPr>
            <w:tcW w:w="9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311,075</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356,018</w:t>
            </w:r>
          </w:p>
        </w:tc>
      </w:tr>
      <w:tr>
        <w:trPr>
          <w:trHeight w:val="27"/>
        </w:trPr>
        <w:tc>
          <w:tcPr>
            <w:tcW w:w="9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514,121</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831,289</w:t>
            </w:r>
          </w:p>
        </w:tc>
      </w:tr>
      <w:tr>
        <w:trPr>
          <w:trHeight w:val="27"/>
        </w:trPr>
        <w:tc>
          <w:tcPr>
            <w:tcW w:w="9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664,064</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564,371</w:t>
            </w:r>
          </w:p>
        </w:tc>
      </w:tr>
      <w:tr>
        <w:trPr>
          <w:trHeight w:val="27"/>
        </w:trPr>
        <w:tc>
          <w:tcPr>
            <w:tcW w:w="9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8"/>
        </w:trPr>
        <w:tc>
          <w:tcPr>
            <w:tcW w:w="99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3,240,938</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Real estate assets are pledged as collateral for the secured loans. Of the Company’s $3,240,938 principal amount in notes payable outstanding at December 31, 2016, $2,660,814 were recourse due to guarantees or other security provisions. The Company is subject to certain restrictive covenants relating to the outstanding notes payable. The Company was in compliance with all financial covenants at December 31, 2016.</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1"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361"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All of the Company’s lines of credit are guaranteed by the Company. The following table presents information on the Company’s lines of credit, the proceeds of which are used to repay debt and for general corporate purposes, for the periods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80" w:type="dxa"/>
            <w:vAlign w:val="bottom"/>
            <w:gridSpan w:val="7"/>
          </w:tcPr>
          <w:p>
            <w:pPr>
              <w:ind w:left="720"/>
              <w:spacing w:after="0"/>
              <w:rPr>
                <w:sz w:val="20"/>
                <w:szCs w:val="20"/>
                <w:color w:val="auto"/>
              </w:rPr>
            </w:pPr>
            <w:r>
              <w:rPr>
                <w:rFonts w:ascii="Arial" w:cs="Arial" w:eastAsia="Arial" w:hAnsi="Arial"/>
                <w:sz w:val="18"/>
                <w:szCs w:val="18"/>
                <w:b w:val="1"/>
                <w:bCs w:val="1"/>
                <w:color w:val="auto"/>
              </w:rPr>
              <w:t>As of December 31, 2016</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3"/>
              </w:rPr>
              <w:t>Origination</w:t>
            </w: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0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8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Revolving Lines of Credit</w:t>
            </w: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5"/>
              </w:rPr>
              <w:t>Amount Drawn</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Capacity</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Interest Rate</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Maturity</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3"/>
              </w:rPr>
              <w:t xml:space="preserve">Basis Rate </w:t>
            </w:r>
            <w:r>
              <w:rPr>
                <w:rFonts w:ascii="Arial" w:cs="Arial" w:eastAsia="Arial" w:hAnsi="Arial"/>
                <w:sz w:val="25"/>
                <w:szCs w:val="25"/>
                <w:b w:val="1"/>
                <w:bCs w:val="1"/>
                <w:color w:val="auto"/>
                <w:w w:val="83"/>
                <w:vertAlign w:val="superscript"/>
              </w:rPr>
              <w:t>(1)</w:t>
            </w:r>
          </w:p>
        </w:tc>
        <w:tc>
          <w:tcPr>
            <w:tcW w:w="0" w:type="dxa"/>
            <w:vAlign w:val="bottom"/>
          </w:tcPr>
          <w:p>
            <w:pPr>
              <w:spacing w:after="0"/>
              <w:rPr>
                <w:sz w:val="1"/>
                <w:szCs w:val="1"/>
                <w:color w:val="auto"/>
              </w:rPr>
            </w:pPr>
          </w:p>
        </w:tc>
      </w:tr>
      <w:tr>
        <w:trPr>
          <w:trHeight w:val="243"/>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Credit Line 1</w:t>
            </w:r>
          </w:p>
        </w:tc>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(2)</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6/4/2010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6/30/2018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LIBOR plus 1.7%</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w w:val="94"/>
              </w:rPr>
              <w:t>Credit Line 2</w:t>
            </w:r>
          </w:p>
        </w:tc>
        <w:tc>
          <w:tcPr>
            <w:tcW w:w="1840" w:type="dxa"/>
            <w:vAlign w:val="bottom"/>
          </w:tcPr>
          <w:p>
            <w:pPr>
              <w:ind w:left="20"/>
              <w:spacing w:after="0"/>
              <w:rPr>
                <w:sz w:val="20"/>
                <w:szCs w:val="20"/>
                <w:color w:val="auto"/>
              </w:rPr>
            </w:pPr>
            <w:r>
              <w:rPr>
                <w:rFonts w:ascii="Arial" w:cs="Arial" w:eastAsia="Arial" w:hAnsi="Arial"/>
                <w:sz w:val="13"/>
                <w:szCs w:val="13"/>
                <w:color w:val="auto"/>
              </w:rPr>
              <w:t>(3)(4)</w:t>
            </w:r>
          </w:p>
        </w:tc>
        <w:tc>
          <w:tcPr>
            <w:tcW w:w="3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362,000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500,000</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2.2%</w:t>
            </w:r>
          </w:p>
        </w:tc>
        <w:tc>
          <w:tcPr>
            <w:tcW w:w="12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10/14/2016</w:t>
            </w:r>
          </w:p>
        </w:tc>
        <w:tc>
          <w:tcPr>
            <w:tcW w:w="10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10/14/2020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LIBOR plus 1.4%</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0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365,000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600,000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80" w:hanging="245"/>
        <w:spacing w:after="0"/>
        <w:tabs>
          <w:tab w:leader="none" w:pos="2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30-day USD LIBOR</w:t>
      </w:r>
    </w:p>
    <w:p>
      <w:pPr>
        <w:spacing w:after="0" w:line="48" w:lineRule="exact"/>
        <w:rPr>
          <w:rFonts w:ascii="Arial" w:cs="Arial" w:eastAsia="Arial" w:hAnsi="Arial"/>
          <w:sz w:val="18"/>
          <w:szCs w:val="18"/>
          <w:color w:val="auto"/>
        </w:rPr>
      </w:pPr>
    </w:p>
    <w:p>
      <w:pPr>
        <w:ind w:left="280" w:hanging="245"/>
        <w:spacing w:after="0"/>
        <w:tabs>
          <w:tab w:leader="none" w:pos="2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Secured by mortgages on certain real estate assets. One two-year extension available.</w:t>
      </w:r>
    </w:p>
    <w:p>
      <w:pPr>
        <w:spacing w:after="0" w:line="62" w:lineRule="exact"/>
        <w:rPr>
          <w:rFonts w:ascii="Arial" w:cs="Arial" w:eastAsia="Arial" w:hAnsi="Arial"/>
          <w:sz w:val="18"/>
          <w:szCs w:val="18"/>
          <w:color w:val="auto"/>
        </w:rPr>
      </w:pPr>
    </w:p>
    <w:p>
      <w:pPr>
        <w:ind w:left="280" w:hanging="245"/>
        <w:spacing w:after="0"/>
        <w:tabs>
          <w:tab w:leader="none" w:pos="2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Unsecured. Two six-month extensions available.</w:t>
      </w:r>
    </w:p>
    <w:p>
      <w:pPr>
        <w:spacing w:after="0" w:line="62" w:lineRule="exact"/>
        <w:rPr>
          <w:rFonts w:ascii="Arial" w:cs="Arial" w:eastAsia="Arial" w:hAnsi="Arial"/>
          <w:sz w:val="18"/>
          <w:szCs w:val="18"/>
          <w:color w:val="auto"/>
        </w:rPr>
      </w:pPr>
    </w:p>
    <w:p>
      <w:pPr>
        <w:ind w:left="280" w:hanging="245"/>
        <w:spacing w:after="0"/>
        <w:tabs>
          <w:tab w:leader="none" w:pos="2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Basis Rate as of December 31, 2016. Rate is subject to change based on our consolidated leverage ratio.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7" w:lineRule="exact"/>
        <w:rPr>
          <w:rFonts w:ascii="Arial" w:cs="Arial" w:eastAsia="Arial" w:hAnsi="Arial"/>
          <w:sz w:val="18"/>
          <w:szCs w:val="18"/>
          <w:color w:val="auto"/>
        </w:rPr>
      </w:pPr>
    </w:p>
    <w:p>
      <w:pPr>
        <w:ind w:left="360" w:hanging="352"/>
        <w:spacing w:after="0"/>
        <w:tabs>
          <w:tab w:leader="none" w:pos="3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-1112520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-770255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The Company is exposed to certain risk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debt funding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investments and borrowings.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12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w:t>
      </w:r>
    </w:p>
    <w:p>
      <w:pPr>
        <w:spacing w:after="0" w:line="186"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The effective portion of changes in the fair value of derivatives designated and that qualify as cash flow hedges is recorded in accumulated other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comprehensive income (“OCI”) and is subsequently reclassified into earnings in the period that the hedged forecasted transaction affects earnings. A portion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these changes is excluded from accumulated other comprehensive income as it is allocated to noncontrolling interests. During the years ended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2015 and 2014, such derivatives were used to hedge the variable cash flows associated with existing variable-rate debt. During 2017,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estimates that an additional $9,244 will be reclassified as an increase to interest expense.</w:t>
      </w:r>
    </w:p>
    <w:p>
      <w:pPr>
        <w:spacing w:after="0" w:line="210"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 following table summarizes the terms of the Company’s 31 derivative financial instruments, which have a total combined notional amount of $2,109,486 as of December 31, 2016:</w:t>
      </w:r>
    </w:p>
    <w:p>
      <w:pPr>
        <w:spacing w:after="0" w:line="368"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Range of Notional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Hedge Product</w:t>
            </w:r>
          </w:p>
        </w:tc>
        <w:tc>
          <w:tcPr>
            <w:tcW w:w="16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Amounts</w:t>
            </w:r>
          </w:p>
        </w:tc>
        <w:tc>
          <w:tcPr>
            <w:tcW w:w="16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Strike</w:t>
            </w:r>
          </w:p>
        </w:tc>
        <w:tc>
          <w:tcPr>
            <w:tcW w:w="16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Effective Dates</w:t>
            </w:r>
          </w:p>
        </w:tc>
        <w:tc>
          <w:tcPr>
            <w:tcW w:w="16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Maturity Dates</w:t>
            </w:r>
          </w:p>
        </w:tc>
      </w:tr>
      <w:tr>
        <w:trPr>
          <w:trHeight w:val="248"/>
        </w:trPr>
        <w:tc>
          <w:tcPr>
            <w:tcW w:w="24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Swap Agreements</w:t>
            </w:r>
          </w:p>
        </w:tc>
        <w:tc>
          <w:tcPr>
            <w:tcW w:w="2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$4,873 - $267,431</w:t>
            </w:r>
          </w:p>
        </w:tc>
        <w:tc>
          <w:tcPr>
            <w:tcW w:w="1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436"/>
              <w:spacing w:after="0"/>
              <w:rPr>
                <w:sz w:val="20"/>
                <w:szCs w:val="20"/>
                <w:color w:val="auto"/>
              </w:rPr>
            </w:pPr>
            <w:r>
              <w:rPr>
                <w:rFonts w:ascii="Arial" w:cs="Arial" w:eastAsia="Arial" w:hAnsi="Arial"/>
                <w:sz w:val="18"/>
                <w:szCs w:val="18"/>
                <w:color w:val="auto"/>
              </w:rPr>
              <w:t>0.84% - 3.84%</w:t>
            </w:r>
          </w:p>
        </w:tc>
        <w:tc>
          <w:tcPr>
            <w:tcW w:w="1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rPr>
              <w:t>10/3/2011 - 10/3/2016</w:t>
            </w:r>
          </w:p>
        </w:tc>
        <w:tc>
          <w:tcPr>
            <w:tcW w:w="1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rPr>
              <w:t>9/20/2018 - 2/1/2024</w:t>
            </w:r>
          </w:p>
        </w:tc>
      </w:tr>
      <w:tr>
        <w:trPr>
          <w:trHeight w:val="675"/>
        </w:trPr>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jc w:val="right"/>
              <w:ind w:right="916"/>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Derivative Instruments</w:t>
      </w:r>
    </w:p>
    <w:p>
      <w:pPr>
        <w:spacing w:after="0" w:line="121"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table below presents the fair value of the Company’s derivative financial instruments as well as their classification on the consolidated balance sheets: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Asset (Liability) Derivatives</w:t>
            </w:r>
          </w:p>
        </w:tc>
      </w:tr>
      <w:tr>
        <w:trPr>
          <w:trHeight w:val="263"/>
        </w:trPr>
        <w:tc>
          <w:tcPr>
            <w:tcW w:w="83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1"/>
              </w:rPr>
              <w:t>December 31, 2016</w:t>
            </w: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1"/>
              </w:rPr>
              <w:t>December 31, 2015</w:t>
            </w:r>
          </w:p>
        </w:tc>
      </w:tr>
      <w:tr>
        <w:trPr>
          <w:trHeight w:val="196"/>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3"/>
          </w:tcPr>
          <w:p>
            <w:pPr>
              <w:jc w:val="right"/>
              <w:ind w:right="1116"/>
              <w:spacing w:after="0"/>
              <w:rPr>
                <w:sz w:val="20"/>
                <w:szCs w:val="20"/>
                <w:color w:val="auto"/>
              </w:rPr>
            </w:pPr>
            <w:r>
              <w:rPr>
                <w:rFonts w:ascii="Arial" w:cs="Arial" w:eastAsia="Arial" w:hAnsi="Arial"/>
                <w:sz w:val="14"/>
                <w:szCs w:val="14"/>
                <w:b w:val="1"/>
                <w:bCs w:val="1"/>
                <w:color w:val="auto"/>
              </w:rPr>
              <w:t>Fair Value</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23,844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4,996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21"/>
              <w:spacing w:after="0"/>
              <w:rPr>
                <w:sz w:val="20"/>
                <w:szCs w:val="20"/>
                <w:color w:val="auto"/>
              </w:rPr>
            </w:pPr>
            <w:r>
              <w:rPr>
                <w:rFonts w:ascii="Arial" w:cs="Arial" w:eastAsia="Arial" w:hAnsi="Arial"/>
                <w:sz w:val="18"/>
                <w:szCs w:val="18"/>
                <w:color w:val="auto"/>
              </w:rPr>
              <w:t>(2,447)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(6,991)</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Derivative Instruments</w:t>
      </w:r>
    </w:p>
    <w:p>
      <w:pPr>
        <w:spacing w:after="0" w:line="121"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tables below present the effect of the Company’s derivative financial instruments on the consolidated statements of operations for the periods presented. No tax effect has been presented as the derivative instruments are held by the Company:</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120" w:type="dxa"/>
            <w:vAlign w:val="bottom"/>
            <w:gridSpan w:val="5"/>
          </w:tcPr>
          <w:p>
            <w:pPr>
              <w:ind w:left="40"/>
              <w:spacing w:after="0"/>
              <w:rPr>
                <w:sz w:val="20"/>
                <w:szCs w:val="20"/>
                <w:color w:val="auto"/>
              </w:rPr>
            </w:pPr>
            <w:r>
              <w:rPr>
                <w:rFonts w:ascii="Arial" w:cs="Arial" w:eastAsia="Arial" w:hAnsi="Arial"/>
                <w:sz w:val="14"/>
                <w:szCs w:val="14"/>
                <w:b w:val="1"/>
                <w:bCs w:val="1"/>
                <w:color w:val="auto"/>
                <w:w w:val="93"/>
              </w:rPr>
              <w:t>Gain (loss) recognized in OCI For the Year Ended</w:t>
            </w:r>
          </w:p>
        </w:tc>
        <w:tc>
          <w:tcPr>
            <w:tcW w:w="100" w:type="dxa"/>
            <w:vAlign w:val="bottom"/>
          </w:tcPr>
          <w:p>
            <w:pPr>
              <w:spacing w:after="0"/>
              <w:rPr>
                <w:sz w:val="14"/>
                <w:szCs w:val="14"/>
                <w:color w:val="auto"/>
              </w:rPr>
            </w:pPr>
          </w:p>
        </w:tc>
        <w:tc>
          <w:tcPr>
            <w:tcW w:w="1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Location of amounts</w:t>
            </w:r>
          </w:p>
        </w:tc>
        <w:tc>
          <w:tcPr>
            <w:tcW w:w="200" w:type="dxa"/>
            <w:vAlign w:val="bottom"/>
          </w:tcPr>
          <w:p>
            <w:pPr>
              <w:spacing w:after="0"/>
              <w:rPr>
                <w:sz w:val="14"/>
                <w:szCs w:val="14"/>
                <w:color w:val="auto"/>
              </w:rPr>
            </w:pPr>
          </w:p>
        </w:tc>
        <w:tc>
          <w:tcPr>
            <w:tcW w:w="4440" w:type="dxa"/>
            <w:vAlign w:val="bottom"/>
            <w:gridSpan w:val="7"/>
            <w:vMerge w:val="restart"/>
          </w:tcPr>
          <w:p>
            <w:pPr>
              <w:jc w:val="center"/>
              <w:ind w:right="99"/>
              <w:spacing w:after="0"/>
              <w:rPr>
                <w:sz w:val="20"/>
                <w:szCs w:val="20"/>
                <w:color w:val="auto"/>
              </w:rPr>
            </w:pPr>
            <w:r>
              <w:rPr>
                <w:rFonts w:ascii="Arial" w:cs="Arial" w:eastAsia="Arial" w:hAnsi="Arial"/>
                <w:sz w:val="14"/>
                <w:szCs w:val="14"/>
                <w:b w:val="1"/>
                <w:bCs w:val="1"/>
                <w:color w:val="auto"/>
                <w:w w:val="93"/>
              </w:rPr>
              <w:t>Gain (loss) reclassified from OCI For the Year Ended December 31,</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80" w:type="dxa"/>
            <w:vAlign w:val="bottom"/>
            <w:gridSpan w:val="3"/>
          </w:tcPr>
          <w:p>
            <w:pPr>
              <w:jc w:val="right"/>
              <w:ind w:right="30"/>
              <w:spacing w:after="0" w:line="144" w:lineRule="exact"/>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44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70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3"/>
              </w:rPr>
              <w:t>reclassified from OCI</w:t>
            </w: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18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Type</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vMerge w:val="continue"/>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vMerge w:val="restart"/>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58"/>
        </w:trPr>
        <w:tc>
          <w:tcPr>
            <w:tcW w:w="1840" w:type="dxa"/>
            <w:vAlign w:val="bottom"/>
            <w:gridSpan w:val="3"/>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1"/>
              </w:rPr>
              <w:t>into income</w:t>
            </w:r>
          </w:p>
        </w:tc>
        <w:tc>
          <w:tcPr>
            <w:tcW w:w="2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1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Swap Agreements</w:t>
            </w: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97"/>
              </w:rPr>
              <w:t>6,388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(17,669)</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Interest expense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21" w:lineRule="exact"/>
        <w:rPr>
          <w:sz w:val="20"/>
          <w:szCs w:val="20"/>
          <w:color w:val="auto"/>
        </w:rPr>
      </w:pPr>
    </w:p>
    <w:p>
      <w:pPr>
        <w:jc w:val="both"/>
        <w:ind w:right="200" w:firstLine="432"/>
        <w:spacing w:after="0" w:line="263" w:lineRule="auto"/>
        <w:rPr>
          <w:sz w:val="20"/>
          <w:szCs w:val="20"/>
          <w:color w:val="auto"/>
        </w:rPr>
      </w:pPr>
      <w:r>
        <w:rPr>
          <w:rFonts w:ascii="Arial" w:cs="Arial" w:eastAsia="Arial" w:hAnsi="Arial"/>
          <w:sz w:val="18"/>
          <w:szCs w:val="18"/>
          <w:color w:val="auto"/>
        </w:rPr>
        <w:t>The Company has agreements with some of its derivative counterparties that contain provisions pursuant to which, the Company could be declared in default of its derivative obligations if the Company defaults on any of its indebtedness, including default where repayment of the indebtedness has not been accelerated by the lender.</w:t>
      </w:r>
    </w:p>
    <w:p>
      <w:pPr>
        <w:spacing w:after="0" w:line="183" w:lineRule="exact"/>
        <w:rPr>
          <w:sz w:val="20"/>
          <w:szCs w:val="20"/>
          <w:color w:val="auto"/>
        </w:rPr>
      </w:pPr>
    </w:p>
    <w:p>
      <w:pPr>
        <w:ind w:right="120" w:firstLine="432"/>
        <w:spacing w:after="0" w:line="263" w:lineRule="auto"/>
        <w:rPr>
          <w:sz w:val="20"/>
          <w:szCs w:val="20"/>
          <w:color w:val="auto"/>
        </w:rPr>
      </w:pPr>
      <w:r>
        <w:rPr>
          <w:rFonts w:ascii="Arial" w:cs="Arial" w:eastAsia="Arial" w:hAnsi="Arial"/>
          <w:sz w:val="18"/>
          <w:szCs w:val="18"/>
          <w:color w:val="auto"/>
        </w:rPr>
        <w:t>The Company also has an agreement with some of its derivative counterparties that incorporates the loan covenant provisions of the Company’s indebtedness with a lender affiliate of the derivative counterparty. Failure to comply with the loan covenant provisions would result in the Company being in default on any derivative instrument obligations covered by the agreement.</w:t>
      </w:r>
    </w:p>
    <w:p>
      <w:pPr>
        <w:spacing w:after="0" w:line="183"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As of December 31, 2016, the fair value of derivatives in a net liability position, which includes accrued interest but excludes any adjustment for nonperformance risk, related to these agreements was $2,836. As of December 31, 2016, the Company had not posted any collateral related to these agreements. If the Company had breached any of these provisions as of December 31, 2016, it could have been required to cash settle its obligations under these agreements at their termination value of $2,836.</w:t>
      </w:r>
    </w:p>
    <w:p>
      <w:pPr>
        <w:spacing w:after="0" w:line="290"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 TO TRUSTS</w:t>
      </w:r>
    </w:p>
    <w:p>
      <w:pPr>
        <w:spacing w:after="0" w:line="121"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During July 2005, ESS Statutory Trust III (the “Trust III”), a newly formed Delaware statutory trust and a wholly-owned, unconsolidated subsidiary of the Operating Partnership, issued an aggregate of $40,000 of preferred securities which mature on July 31, 2035. In addition, the Trust III issued 1,238 of Trust common securities to the Operating Partnership for a purchase price of $1,238. On July 27, 2005, the proceeds from the sale of the preferred and common securities of $41,238 were loaned in the form of a note to the Operating Partnership (“Note 3”). Note 3 had a fixed rate of 6.91% through July 31, 2010, and then was payable at a variable rate equal to the three month LIBOR plus 2.4% per annum. Effective July 11, 2011, the Trust III entered into an interest rate swap that fixes the interest rate to be paid at 5.0% per annum and matures July 11, 2018. The interest on Note 3, payable quarterly, will be used by the Trust III to pay dividends on the trust preferred securities. The trust preferred securities became redeemable by the Trust III with no prepayment premium on July 27, 2010.</w:t>
      </w:r>
    </w:p>
    <w:p>
      <w:pPr>
        <w:spacing w:after="0" w:line="190"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During May 2005, ESS Statutory Trust II (the “Trust II”), a newly formed Delaware statutory trust and a wholly-owned, unconsolidated subsidiary of the Operating Partnership of the Company, issued an aggregate of $41,000 of preferred securities which mature on June 30, 2035. In addition, the Trust II issued 1,269 of Trust common securities to the Operating Partnership for a purchase price of $1,269. On May 24, 2005, the proceeds from the sale of the preferred and common securities of $42,269</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1" w:right="2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were loaned in the form of a note to the Operating Partnership (“Note 2”). Note 2 had a fixed rate of 6.7% through June 30, 2010, and then was payable at a variable rate equal to the three month LIBOR plus 2.4% per annum. Effective July 11, 2011, the Trust II entered into an interest rate swap that fixes the interest rate to be paid at 5.0% per annum and matures July 11, 2018. The interest on Note 2, payable quarterly, will be used by the Trust II to pay dividends on the trust preferred securities. The trust preferred securities became redeemable by the Trust II with no prepayment premium on June 30, 2010.</w:t>
      </w:r>
    </w:p>
    <w:p>
      <w:pPr>
        <w:spacing w:after="0" w:line="156"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color w:val="auto"/>
        </w:rPr>
        <w:t>During April 2005, ESS Statutory Trust I (the “Trust”), a newly formed Delaware statutory trust and a wholly-owned, unconsolidated subsidiary of the Operating Partnership of the Company issued an aggregate of $35,000 of trust preferred securities which mature on June 30, 2035. In addition, the Trust issued 1,083 of Trust common securities to the Operating Partnership for a purchase price of $1,083. On April 8, 2005, the proceeds from the sale of the trust preferred and common securities of $36,083 were loaned in the form of a note to the Operating Partnership (the “Note”). The Note has a variable rate equal to the three month LIBOR plus 2.3% per annum. Effective June 30, 2010, the Trust entered into an interest rate swap that fixes the interest rate to be paid at</w:t>
      </w:r>
    </w:p>
    <w:p>
      <w:pPr>
        <w:spacing w:after="0" w:line="1"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5.1% per annum and matures on June 30, 2018. The interest on the Note, payable quarterly, will be used by the Trust to pay dividends on the trust preferred securities. The trust preferred securities are redeemable by the Trust with no prepayment premium.</w:t>
      </w:r>
    </w:p>
    <w:p>
      <w:pPr>
        <w:spacing w:after="0" w:line="18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Trust, Trust II and Trust III (together, the “Trusts”) are VIEs because the holders of the equity investment at risk (the trust preferred securities) do not have the power to direct the activities of the entities that most significantly affect the entities’ economic performance because of their lack of voting or similar rights. Because the Operating Partnership’s investment in the Trusts’ common securities was financed directly by the Trusts as a result of its loan of the proceeds to the Operating Partnership, that investment is not considered to be an equity investment at risk. The Operating Partnership’s investment in the Trusts is not a variable interest because equity interests are variable interests only to the extent that the investment is considered to be at risk, and therefore the Operating Partnership cannot be the primary beneficiary of the Trusts. Since the Company is not the primary beneficiary of the Trusts, they have not been consolidated. A debt obligation has been recorded in the form of notes as discussed above for the proceeds, which are owed to the Trusts by the Company. The Company has also recorded its investment in the Trusts’ common securities as other assets.</w:t>
      </w:r>
    </w:p>
    <w:p>
      <w:pPr>
        <w:spacing w:after="0" w:line="17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Company has not provided financing or other support during the periods presented to the Trusts that it was not previously contractually obligated to provide. The Company’s maximum exposure to loss as a result of its involvement with the Trusts is equal to the total amount of the notes discussed above less the amounts of the Company’s investments in the Trusts’ common securities. The net amount is the notes payable that the Trusts owe to third parties for their investments in the Trusts’ preferred securities.</w:t>
      </w:r>
    </w:p>
    <w:p>
      <w:pPr>
        <w:spacing w:after="0" w:line="186"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The notes payable to trusts are presented net of unamortized deferred financing costs of $2,269 and $2,399 as of December 31, 2016 and 2015, respectively.</w:t>
      </w:r>
    </w:p>
    <w:p>
      <w:pPr>
        <w:spacing w:after="0" w:line="17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Following is a tabular comparison of the liabilities the Company has recorded as a result of its involvements with the Trusts to the maximum exposure to loss the Company is subject to related to the Trusts as of December 31, 2016:</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Notes payable</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Investment</w:t>
            </w: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Maximum</w:t>
            </w:r>
          </w:p>
        </w:tc>
        <w:tc>
          <w:tcPr>
            <w:tcW w:w="260" w:type="dxa"/>
            <w:vAlign w:val="bottom"/>
          </w:tcPr>
          <w:p>
            <w:pPr>
              <w:spacing w:after="0"/>
              <w:rPr>
                <w:sz w:val="14"/>
                <w:szCs w:val="14"/>
                <w:color w:val="auto"/>
              </w:rPr>
            </w:pPr>
          </w:p>
        </w:tc>
        <w:tc>
          <w:tcPr>
            <w:tcW w:w="12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Difference</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 Trusts</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exposure to loss</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Trust</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36,083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Trust II</w:t>
            </w:r>
          </w:p>
        </w:tc>
        <w:tc>
          <w:tcPr>
            <w:tcW w:w="2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42,269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41,000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Trust III</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41,238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40,000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119,590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3,590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116,000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1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117,321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3,590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116,000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ind w:left="26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60" w:hanging="352"/>
        <w:spacing w:after="0"/>
        <w:tabs>
          <w:tab w:leader="none" w:pos="3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EXCHANGEABLE SENIOR NOTES</w:t>
      </w:r>
    </w:p>
    <w:p>
      <w:pPr>
        <w:spacing w:after="0" w:line="121"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In September 2015, the Operating Partnership issued $575,000 of its 3.125% Exchangeable Senior Notes due 2035. Costs incurred to issue the 2015 Notes were approximately $11,992, consisting primarily of a 2.0% underwriting fee. These costs are being amortized as an adjustment to interest expense over five years, which represents the estimated term based on the first available redemption date, and are included in other assets in the consolidated balance sheets. The 2015 Notes are general unsecured senior obligations of the Operating Partnership and are fully guaranteed by the Company. Interest is payable on April 1 and October 1 of each year beginning April 1, 2016, until the maturity date of October 1, 2035. The Notes bear interest at 3.125% per annum and contain an exchange settlement feature, which provides that the 2015 Notes may, under certain circumstances, be exchangeable for cash (for the principal amount of the 2015 Notes) and, with respect to any excess exchange value, for cash, shares of the Company’s common stock, or a combination of cash and shares of the Company’s common stock, at the Company’s option. The exchange rate of the 2015 Notes as of December 31, 2016 was approximately 10.56 shares of the Company’s common stock per $1,000 principal amount of the 2015 Notes.</w:t>
      </w:r>
    </w:p>
    <w:p>
      <w:pPr>
        <w:spacing w:after="0" w:line="16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Operating Partnership may redeem the 2015 Notes at any time to preserve the Company’s status as a REIT. In addition, on or after October 5, 2020, the Operating Partnership may redeem the 2015 Notes for cash, in whole or in part, at 100% of the principal amount plus accrued and unpaid interest, upon at least 30 days but not more than 60 days prior written notice to the holders of the 2015 Notes. The holders of the 2015 Notes have the right to require the Operating Partnership to repurchase the 2015 Notes for cash, in whole or in part, on October 1 of the years 2020, 2025 and 2030, (unless the Operating Partnership has called the 2015 Notes for redemption), and upon the occurrence of certain designated events, in each case for a repurchase price equal to 100% of the principal amount of the 2015 Notes plus accrued and unpaid interest. Certain events are considered “Events of Default,” as defined in the indenture governing the 2015 Notes, which may result in the accelerated maturity of the 2015 Notes.</w:t>
      </w:r>
    </w:p>
    <w:p>
      <w:pPr>
        <w:spacing w:after="0" w:line="176"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On June 21, 2013, the Operating Partnership issued $250,000 of its 2.375% Exchangeable Senior Notes due 2033 at a 1.5% discount, or $3,750. Costs incurred to issue the 2013 Notes were approximately $1,672. These costs are being amortized as an adjustment to interest expense over five years, which represents the estimated term based on the first available redemption date, and are included in other assets in the consolidated balance sheets. The 2013 Notes are general unsecured senior obligations of the Operating Partnership and are fully guaranteed by the Company. Interest is payable on January 1 and July 1 of each year beginning January 1, 2014, until the maturity date of July 1, 2033. The 2013 Notes bear interest at 2.375% per annum and contain an exchange settlement feature, which provides that the 2013 Notes may, under certain circumstances, be exchangeable for cash (for the principal amount of the 2013 Notes) and, with respect to any excess exchange value, for cash, shares of the Company’s common stock, or a combination of cash and shares of the Company’s common stock, at the Company’s option. The exchange rate of the 2013 Notes as of December 31, 2016 was approximately 18.49 shares of the Company’s common stock per $1,000 principal amount of the 2013 Notes.</w:t>
      </w:r>
    </w:p>
    <w:p>
      <w:pPr>
        <w:spacing w:after="0" w:line="16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Additionally, the 2013 Notes and the 2015 Notes can be exchanged during any calendar quarter, if the last reported sale price of the common stock of the Company is greater than or equal to 130% of the exchange price for at least 20 trading days during a period of 30 consecutive trading days ending on the last trading day of the immediately preceding calendar quarter. The price of the Company’s common stock exceeded 130% of the exchange price for the required time period for the 2013 Notes during the quarter ended December 31, 2016. Therefore, holders of the 2013 Notes may elect to exchange such notes during the quarter ending March 31, 2017. The price of the Company’s common stock did not exceed 130% of the exchange price for the required time period for the 2015 Notes during the quarter ended December 31, 2016.</w:t>
      </w:r>
    </w:p>
    <w:p>
      <w:pPr>
        <w:spacing w:after="0" w:line="177"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The Operating Partnership may redeem the 2013 Notes at any time to preserve the Company’s status as a REIT. In addition, on or after July 5, 2018, the Operating Partnership may redeem the 2013 Notes for cash, in whole or in part, at 100% of the principal amount plus accrued and unpaid interest, upon at least 30 days but not more than 60 days prior written notice to the holders of the 2013 Notes. The holders of the 2013 Notes have the right to require the Operating Partnership to repurchase the 2013 Notes for cash, in whole or in part, on July 1 of the years 2018, 2023 and 2028, and upon the occurrence of certain designated events, in each case for a repurchase price equal to 100% of the principal amount of the 2013 Notes plus accrued and unpaid interest. Certain events are considered “Events of Default,” as defined in the indenture governing the 2013 Notes, which may result in the accelerated maturity of the 2013 Notes.</w:t>
      </w:r>
    </w:p>
    <w:p>
      <w:pPr>
        <w:spacing w:after="0" w:line="19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GAAP requires entities with convertible debt instruments that may be settled entirely or partially in cash upon conversion to separately account for the liability and equity components of the instrument in a manner that reflects the issuer’s economic interest cost. The Company therefore accounts for the liability and equity components of the 2013 Notes and 2015 Notes separately. The equity components are included in paid-in capital in stockholders’ equity in the consolidated balance sheets, and</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1" w:right="2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value of the equity components are treated as original issue discount for purposes of accounting for the debt components. The discounts are being amortized as interest expense over the remaining period of the debt through its first redemption date, July 1, 2018 for the 2013 Notes and October 1, 2020 for the 2015 Notes. The effective interest rate on the liability components of both the 2013 Notes and the 2015 Notes is 4.0%, which approximates the market rate of interest of similar debt without exchange features (i.e. nonconvertible debt) at the time of issuance.</w:t>
      </w:r>
    </w:p>
    <w:p>
      <w:pPr>
        <w:spacing w:after="0" w:line="170"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Information about the carrying amount of the equity component, the principal amount of the liability component, its unamortized discount and its net carrying amount were as follows for the periods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1"/>
              </w:rPr>
              <w:t>December 31, 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1"/>
              </w:rPr>
              <w:t>December 31, 2015</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 of equity component - 2013 Notes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Carrying amount of equity component - 2015 Notes</w:t>
            </w:r>
          </w:p>
        </w:tc>
        <w:tc>
          <w:tcPr>
            <w:tcW w:w="1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22,597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22,597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 of equity components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22,597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Principal amount of liability component - 2013 Notes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63,170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85,364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amount of liability component - 2015 Notes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575,000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575,000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Unamortized discount - equity component - 2013 Notes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(2,605)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discount - equity component - 2015 Notes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(21,565)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Unamortized cash discount - 2013 Notes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(11,698)</w:t>
            </w:r>
          </w:p>
        </w:tc>
        <w:tc>
          <w:tcPr>
            <w:tcW w:w="0" w:type="dxa"/>
            <w:vAlign w:val="bottom"/>
          </w:tcPr>
          <w:p>
            <w:pPr>
              <w:spacing w:after="0"/>
              <w:rPr>
                <w:sz w:val="1"/>
                <w:szCs w:val="1"/>
                <w:color w:val="auto"/>
              </w:rPr>
            </w:pPr>
          </w:p>
        </w:tc>
      </w:tr>
      <w:tr>
        <w:trPr>
          <w:trHeight w:val="236"/>
        </w:trPr>
        <w:tc>
          <w:tcPr>
            <w:tcW w:w="8340" w:type="dxa"/>
            <w:vAlign w:val="bottom"/>
          </w:tcPr>
          <w:p>
            <w:pPr>
              <w:ind w:left="40"/>
              <w:spacing w:after="0"/>
              <w:rPr>
                <w:sz w:val="20"/>
                <w:szCs w:val="20"/>
                <w:color w:val="auto"/>
              </w:rPr>
            </w:pPr>
            <w:r>
              <w:rPr>
                <w:rFonts w:ascii="Arial" w:cs="Arial" w:eastAsia="Arial" w:hAnsi="Arial"/>
                <w:sz w:val="18"/>
                <w:szCs w:val="18"/>
                <w:color w:val="auto"/>
              </w:rPr>
              <w:t>Net carrying amount of liability components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610,314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623,863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amount of interest cost recognized relating to the contractual interest rate and the amortization of the discount on the liability component for the 2013 Notes and 2015 Notes was as follows for the periods indicated: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3"/>
        </w:trPr>
        <w:tc>
          <w:tcPr>
            <w:tcW w:w="67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r>
      <w:tr>
        <w:trPr>
          <w:trHeight w:val="249"/>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19,483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9,939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5,936</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Amortization of discount</w:t>
            </w:r>
          </w:p>
        </w:tc>
        <w:tc>
          <w:tcPr>
            <w:tcW w:w="38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4,980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3,310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2,683</w:t>
            </w:r>
          </w:p>
        </w:tc>
      </w:tr>
      <w:tr>
        <w:trPr>
          <w:trHeight w:val="27"/>
        </w:trPr>
        <w:tc>
          <w:tcPr>
            <w:tcW w:w="6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8"/>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 recognized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24,463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13,249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8,619</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of 2013 Notes</w:t>
      </w:r>
    </w:p>
    <w:p>
      <w:pPr>
        <w:spacing w:after="0" w:line="117" w:lineRule="exact"/>
        <w:rPr>
          <w:sz w:val="20"/>
          <w:szCs w:val="20"/>
          <w:color w:val="auto"/>
        </w:rPr>
      </w:pPr>
    </w:p>
    <w:p>
      <w:pPr>
        <w:ind w:right="240" w:firstLine="432"/>
        <w:spacing w:after="0" w:line="307" w:lineRule="auto"/>
        <w:rPr>
          <w:sz w:val="20"/>
          <w:szCs w:val="20"/>
          <w:color w:val="auto"/>
        </w:rPr>
      </w:pPr>
      <w:r>
        <w:rPr>
          <w:rFonts w:ascii="Arial" w:cs="Arial" w:eastAsia="Arial" w:hAnsi="Arial"/>
          <w:sz w:val="17"/>
          <w:szCs w:val="17"/>
          <w:color w:val="auto"/>
        </w:rPr>
        <w:t>During April 2016, the Company repurchased a total principal amount of $2,555 of the 2013 Notes. The Company paid cash for the principal amount and issued a total of 18,031 shares of common stock valued at $1,686 for the exchange value in excess of the principal amount.</w:t>
      </w:r>
    </w:p>
    <w:p>
      <w:pPr>
        <w:spacing w:after="0" w:line="39" w:lineRule="exact"/>
        <w:rPr>
          <w:sz w:val="20"/>
          <w:szCs w:val="20"/>
          <w:color w:val="auto"/>
        </w:rPr>
      </w:pPr>
    </w:p>
    <w:p>
      <w:pPr>
        <w:ind w:right="460" w:firstLine="432"/>
        <w:spacing w:after="0" w:line="341" w:lineRule="auto"/>
        <w:rPr>
          <w:sz w:val="20"/>
          <w:szCs w:val="20"/>
          <w:color w:val="auto"/>
        </w:rPr>
      </w:pPr>
      <w:r>
        <w:rPr>
          <w:rFonts w:ascii="Arial" w:cs="Arial" w:eastAsia="Arial" w:hAnsi="Arial"/>
          <w:sz w:val="16"/>
          <w:szCs w:val="16"/>
          <w:color w:val="auto"/>
        </w:rPr>
        <w:t>During February 2016, the Company repurchased a total principal amount of $19,639 of the 2013 Notes. The Company paid cash for the principal amount, and issued a total of 130,909 shares of common stock valued at $11,380 for the exchange value in excess of the principal amount.</w:t>
      </w:r>
    </w:p>
    <w:p>
      <w:pPr>
        <w:spacing w:after="0" w:line="17"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As part of the 2015 Notes offering, the Company repurchased $164,636 of the 2013 Notes for $227,212 on September 15, 2015. The Company allocated the value of the consideration paid to repurchase the 2013 Notes (1) to the extinguishment of the liability component and (2) to the reacquisition of the equity component. The amount allocated to the extinguishment of the liability component is equal to the fair value of that component immediately prior to extinguishment. The difference between the consideration attributed to the extinguishment of the liability component and the sum of (a) the net carrying amount of the repurchased liability component, and (b) the related unamortized debt issuance costs, is recognized as a gain on debt extinguishment. The remaining settlement consideration is allocated to the reacquisition of the equity component of the repurchased 2013 Notes and recognized as a reduction of stockholders’ equity.</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about the repurchases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 w:type="dxa"/>
            <w:vAlign w:val="bottom"/>
            <w:tcBorders>
              <w:bottom w:val="single" w:sz="8" w:color="CCEEFF"/>
            </w:tcBorders>
          </w:tcPr>
          <w:p>
            <w:pPr>
              <w:spacing w:after="0"/>
              <w:rPr>
                <w:sz w:val="16"/>
                <w:szCs w:val="16"/>
                <w:color w:val="auto"/>
              </w:rPr>
            </w:pPr>
          </w:p>
        </w:tc>
        <w:tc>
          <w:tcPr>
            <w:tcW w:w="5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February 2016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211"/>
              <w:spacing w:after="0"/>
              <w:rPr>
                <w:sz w:val="20"/>
                <w:szCs w:val="20"/>
                <w:color w:val="auto"/>
              </w:rPr>
            </w:pPr>
            <w:r>
              <w:rPr>
                <w:rFonts w:ascii="Arial" w:cs="Arial" w:eastAsia="Arial" w:hAnsi="Arial"/>
                <w:sz w:val="14"/>
                <w:szCs w:val="14"/>
                <w:b w:val="1"/>
                <w:bCs w:val="1"/>
                <w:color w:val="auto"/>
                <w:w w:val="98"/>
              </w:rPr>
              <w:t>April 2016</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2015</w:t>
            </w:r>
          </w:p>
        </w:tc>
        <w:tc>
          <w:tcPr>
            <w:tcW w:w="0" w:type="dxa"/>
            <w:vAlign w:val="bottom"/>
          </w:tcPr>
          <w:p>
            <w:pPr>
              <w:spacing w:after="0"/>
              <w:rPr>
                <w:sz w:val="1"/>
                <w:szCs w:val="1"/>
                <w:color w:val="auto"/>
              </w:rPr>
            </w:pPr>
          </w:p>
        </w:tc>
      </w:tr>
      <w:tr>
        <w:trPr>
          <w:trHeight w:val="274"/>
        </w:trPr>
        <w:tc>
          <w:tcPr>
            <w:tcW w:w="5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Principal amount repurchased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19,639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5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164,636</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Amount allocated to:</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5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4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Extinguishment of liability component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5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157,100</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5020" w:type="dxa"/>
            <w:vAlign w:val="bottom"/>
          </w:tcPr>
          <w:p>
            <w:pPr>
              <w:ind w:left="140"/>
              <w:spacing w:after="0"/>
              <w:rPr>
                <w:sz w:val="20"/>
                <w:szCs w:val="20"/>
                <w:color w:val="auto"/>
              </w:rPr>
            </w:pPr>
            <w:r>
              <w:rPr>
                <w:rFonts w:ascii="Arial" w:cs="Arial" w:eastAsia="Arial" w:hAnsi="Arial"/>
                <w:sz w:val="18"/>
                <w:szCs w:val="18"/>
                <w:color w:val="auto"/>
              </w:rPr>
              <w:t>Reacquisition of equity component</w:t>
            </w:r>
          </w:p>
        </w:tc>
        <w:tc>
          <w:tcPr>
            <w:tcW w:w="32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12,132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70,112</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consideration paid for repurchase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31,019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5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227,212</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Exchangeable senior notes repurchased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19,639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2,555</w:t>
            </w:r>
          </w:p>
        </w:tc>
        <w:tc>
          <w:tcPr>
            <w:tcW w:w="5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164,636</w:t>
            </w:r>
          </w:p>
        </w:tc>
        <w:tc>
          <w:tcPr>
            <w:tcW w:w="0" w:type="dxa"/>
            <w:vAlign w:val="bottom"/>
          </w:tcPr>
          <w:p>
            <w:pPr>
              <w:spacing w:after="0"/>
              <w:rPr>
                <w:sz w:val="1"/>
                <w:szCs w:val="1"/>
                <w:color w:val="auto"/>
              </w:rPr>
            </w:pPr>
          </w:p>
        </w:tc>
      </w:tr>
      <w:tr>
        <w:trPr>
          <w:trHeight w:val="27"/>
        </w:trPr>
        <w:tc>
          <w:tcPr>
            <w:tcW w:w="5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Extinguishment of liability component</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(157,100)</w:t>
            </w:r>
          </w:p>
        </w:tc>
        <w:tc>
          <w:tcPr>
            <w:tcW w:w="0" w:type="dxa"/>
            <w:vAlign w:val="bottom"/>
          </w:tcPr>
          <w:p>
            <w:pPr>
              <w:spacing w:after="0"/>
              <w:rPr>
                <w:sz w:val="1"/>
                <w:szCs w:val="1"/>
                <w:color w:val="auto"/>
              </w:rPr>
            </w:pPr>
          </w:p>
        </w:tc>
      </w:tr>
      <w:tr>
        <w:trPr>
          <w:trHeight w:val="243"/>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Discount on exchangeable senior notes</w:t>
            </w:r>
          </w:p>
        </w:tc>
        <w:tc>
          <w:tcPr>
            <w:tcW w:w="3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(6,931)</w:t>
            </w:r>
          </w:p>
        </w:tc>
        <w:tc>
          <w:tcPr>
            <w:tcW w:w="0" w:type="dxa"/>
            <w:vAlign w:val="bottom"/>
          </w:tcPr>
          <w:p>
            <w:pPr>
              <w:spacing w:after="0"/>
              <w:rPr>
                <w:sz w:val="1"/>
                <w:szCs w:val="1"/>
                <w:color w:val="auto"/>
              </w:rPr>
            </w:pPr>
          </w:p>
        </w:tc>
      </w:tr>
      <w:tr>
        <w:trPr>
          <w:trHeight w:val="27"/>
        </w:trPr>
        <w:tc>
          <w:tcPr>
            <w:tcW w:w="5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Related debt issuance costs</w:t>
            </w:r>
          </w:p>
        </w:tc>
        <w:tc>
          <w:tcPr>
            <w:tcW w:w="3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36"/>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Gain/(loss) on repurchase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vMerge w:val="restart"/>
          </w:tcPr>
          <w:p>
            <w:pPr>
              <w:spacing w:after="0"/>
              <w:rPr>
                <w:sz w:val="20"/>
                <w:szCs w:val="20"/>
                <w:color w:val="auto"/>
              </w:rPr>
            </w:pPr>
            <w:r>
              <w:rPr>
                <w:rFonts w:ascii="Arial" w:cs="Arial" w:eastAsia="Arial" w:hAnsi="Arial"/>
                <w:sz w:val="18"/>
                <w:szCs w:val="18"/>
                <w:b w:val="1"/>
                <w:bCs w:val="1"/>
                <w:color w:val="auto"/>
              </w:rPr>
              <w:t>10.</w:t>
            </w:r>
          </w:p>
        </w:tc>
        <w:tc>
          <w:tcPr>
            <w:tcW w:w="502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OTHER LIABILITIES</w:t>
            </w: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 w:type="dxa"/>
            <w:vAlign w:val="bottom"/>
            <w:vMerge w:val="continue"/>
          </w:tcPr>
          <w:p>
            <w:pPr>
              <w:spacing w:after="0" w:line="20" w:lineRule="exact"/>
              <w:rPr>
                <w:sz w:val="1"/>
                <w:szCs w:val="1"/>
                <w:color w:val="auto"/>
              </w:rPr>
            </w:pPr>
          </w:p>
        </w:tc>
        <w:tc>
          <w:tcPr>
            <w:tcW w:w="502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40" w:type="dxa"/>
            <w:vAlign w:val="bottom"/>
            <w:vMerge w:val="continue"/>
          </w:tcPr>
          <w:p>
            <w:pPr>
              <w:spacing w:after="0"/>
              <w:rPr>
                <w:sz w:val="24"/>
                <w:szCs w:val="24"/>
                <w:color w:val="auto"/>
              </w:rPr>
            </w:pPr>
          </w:p>
        </w:tc>
        <w:tc>
          <w:tcPr>
            <w:tcW w:w="5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w w:val="98"/>
              </w:rPr>
              <w:t>The components of other liabilities are summarized as follows:</w:t>
            </w: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Borders>
              <w:bottom w:val="single" w:sz="8" w:color="CCEEFF"/>
            </w:tcBorders>
          </w:tcPr>
          <w:p>
            <w:pPr>
              <w:spacing w:after="0"/>
              <w:rPr>
                <w:sz w:val="24"/>
                <w:szCs w:val="24"/>
                <w:color w:val="auto"/>
              </w:rPr>
            </w:pPr>
          </w:p>
        </w:tc>
        <w:tc>
          <w:tcPr>
            <w:tcW w:w="50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w w:val="91"/>
              </w:rPr>
              <w:t>December 31, 2016</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1"/>
              </w:rPr>
              <w:t>December 31, 2015</w:t>
            </w:r>
          </w:p>
        </w:tc>
        <w:tc>
          <w:tcPr>
            <w:tcW w:w="0" w:type="dxa"/>
            <w:vAlign w:val="bottom"/>
          </w:tcPr>
          <w:p>
            <w:pPr>
              <w:spacing w:after="0"/>
              <w:rPr>
                <w:sz w:val="1"/>
                <w:szCs w:val="1"/>
                <w:color w:val="auto"/>
              </w:rPr>
            </w:pPr>
          </w:p>
        </w:tc>
      </w:tr>
      <w:tr>
        <w:trPr>
          <w:trHeight w:val="249"/>
        </w:trPr>
        <w:tc>
          <w:tcPr>
            <w:tcW w:w="5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rental income</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center"/>
              <w:ind w:left="439"/>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43,923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35,904</w:t>
            </w:r>
          </w:p>
        </w:tc>
        <w:tc>
          <w:tcPr>
            <w:tcW w:w="0" w:type="dxa"/>
            <w:vAlign w:val="bottom"/>
          </w:tcPr>
          <w:p>
            <w:pPr>
              <w:spacing w:after="0"/>
              <w:rPr>
                <w:sz w:val="1"/>
                <w:szCs w:val="1"/>
                <w:color w:val="auto"/>
              </w:rPr>
            </w:pPr>
          </w:p>
        </w:tc>
      </w:tr>
      <w:tr>
        <w:trPr>
          <w:trHeight w:val="243"/>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Fair value of interest rate swaps</w:t>
            </w:r>
          </w:p>
        </w:tc>
        <w:tc>
          <w:tcPr>
            <w:tcW w:w="3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gridSpan w:val="3"/>
          </w:tcPr>
          <w:p>
            <w:pPr>
              <w:jc w:val="right"/>
              <w:ind w:right="30"/>
              <w:spacing w:after="0"/>
              <w:rPr>
                <w:sz w:val="20"/>
                <w:szCs w:val="20"/>
                <w:color w:val="auto"/>
              </w:rPr>
            </w:pPr>
            <w:r>
              <w:rPr>
                <w:rFonts w:ascii="Arial" w:cs="Arial" w:eastAsia="Arial" w:hAnsi="Arial"/>
                <w:sz w:val="18"/>
                <w:szCs w:val="18"/>
                <w:color w:val="auto"/>
                <w:w w:val="88"/>
              </w:rPr>
              <w:t>2,447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6,991</w:t>
            </w:r>
          </w:p>
        </w:tc>
        <w:tc>
          <w:tcPr>
            <w:tcW w:w="0" w:type="dxa"/>
            <w:vAlign w:val="bottom"/>
          </w:tcPr>
          <w:p>
            <w:pPr>
              <w:spacing w:after="0"/>
              <w:rPr>
                <w:sz w:val="1"/>
                <w:szCs w:val="1"/>
                <w:color w:val="auto"/>
              </w:rPr>
            </w:pPr>
          </w:p>
        </w:tc>
      </w:tr>
      <w:tr>
        <w:trPr>
          <w:trHeight w:val="27"/>
        </w:trPr>
        <w:tc>
          <w:tcPr>
            <w:tcW w:w="5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88"/>
              </w:rPr>
              <w:t>1,695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43"/>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Deferred tax liability</w:t>
            </w:r>
          </w:p>
        </w:tc>
        <w:tc>
          <w:tcPr>
            <w:tcW w:w="3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gridSpan w:val="3"/>
          </w:tcPr>
          <w:p>
            <w:pPr>
              <w:jc w:val="right"/>
              <w:ind w:right="30"/>
              <w:spacing w:after="0"/>
              <w:rPr>
                <w:sz w:val="20"/>
                <w:szCs w:val="20"/>
                <w:color w:val="auto"/>
              </w:rPr>
            </w:pPr>
            <w:r>
              <w:rPr>
                <w:rFonts w:ascii="Arial" w:cs="Arial" w:eastAsia="Arial" w:hAnsi="Arial"/>
                <w:sz w:val="18"/>
                <w:szCs w:val="18"/>
                <w:color w:val="auto"/>
                <w:w w:val="88"/>
              </w:rPr>
              <w:t>9,838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10,728</w:t>
            </w:r>
          </w:p>
        </w:tc>
        <w:tc>
          <w:tcPr>
            <w:tcW w:w="0" w:type="dxa"/>
            <w:vAlign w:val="bottom"/>
          </w:tcPr>
          <w:p>
            <w:pPr>
              <w:spacing w:after="0"/>
              <w:rPr>
                <w:sz w:val="1"/>
                <w:szCs w:val="1"/>
                <w:color w:val="auto"/>
              </w:rPr>
            </w:pPr>
          </w:p>
        </w:tc>
      </w:tr>
      <w:tr>
        <w:trPr>
          <w:trHeight w:val="27"/>
        </w:trPr>
        <w:tc>
          <w:tcPr>
            <w:tcW w:w="5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Earnout provisions on 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88"/>
              </w:rPr>
              <w:t>5,184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5,510</w:t>
            </w:r>
          </w:p>
        </w:tc>
        <w:tc>
          <w:tcPr>
            <w:tcW w:w="0" w:type="dxa"/>
            <w:vAlign w:val="bottom"/>
          </w:tcPr>
          <w:p>
            <w:pPr>
              <w:spacing w:after="0"/>
              <w:rPr>
                <w:sz w:val="1"/>
                <w:szCs w:val="1"/>
                <w:color w:val="auto"/>
              </w:rPr>
            </w:pPr>
          </w:p>
        </w:tc>
      </w:tr>
      <w:tr>
        <w:trPr>
          <w:trHeight w:val="243"/>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Unpaid claims liability</w:t>
            </w:r>
          </w:p>
        </w:tc>
        <w:tc>
          <w:tcPr>
            <w:tcW w:w="3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4"/>
          </w:tcPr>
          <w:p>
            <w:pPr>
              <w:jc w:val="right"/>
              <w:ind w:right="30"/>
              <w:spacing w:after="0"/>
              <w:rPr>
                <w:sz w:val="20"/>
                <w:szCs w:val="20"/>
                <w:color w:val="auto"/>
              </w:rPr>
            </w:pPr>
            <w:r>
              <w:rPr>
                <w:rFonts w:ascii="Arial" w:cs="Arial" w:eastAsia="Arial" w:hAnsi="Arial"/>
                <w:sz w:val="18"/>
                <w:szCs w:val="18"/>
                <w:color w:val="auto"/>
              </w:rPr>
              <w:t>10,134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11,313</w:t>
            </w:r>
          </w:p>
        </w:tc>
        <w:tc>
          <w:tcPr>
            <w:tcW w:w="0" w:type="dxa"/>
            <w:vAlign w:val="bottom"/>
          </w:tcPr>
          <w:p>
            <w:pPr>
              <w:spacing w:after="0"/>
              <w:rPr>
                <w:sz w:val="1"/>
                <w:szCs w:val="1"/>
                <w:color w:val="auto"/>
              </w:rPr>
            </w:pPr>
          </w:p>
        </w:tc>
      </w:tr>
      <w:tr>
        <w:trPr>
          <w:trHeight w:val="27"/>
        </w:trPr>
        <w:tc>
          <w:tcPr>
            <w:tcW w:w="5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miscellaneous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14,448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7,820</w:t>
            </w: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87,669</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80,489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right="180" w:firstLine="432"/>
        <w:spacing w:after="0" w:line="263" w:lineRule="auto"/>
        <w:rPr>
          <w:sz w:val="20"/>
          <w:szCs w:val="20"/>
          <w:color w:val="auto"/>
        </w:rPr>
      </w:pPr>
      <w:r>
        <w:rPr>
          <w:rFonts w:ascii="Arial" w:cs="Arial" w:eastAsia="Arial" w:hAnsi="Arial"/>
          <w:sz w:val="18"/>
          <w:szCs w:val="18"/>
          <w:color w:val="auto"/>
        </w:rPr>
        <w:t>Included in the unpaid claims liability are claims related to the Company’s tenant reinsurance program. For the years ended December 31, 2016, 2015 and 2014, the number of claims made were 4,055, 3,959 and 2,942, respectively. The following table presents information on the portion of the Company’s unpaid claims liability that relates to tenant insurance for the periods indicated: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3"/>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Tenant Reinsurance Claims: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49"/>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Unpaid claims liability at beginning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2,112</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Claims and claim adjustment expense for claims incurred in the current year</w:t>
            </w:r>
          </w:p>
        </w:tc>
        <w:tc>
          <w:tcPr>
            <w:tcW w:w="38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7,250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6,421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5,126</w:t>
            </w:r>
          </w:p>
        </w:tc>
      </w:tr>
      <w:tr>
        <w:trPr>
          <w:trHeight w:val="27"/>
        </w:trPr>
        <w:tc>
          <w:tcPr>
            <w:tcW w:w="6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and claim adjustment expense (benefit) for claims incurred in the prior years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Payments for current year claims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(2,954)</w:t>
            </w:r>
          </w:p>
        </w:tc>
      </w:tr>
      <w:tr>
        <w:trPr>
          <w:trHeight w:val="27"/>
        </w:trPr>
        <w:tc>
          <w:tcPr>
            <w:tcW w:w="6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for prior year claims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w:t>
            </w:r>
          </w:p>
        </w:tc>
      </w:tr>
      <w:tr>
        <w:trPr>
          <w:trHeight w:val="236"/>
        </w:trPr>
        <w:tc>
          <w:tcPr>
            <w:tcW w:w="6720" w:type="dxa"/>
            <w:vAlign w:val="bottom"/>
          </w:tcPr>
          <w:p>
            <w:pPr>
              <w:ind w:left="40"/>
              <w:spacing w:after="0"/>
              <w:rPr>
                <w:sz w:val="20"/>
                <w:szCs w:val="20"/>
                <w:color w:val="auto"/>
              </w:rPr>
            </w:pPr>
            <w:r>
              <w:rPr>
                <w:rFonts w:ascii="Arial" w:cs="Arial" w:eastAsia="Arial" w:hAnsi="Arial"/>
                <w:sz w:val="18"/>
                <w:szCs w:val="18"/>
                <w:color w:val="auto"/>
              </w:rPr>
              <w:t>Unpaid claims liability at the end of the year</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3,896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3,908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3,121</w:t>
            </w:r>
          </w:p>
        </w:tc>
      </w:tr>
      <w:tr>
        <w:trPr>
          <w:trHeight w:val="27"/>
        </w:trPr>
        <w:tc>
          <w:tcPr>
            <w:tcW w:w="6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440" w:hanging="432"/>
        <w:spacing w:after="0"/>
        <w:tabs>
          <w:tab w:leader="none" w:pos="4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AND AFFILIATED REAL ESTATE JOINT VENTURE TRANSACTIONS</w:t>
      </w:r>
    </w:p>
    <w:p>
      <w:pPr>
        <w:spacing w:after="0" w:line="12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Company provides management services to certain joint ventures, third parties and other related party stores. Management agreements provide generally for management fees of 6.0% of cash collected from total revenues for the management of operations at the stores. In addition, the Company receives an asset management fee equal to 0.5% multiplied by the total asset value of the stores owned by the SPI joint venture, provided certain requirements are met.</w:t>
      </w:r>
    </w:p>
    <w:p>
      <w:pPr>
        <w:sectPr>
          <w:pgSz w:w="11900" w:h="16838" w:orient="portrait"/>
          <w:cols w:equalWidth="0" w:num="1">
            <w:col w:w="11400"/>
          </w:cols>
          <w:pgMar w:left="240" w:top="121" w:right="25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00"/>
          </w:cols>
          <w:pgMar w:left="240" w:top="121" w:right="25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Management fee revenues for related party and affiliated real estate joint ventures and other income are summarized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9"/>
          </w:tcPr>
          <w:p>
            <w:pPr>
              <w:ind w:left="960"/>
              <w:spacing w:after="0"/>
              <w:rPr>
                <w:sz w:val="20"/>
                <w:szCs w:val="20"/>
                <w:color w:val="auto"/>
              </w:rPr>
            </w:pPr>
            <w:r>
              <w:rPr>
                <w:rFonts w:ascii="Arial" w:cs="Arial" w:eastAsia="Arial" w:hAnsi="Arial"/>
                <w:sz w:val="14"/>
                <w:szCs w:val="14"/>
                <w:b w:val="1"/>
                <w:bCs w:val="1"/>
                <w:color w:val="auto"/>
                <w:w w:val="93"/>
              </w:rPr>
              <w:t>For the Year Ended December 31,</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02"/>
        </w:trPr>
        <w:tc>
          <w:tcPr>
            <w:tcW w:w="266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Entity</w:t>
            </w:r>
          </w:p>
        </w:tc>
        <w:tc>
          <w:tcPr>
            <w:tcW w:w="4100" w:type="dxa"/>
            <w:vAlign w:val="bottom"/>
            <w:gridSpan w:val="3"/>
          </w:tcPr>
          <w:p>
            <w:pPr>
              <w:ind w:left="360"/>
              <w:spacing w:after="0" w:line="202" w:lineRule="exact"/>
              <w:rPr>
                <w:sz w:val="20"/>
                <w:szCs w:val="20"/>
                <w:color w:val="auto"/>
              </w:rPr>
            </w:pPr>
            <w:r>
              <w:rPr>
                <w:rFonts w:ascii="Arial" w:cs="Arial" w:eastAsia="Arial" w:hAnsi="Arial"/>
                <w:sz w:val="18"/>
                <w:szCs w:val="18"/>
                <w:b w:val="1"/>
                <w:bCs w:val="1"/>
                <w:color w:val="auto"/>
              </w:rPr>
              <w:t>Type</w:t>
            </w:r>
          </w:p>
        </w:tc>
        <w:tc>
          <w:tcPr>
            <w:tcW w:w="340" w:type="dxa"/>
            <w:vAlign w:val="bottom"/>
          </w:tcPr>
          <w:p>
            <w:pPr>
              <w:spacing w:after="0"/>
              <w:rPr>
                <w:sz w:val="17"/>
                <w:szCs w:val="17"/>
                <w:color w:val="auto"/>
              </w:rPr>
            </w:pPr>
          </w:p>
        </w:tc>
        <w:tc>
          <w:tcPr>
            <w:tcW w:w="1140" w:type="dxa"/>
            <w:vAlign w:val="bottom"/>
          </w:tcPr>
          <w:p>
            <w:pPr>
              <w:jc w:val="right"/>
              <w:ind w:right="471"/>
              <w:spacing w:after="0" w:line="202"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7"/>
                <w:szCs w:val="17"/>
                <w:color w:val="auto"/>
              </w:rPr>
            </w:pPr>
          </w:p>
        </w:tc>
        <w:tc>
          <w:tcPr>
            <w:tcW w:w="1480" w:type="dxa"/>
            <w:vAlign w:val="bottom"/>
            <w:gridSpan w:val="3"/>
          </w:tcPr>
          <w:p>
            <w:pPr>
              <w:jc w:val="right"/>
              <w:ind w:right="470"/>
              <w:spacing w:after="0" w:line="202" w:lineRule="exact"/>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470"/>
              <w:spacing w:after="0" w:line="202" w:lineRule="exact"/>
              <w:rPr>
                <w:sz w:val="20"/>
                <w:szCs w:val="20"/>
                <w:color w:val="auto"/>
              </w:rPr>
            </w:pPr>
            <w:r>
              <w:rPr>
                <w:rFonts w:ascii="Arial" w:cs="Arial" w:eastAsia="Arial" w:hAnsi="Arial"/>
                <w:sz w:val="18"/>
                <w:szCs w:val="18"/>
                <w:b w:val="1"/>
                <w:bCs w:val="1"/>
                <w:color w:val="auto"/>
              </w:rPr>
              <w:t>2014</w:t>
            </w:r>
          </w:p>
        </w:tc>
      </w:tr>
      <w:tr>
        <w:trPr>
          <w:trHeight w:val="47"/>
        </w:trPr>
        <w:tc>
          <w:tcPr>
            <w:tcW w:w="40" w:type="dxa"/>
            <w:vAlign w:val="bottom"/>
            <w:tcBorders>
              <w:bottom w:val="single" w:sz="8" w:color="CCEEFF"/>
            </w:tcBorders>
          </w:tcPr>
          <w:p>
            <w:pPr>
              <w:spacing w:after="0"/>
              <w:rPr>
                <w:sz w:val="4"/>
                <w:szCs w:val="4"/>
                <w:color w:val="auto"/>
              </w:rPr>
            </w:pPr>
          </w:p>
        </w:tc>
        <w:tc>
          <w:tcPr>
            <w:tcW w:w="480" w:type="dxa"/>
            <w:vAlign w:val="bottom"/>
            <w:tcBorders>
              <w:top w:val="single" w:sz="8" w:color="auto"/>
              <w:bottom w:val="single" w:sz="8" w:color="CCEEFF"/>
            </w:tcBorders>
          </w:tcPr>
          <w:p>
            <w:pPr>
              <w:spacing w:after="0"/>
              <w:rPr>
                <w:sz w:val="4"/>
                <w:szCs w:val="4"/>
                <w:color w:val="auto"/>
              </w:rPr>
            </w:pPr>
          </w:p>
        </w:tc>
        <w:tc>
          <w:tcPr>
            <w:tcW w:w="214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380" w:type="dxa"/>
            <w:vAlign w:val="bottom"/>
            <w:tcBorders>
              <w:top w:val="single" w:sz="8" w:color="auto"/>
              <w:bottom w:val="single" w:sz="8" w:color="CCEEFF"/>
            </w:tcBorders>
          </w:tcPr>
          <w:p>
            <w:pPr>
              <w:spacing w:after="0"/>
              <w:rPr>
                <w:sz w:val="4"/>
                <w:szCs w:val="4"/>
                <w:color w:val="auto"/>
              </w:rPr>
            </w:pPr>
          </w:p>
        </w:tc>
        <w:tc>
          <w:tcPr>
            <w:tcW w:w="33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3"/>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VRS</w:t>
            </w:r>
          </w:p>
        </w:tc>
        <w:tc>
          <w:tcPr>
            <w:tcW w:w="4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Affiliated real estate joint ventures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PREXR</w:t>
            </w:r>
          </w:p>
        </w:tc>
        <w:tc>
          <w:tcPr>
            <w:tcW w:w="4100" w:type="dxa"/>
            <w:vAlign w:val="bottom"/>
            <w:gridSpan w:val="3"/>
          </w:tcPr>
          <w:p>
            <w:pPr>
              <w:ind w:left="360"/>
              <w:spacing w:after="0"/>
              <w:rPr>
                <w:sz w:val="20"/>
                <w:szCs w:val="20"/>
                <w:color w:val="auto"/>
              </w:rPr>
            </w:pPr>
            <w:r>
              <w:rPr>
                <w:rFonts w:ascii="Arial" w:cs="Arial" w:eastAsia="Arial" w:hAnsi="Arial"/>
                <w:sz w:val="18"/>
                <w:szCs w:val="18"/>
                <w:color w:val="auto"/>
              </w:rPr>
              <w:t>Affiliated real estate joint ventures</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SP I</w:t>
            </w:r>
          </w:p>
        </w:tc>
        <w:tc>
          <w:tcPr>
            <w:tcW w:w="4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Affiliated real estate joint ventures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1,999</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PRISA</w:t>
            </w:r>
          </w:p>
        </w:tc>
        <w:tc>
          <w:tcPr>
            <w:tcW w:w="4100" w:type="dxa"/>
            <w:vAlign w:val="bottom"/>
            <w:gridSpan w:val="3"/>
          </w:tcPr>
          <w:p>
            <w:pPr>
              <w:ind w:left="360"/>
              <w:spacing w:after="0"/>
              <w:rPr>
                <w:sz w:val="20"/>
                <w:szCs w:val="20"/>
                <w:color w:val="auto"/>
              </w:rPr>
            </w:pPr>
            <w:r>
              <w:rPr>
                <w:rFonts w:ascii="Arial" w:cs="Arial" w:eastAsia="Arial" w:hAnsi="Arial"/>
                <w:sz w:val="18"/>
                <w:szCs w:val="18"/>
                <w:color w:val="auto"/>
              </w:rPr>
              <w:t>Affiliated real estate joint ventures</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6,117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5,809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5,466</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ESW II</w:t>
            </w:r>
          </w:p>
        </w:tc>
        <w:tc>
          <w:tcPr>
            <w:tcW w:w="4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Affiliated real estate joint ventures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ESSM</w:t>
            </w:r>
          </w:p>
        </w:tc>
        <w:tc>
          <w:tcPr>
            <w:tcW w:w="4100" w:type="dxa"/>
            <w:vAlign w:val="bottom"/>
            <w:gridSpan w:val="3"/>
          </w:tcPr>
          <w:p>
            <w:pPr>
              <w:ind w:left="360"/>
              <w:spacing w:after="0"/>
              <w:rPr>
                <w:sz w:val="20"/>
                <w:szCs w:val="20"/>
                <w:color w:val="auto"/>
              </w:rPr>
            </w:pPr>
            <w:r>
              <w:rPr>
                <w:rFonts w:ascii="Arial" w:cs="Arial" w:eastAsia="Arial" w:hAnsi="Arial"/>
                <w:sz w:val="18"/>
                <w:szCs w:val="18"/>
                <w:color w:val="auto"/>
              </w:rPr>
              <w:t>Affiliated real estate joint ventures</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132</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WCOT</w:t>
            </w:r>
          </w:p>
        </w:tc>
        <w:tc>
          <w:tcPr>
            <w:tcW w:w="4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Affiliated real estate joint ventures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1,680</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PRISA II</w:t>
            </w:r>
          </w:p>
        </w:tc>
        <w:tc>
          <w:tcPr>
            <w:tcW w:w="4100" w:type="dxa"/>
            <w:vAlign w:val="bottom"/>
            <w:gridSpan w:val="3"/>
          </w:tcPr>
          <w:p>
            <w:pPr>
              <w:ind w:left="360"/>
              <w:spacing w:after="0"/>
              <w:rPr>
                <w:sz w:val="20"/>
                <w:szCs w:val="20"/>
                <w:color w:val="auto"/>
              </w:rPr>
            </w:pPr>
            <w:r>
              <w:rPr>
                <w:rFonts w:ascii="Arial" w:cs="Arial" w:eastAsia="Arial" w:hAnsi="Arial"/>
                <w:sz w:val="18"/>
                <w:szCs w:val="18"/>
                <w:color w:val="auto"/>
              </w:rPr>
              <w:t>Affiliated real estate joint ventures</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3,469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4,703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4,635</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ESW</w:t>
            </w:r>
          </w:p>
        </w:tc>
        <w:tc>
          <w:tcPr>
            <w:tcW w:w="4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Affiliated real estate joint ventures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ESNPS</w:t>
            </w:r>
          </w:p>
        </w:tc>
        <w:tc>
          <w:tcPr>
            <w:tcW w:w="4100" w:type="dxa"/>
            <w:vAlign w:val="bottom"/>
            <w:gridSpan w:val="3"/>
          </w:tcPr>
          <w:p>
            <w:pPr>
              <w:ind w:left="360"/>
              <w:spacing w:after="0"/>
              <w:rPr>
                <w:sz w:val="20"/>
                <w:szCs w:val="20"/>
                <w:color w:val="auto"/>
              </w:rPr>
            </w:pPr>
            <w:r>
              <w:rPr>
                <w:rFonts w:ascii="Arial" w:cs="Arial" w:eastAsia="Arial" w:hAnsi="Arial"/>
                <w:sz w:val="18"/>
                <w:szCs w:val="18"/>
                <w:color w:val="auto"/>
              </w:rPr>
              <w:t>Affiliated real estate joint ventures</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550</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HSRE-ESP IA, LLC ("HSRE")</w:t>
            </w:r>
          </w:p>
        </w:tc>
        <w:tc>
          <w:tcPr>
            <w:tcW w:w="4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Affiliated real estate joint ventures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1,201</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4100" w:type="dxa"/>
            <w:vAlign w:val="bottom"/>
            <w:gridSpan w:val="3"/>
          </w:tcPr>
          <w:p>
            <w:pPr>
              <w:ind w:left="360"/>
              <w:spacing w:after="0"/>
              <w:rPr>
                <w:sz w:val="20"/>
                <w:szCs w:val="20"/>
                <w:color w:val="auto"/>
              </w:rPr>
            </w:pPr>
            <w:r>
              <w:rPr>
                <w:rFonts w:ascii="Arial" w:cs="Arial" w:eastAsia="Arial" w:hAnsi="Arial"/>
                <w:sz w:val="18"/>
                <w:szCs w:val="18"/>
                <w:color w:val="auto"/>
              </w:rPr>
              <w:t>Franchisees, third parties and other</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23,385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16,674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10,336</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6"/>
        </w:trPr>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39,842</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34,161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28,215</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5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8300" w:type="dxa"/>
            <w:vAlign w:val="bottom"/>
            <w:gridSpan w:val="8"/>
          </w:tcPr>
          <w:p>
            <w:pPr>
              <w:ind w:left="400"/>
              <w:spacing w:after="0"/>
              <w:rPr>
                <w:sz w:val="20"/>
                <w:szCs w:val="20"/>
                <w:color w:val="auto"/>
              </w:rPr>
            </w:pPr>
            <w:r>
              <w:rPr>
                <w:rFonts w:ascii="Arial" w:cs="Arial" w:eastAsia="Arial" w:hAnsi="Arial"/>
                <w:sz w:val="18"/>
                <w:szCs w:val="18"/>
                <w:color w:val="auto"/>
                <w:w w:val="90"/>
              </w:rPr>
              <w:t>Receivables from related parties and affiliated real estate joint ventures balances are summarized as follows:</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99"/>
        </w:trPr>
        <w:tc>
          <w:tcPr>
            <w:tcW w:w="4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1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33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5"/>
              </w:rPr>
              <w:t>December 31, 2016</w:t>
            </w: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December 31, 2015</w:t>
            </w:r>
          </w:p>
        </w:tc>
      </w:tr>
      <w:tr>
        <w:trPr>
          <w:trHeight w:val="249"/>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Mortgage notes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15,860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Other receivables from stores</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2,205</w:t>
            </w:r>
          </w:p>
        </w:tc>
      </w:tr>
      <w:tr>
        <w:trPr>
          <w:trHeight w:val="27"/>
        </w:trPr>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33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16,611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right="120" w:firstLine="432"/>
        <w:spacing w:after="0" w:line="256" w:lineRule="auto"/>
        <w:rPr>
          <w:sz w:val="20"/>
          <w:szCs w:val="20"/>
          <w:color w:val="auto"/>
        </w:rPr>
      </w:pPr>
      <w:r>
        <w:rPr>
          <w:rFonts w:ascii="Arial" w:cs="Arial" w:eastAsia="Arial" w:hAnsi="Arial"/>
          <w:sz w:val="18"/>
          <w:szCs w:val="18"/>
          <w:color w:val="auto"/>
        </w:rPr>
        <w:t>Mortgage notes receivable consist of short-term mortgage notes to joint ventures and one three-year revolving line of credit to a joint venture. These short-term mortgage notes have a maturity of less than a year and the Company believes they are fully collectible. Other receivables from stores consist of amounts due for management fees, asset management fees and expenses paid on behalf of the stores that the Company manages. The Company believes that all of these related party and affiliated real estate joint venture receivables are fully collectible. The Company does not have any payables to related parties at December 31, 2016, or 2015.</w:t>
      </w:r>
    </w:p>
    <w:p>
      <w:pPr>
        <w:spacing w:after="0" w:line="191" w:lineRule="exact"/>
        <w:rPr>
          <w:sz w:val="20"/>
          <w:szCs w:val="20"/>
          <w:color w:val="auto"/>
        </w:rPr>
      </w:pPr>
    </w:p>
    <w:p>
      <w:pPr>
        <w:ind w:right="40" w:firstLine="432"/>
        <w:spacing w:after="0" w:line="275" w:lineRule="auto"/>
        <w:rPr>
          <w:sz w:val="20"/>
          <w:szCs w:val="20"/>
          <w:color w:val="auto"/>
        </w:rPr>
      </w:pPr>
      <w:r>
        <w:rPr>
          <w:rFonts w:ascii="Arial" w:cs="Arial" w:eastAsia="Arial" w:hAnsi="Arial"/>
          <w:sz w:val="17"/>
          <w:szCs w:val="17"/>
          <w:color w:val="auto"/>
        </w:rPr>
        <w:t>The Company has entered into an annual aircraft dry lease and service and management agreement with SpenAero, L.C. (“SpenAero”), an affiliate of Spencer F. Kirk, who was the Company's Chief Executive Officer through December 31, 2016 and continues to serve as a member of the Company's Board of Directors. Under the terms of the agreement, the Company pays a defined hourly rate for use of the aircraft. During the years ended December 31, 2016, 2015 and 2014, the Company paid SpenAero $1,180, $1,163 and $1,059, respectively. The services that the Company receives from SpenAero are similar in nature and comparable in price to those that are provided to other outside third parties.</w:t>
      </w:r>
    </w:p>
    <w:p>
      <w:pPr>
        <w:spacing w:after="0" w:line="279"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sz w:val="20"/>
          <w:szCs w:val="20"/>
          <w:color w:val="auto"/>
        </w:rPr>
      </w:pPr>
    </w:p>
    <w:p>
      <w:pPr>
        <w:ind w:right="360" w:firstLine="432"/>
        <w:spacing w:after="0" w:line="263" w:lineRule="auto"/>
        <w:rPr>
          <w:sz w:val="20"/>
          <w:szCs w:val="20"/>
          <w:color w:val="auto"/>
        </w:rPr>
      </w:pPr>
      <w:r>
        <w:rPr>
          <w:rFonts w:ascii="Arial" w:cs="Arial" w:eastAsia="Arial" w:hAnsi="Arial"/>
          <w:sz w:val="18"/>
          <w:szCs w:val="18"/>
          <w:color w:val="auto"/>
        </w:rPr>
        <w:t>The Company’s charter provides that it can issue up to 500,000,000 shares of common stock, $0.01 par value per share and 50,000,000 shares of preferred stock, $0.01 par value per share. As of December 31, 2016, 125,881,460 shares of common stock were issued and outstanding, and no shares of preferred stock were issued or outstanding.</w:t>
      </w:r>
    </w:p>
    <w:p>
      <w:pPr>
        <w:spacing w:after="0" w:line="183"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All holders of the Company's common stock are entitled to receive dividends and to one vote on all matters submitted to a vote of stockholders. The transfer agent and registrar for the Company’s common stock is American Stock Transfer &amp; Trust Company.</w:t>
      </w:r>
    </w:p>
    <w:p>
      <w:pPr>
        <w:spacing w:after="0" w:line="17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On August 28, 2015, the Company filed a $400,000 “at the market” equity program with the Securities and Exchange Commission, and entered into separate equity distribution agreements with five sales agents. On May 6, 2016, the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5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filed its current $400,000 "at the market" equity program with the Securities and Exchange Commission using a new shelf registration statement on Form S-3, and entered into separate equity distribution agreements with five sales agents. Under the terms of the current equity distribution agreements, the Company may from time to time offer and sell shares of common stock, up to the aggregate offering price of $400,000, through its sales agents. The current equity distribution agreements, dated May 6, 2016, replaced and superseded the previous equity distribution agreements, dated August 28, 2015.</w:t>
      </w:r>
    </w:p>
    <w:p>
      <w:pPr>
        <w:spacing w:after="0" w:line="156" w:lineRule="exact"/>
        <w:rPr>
          <w:sz w:val="20"/>
          <w:szCs w:val="20"/>
          <w:color w:val="auto"/>
        </w:rPr>
      </w:pPr>
    </w:p>
    <w:p>
      <w:pPr>
        <w:jc w:val="both"/>
        <w:ind w:right="280" w:firstLine="432"/>
        <w:spacing w:after="0" w:line="263" w:lineRule="auto"/>
        <w:rPr>
          <w:sz w:val="20"/>
          <w:szCs w:val="20"/>
          <w:color w:val="auto"/>
        </w:rPr>
      </w:pPr>
      <w:r>
        <w:rPr>
          <w:rFonts w:ascii="Arial" w:cs="Arial" w:eastAsia="Arial" w:hAnsi="Arial"/>
          <w:sz w:val="18"/>
          <w:szCs w:val="18"/>
          <w:color w:val="auto"/>
        </w:rPr>
        <w:t>During July 2016, the Company sold 550,000 shares of common stock under the current “at the market” equity program at an average sales price of $92.04 per share, resulting in net proceeds of $50,062. At December 31, 2016, the Company had $349,375 available for issuance under the existing equity distribution agreements.</w:t>
      </w:r>
    </w:p>
    <w:p>
      <w:pPr>
        <w:spacing w:after="0" w:line="183"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From January 1, 2016, through May 6, 2016, the Company sold 831,300 shares of common stock under the previous “at the market” equity program at an average sales price of $89.66 per share, resulting in net proceeds of $73,360.</w:t>
      </w:r>
    </w:p>
    <w:p>
      <w:pPr>
        <w:spacing w:after="0" w:line="170"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During September 2015, the Company sold 410,000 shares of common stock under the previous “at the market” equity program at an average sales price of $75.17 per share, resulting in net proceeds of $30,266.</w:t>
      </w:r>
    </w:p>
    <w:p>
      <w:pPr>
        <w:spacing w:after="0" w:line="170" w:lineRule="exact"/>
        <w:rPr>
          <w:sz w:val="20"/>
          <w:szCs w:val="20"/>
          <w:color w:val="auto"/>
        </w:rPr>
      </w:pPr>
    </w:p>
    <w:p>
      <w:pPr>
        <w:ind w:right="60" w:firstLine="432"/>
        <w:spacing w:after="0" w:line="307" w:lineRule="auto"/>
        <w:rPr>
          <w:sz w:val="20"/>
          <w:szCs w:val="20"/>
          <w:color w:val="auto"/>
        </w:rPr>
      </w:pPr>
      <w:r>
        <w:rPr>
          <w:rFonts w:ascii="Arial" w:cs="Arial" w:eastAsia="Arial" w:hAnsi="Arial"/>
          <w:sz w:val="17"/>
          <w:szCs w:val="17"/>
          <w:color w:val="auto"/>
        </w:rPr>
        <w:t>On June 22, 2015, the Company issued and sold 6,325,000 shares of its common stock in a public offering at a price of $68.15 per share. The Company received gross proceeds of $431,049. The underwriting discount and transaction costs were $14,438, resulting in net proceeds of $416,611.</w:t>
      </w:r>
    </w:p>
    <w:p>
      <w:pPr>
        <w:spacing w:after="0" w:line="251"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 REPRESENTED BY PREFERRED OPERATING PARTNERSHIP UNITS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Noncontrolling Interests</w:t>
      </w:r>
    </w:p>
    <w:p>
      <w:pPr>
        <w:spacing w:after="0" w:line="117" w:lineRule="exact"/>
        <w:rPr>
          <w:sz w:val="20"/>
          <w:szCs w:val="20"/>
          <w:color w:val="auto"/>
        </w:rPr>
      </w:pPr>
    </w:p>
    <w:p>
      <w:pPr>
        <w:ind w:right="40" w:firstLine="432"/>
        <w:spacing w:after="0" w:line="256" w:lineRule="auto"/>
        <w:rPr>
          <w:sz w:val="20"/>
          <w:szCs w:val="20"/>
          <w:color w:val="auto"/>
        </w:rPr>
      </w:pPr>
      <w:r>
        <w:rPr>
          <w:rFonts w:ascii="Arial" w:cs="Arial" w:eastAsia="Arial" w:hAnsi="Arial"/>
          <w:sz w:val="18"/>
          <w:szCs w:val="18"/>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191" w:lineRule="exact"/>
        <w:rPr>
          <w:sz w:val="20"/>
          <w:szCs w:val="20"/>
          <w:color w:val="auto"/>
        </w:rPr>
      </w:pPr>
    </w:p>
    <w:p>
      <w:pPr>
        <w:ind w:right="200" w:firstLine="432"/>
        <w:spacing w:after="0" w:line="275" w:lineRule="auto"/>
        <w:rPr>
          <w:sz w:val="20"/>
          <w:szCs w:val="20"/>
          <w:color w:val="auto"/>
        </w:rPr>
      </w:pPr>
      <w:r>
        <w:rPr>
          <w:rFonts w:ascii="Arial" w:cs="Arial" w:eastAsia="Arial" w:hAnsi="Arial"/>
          <w:sz w:val="17"/>
          <w:szCs w:val="17"/>
          <w:color w:val="auto"/>
        </w:rPr>
        <w:t>The Company has evaluated the terms of the Operating Partnership’s preferred units and classifies the noncontrolling interest represented by such preferred units as stockholders’ equity in the accompanying consolidated balance sheets. The Company will periodically evaluate individual noncontrolling interests for the ability to continue to recognize the noncontrolling amount as permanent equity in the consolidated balance sheets. Any noncontrolling interests that fail to qualify as permanent equity will be reclassified as temporary equity and adjusted to the greater of (1) the carrying amount, or (2) its redemption value as of the end of the period in which the determination is made.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Participating Redeemable Preferred Units</w:t>
      </w:r>
    </w:p>
    <w:p>
      <w:pPr>
        <w:spacing w:after="0" w:line="11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On June 15, 2007, the Operating Partnership entered into a Contribution Agreement with various limited partnerships affiliated with AAAAA Rent-A-Space to acquire ten stores in exchange for 989,980 Series A Units. The stores are located in California and Hawaii.</w:t>
      </w:r>
    </w:p>
    <w:p>
      <w:pPr>
        <w:spacing w:after="0" w:line="170" w:lineRule="exact"/>
        <w:rPr>
          <w:sz w:val="20"/>
          <w:szCs w:val="20"/>
          <w:color w:val="auto"/>
        </w:rPr>
      </w:pPr>
    </w:p>
    <w:p>
      <w:pPr>
        <w:ind w:right="120" w:firstLine="432"/>
        <w:spacing w:after="0" w:line="341" w:lineRule="auto"/>
        <w:rPr>
          <w:sz w:val="20"/>
          <w:szCs w:val="20"/>
          <w:color w:val="auto"/>
        </w:rPr>
      </w:pPr>
      <w:r>
        <w:rPr>
          <w:rFonts w:ascii="Arial" w:cs="Arial" w:eastAsia="Arial" w:hAnsi="Arial"/>
          <w:sz w:val="16"/>
          <w:szCs w:val="16"/>
          <w:color w:val="auto"/>
        </w:rPr>
        <w:t>The partnership agreement of the Operating Partnership (as amended, the “Partnership Agreement”) provides for the designation and issuance of the Series A Units. The Series A Units have priority over all other partnership interests of the Operating Partnership with respect to distributions and liquidation.</w:t>
      </w:r>
    </w:p>
    <w:p>
      <w:pPr>
        <w:spacing w:after="0" w:line="125"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Under the Partnership Agreement, Series A Units in the amount of $115,000 bear a fixed priority return of 5.0% and have a fixed liquidation value of $115,000. The remaining balance participates in distributions with, and has a liquidation value equal to, that of the common OP Units. The Series A Units became redeemable at the option of the holder on September 1, 2008, which redemption obligation may be satisfied, at the Company’s option, in cash or shares of its common stock.</w:t>
      </w:r>
    </w:p>
    <w:p>
      <w:pPr>
        <w:spacing w:after="0" w:line="186"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On June 25, 2007, the Operating Partnership loaned the holders of the Series A Units $100,000. The note receivable bears interest at 4.85%. During 2013, a loan amendment was signed extending the maturity date to September 1, 2020. The loan is secured by the borrower’s Series A Units. The holders of the Series A Units could redeem up to 114,500 Series A Units prior to the maturity date of the loan. If any redemption in excess of 114,500 Series A Units occurs prior to the maturity date, the holder</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1" w:right="2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of the Series A Units is required to repay the loan as of the date of that redemption. On October 3, 2014, the holders of the Series A Units redeemed 114,500 Series A Units for $4,794 in cash and 280,331 shares of common stock. No additional redemption of Series A Units can be made without repayment of the loan. The Series A Units are shown on the balance sheet net of the $100,000 loan because the borrower under the loan receivable is also the holder of the Series A Units.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Redeemable Preferred Units</w:t>
      </w:r>
    </w:p>
    <w:p>
      <w:pPr>
        <w:spacing w:after="0" w:line="117"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On April 3, 2014, the Operating Partnership completed the purchase of a store located in Georgia. This store was acquired in exchange for $15,158 of cash and 333,360 Series B Units valued at $8,334.</w:t>
      </w:r>
    </w:p>
    <w:p>
      <w:pPr>
        <w:spacing w:after="0" w:line="170"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On August 29, 2013, the Operating Partnership completed the purchase of 19 out of 20 stores affiliated with All Aboard Mini Storage, all of which are located in California. On September 26, 2013, the Operating Partnership completed the purchase of the remaining facility. These stores were acquired in exchange for $100,876 in cash (including $98,960 of debt assumed and immediately defeased at closing), 1,342,727 Series B Units valued at $33,568, and 1,448,108 common OP Units valued at $62,341.</w:t>
      </w:r>
    </w:p>
    <w:p>
      <w:pPr>
        <w:spacing w:after="0" w:line="186" w:lineRule="exact"/>
        <w:rPr>
          <w:sz w:val="20"/>
          <w:szCs w:val="20"/>
          <w:color w:val="auto"/>
        </w:rPr>
      </w:pPr>
    </w:p>
    <w:p>
      <w:pPr>
        <w:jc w:val="both"/>
        <w:ind w:right="260" w:firstLine="432"/>
        <w:spacing w:after="0" w:line="263" w:lineRule="auto"/>
        <w:rPr>
          <w:sz w:val="20"/>
          <w:szCs w:val="20"/>
          <w:color w:val="auto"/>
        </w:rPr>
      </w:pPr>
      <w:r>
        <w:rPr>
          <w:rFonts w:ascii="Arial" w:cs="Arial" w:eastAsia="Arial" w:hAnsi="Arial"/>
          <w:sz w:val="18"/>
          <w:szCs w:val="18"/>
          <w:color w:val="auto"/>
        </w:rPr>
        <w:t>The Partnership Agreement provides for the designation and issuance of the Series B Units. The Series B Units rank junior to the Series A Units, on parity with the Series C Units and Series D Units, and senior to all other partnership interests of the Operating Partnership with respect to distributions and liquidation.</w:t>
      </w:r>
    </w:p>
    <w:p>
      <w:pPr>
        <w:spacing w:after="0" w:line="183" w:lineRule="exact"/>
        <w:rPr>
          <w:sz w:val="20"/>
          <w:szCs w:val="20"/>
          <w:color w:val="auto"/>
        </w:rPr>
      </w:pPr>
    </w:p>
    <w:p>
      <w:pPr>
        <w:ind w:right="760" w:firstLine="432"/>
        <w:spacing w:after="0" w:line="311" w:lineRule="auto"/>
        <w:rPr>
          <w:sz w:val="20"/>
          <w:szCs w:val="20"/>
          <w:color w:val="auto"/>
        </w:rPr>
      </w:pPr>
      <w:r>
        <w:rPr>
          <w:rFonts w:ascii="Arial" w:cs="Arial" w:eastAsia="Arial" w:hAnsi="Arial"/>
          <w:sz w:val="16"/>
          <w:szCs w:val="16"/>
          <w:color w:val="auto"/>
        </w:rPr>
        <w:t>The Series B Units have a liquidation value of $25.00 per unit for a fixed liquidation value of $41,903. Holders of the Series B Units receive distributions at an annual rate of 6.0%. These distributions are cumulative. The Series B Units are redeemable at the option of the holder on the first anniversary of the date of issuance, which redemption obligations may be satisfied at the Company’s option in cash or shares of its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Convertible Redeemable Preferred Units</w:t>
      </w:r>
    </w:p>
    <w:p>
      <w:pPr>
        <w:spacing w:after="0" w:line="117" w:lineRule="exact"/>
        <w:rPr>
          <w:sz w:val="20"/>
          <w:szCs w:val="20"/>
          <w:color w:val="auto"/>
        </w:rPr>
      </w:pPr>
    </w:p>
    <w:p>
      <w:pPr>
        <w:ind w:firstLine="432"/>
        <w:spacing w:after="0" w:line="256" w:lineRule="auto"/>
        <w:rPr>
          <w:sz w:val="20"/>
          <w:szCs w:val="20"/>
          <w:color w:val="auto"/>
        </w:rPr>
      </w:pPr>
      <w:r>
        <w:rPr>
          <w:rFonts w:ascii="Arial" w:cs="Arial" w:eastAsia="Arial" w:hAnsi="Arial"/>
          <w:sz w:val="18"/>
          <w:szCs w:val="18"/>
          <w:color w:val="auto"/>
        </w:rPr>
        <w:t>On November 19, 2013, the Operating Partnership entered into Contribution Agreements with various entities affiliated with Grupe, under which the Company agreed to acquire twelve stores, all of which are located in California. The Company completed the purchase of these stores between December 2013 and May 2014. The Company previously held a 35% interest in five of these stores and a 40% interest in one store all through six separate joint ventures with Grupe. These stores were acquired in exchange for a total of approximately $45,722 of cash, the assumption of $37,532 in existing debt, and the issuance of 704,016 Series C Units valued at $30,960.</w:t>
      </w:r>
    </w:p>
    <w:p>
      <w:pPr>
        <w:spacing w:after="0" w:line="191" w:lineRule="exact"/>
        <w:rPr>
          <w:sz w:val="20"/>
          <w:szCs w:val="20"/>
          <w:color w:val="auto"/>
        </w:rPr>
      </w:pPr>
    </w:p>
    <w:p>
      <w:pPr>
        <w:jc w:val="both"/>
        <w:ind w:right="260" w:firstLine="432"/>
        <w:spacing w:after="0" w:line="263" w:lineRule="auto"/>
        <w:rPr>
          <w:sz w:val="20"/>
          <w:szCs w:val="20"/>
          <w:color w:val="auto"/>
        </w:rPr>
      </w:pPr>
      <w:r>
        <w:rPr>
          <w:rFonts w:ascii="Arial" w:cs="Arial" w:eastAsia="Arial" w:hAnsi="Arial"/>
          <w:sz w:val="18"/>
          <w:szCs w:val="18"/>
          <w:color w:val="auto"/>
        </w:rPr>
        <w:t>The Partnership Agreement provides for the designation and issuance of the Series C Units. The Series C Units rank junior to the Series A Units, on parity with the Series B Units and Series D Units, and senior to all other partnership interests of the Operating Partnership with respect to distributions and liquidation.</w:t>
      </w:r>
    </w:p>
    <w:p>
      <w:pPr>
        <w:spacing w:after="0" w:line="183"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The Series C Units have a liquidation value of $42.10 per unit for a fixed liquidation value of $29,639. From issuance to the fifth anniversary of issuance, each Series C Unit holder will receive quarterly distributions equal to the quarterly distribution for common OP Unit plus $0.18. Beginning on the fifth anniversary of issuance, each Series C Unit holder will receive a fixed quarterly distribution equal to the aggregate quarterly distribution payable in respect of such Series C Unit during the four quarters immediately preceding the fifth anniversary of issuance divided by four. These distributions are cumulative. The Series C Units will become redeemable at the option of the holder one year from the date of issuance, which redemption obligation may be satisfied at the Company’s option in cash or shares of its common stock. The Series C Units will also become convertible into common OP Units at the option of the holder one year from the date of issuance, at a rate of 0.9145 common OP Units per Series C Unit converted. This conversion option expires upon the fifth anniversary of the date of issuance.</w:t>
      </w:r>
    </w:p>
    <w:p>
      <w:pPr>
        <w:spacing w:after="0" w:line="190" w:lineRule="exact"/>
        <w:rPr>
          <w:sz w:val="20"/>
          <w:szCs w:val="20"/>
          <w:color w:val="auto"/>
        </w:rPr>
      </w:pPr>
    </w:p>
    <w:p>
      <w:pPr>
        <w:ind w:right="60" w:firstLine="432"/>
        <w:spacing w:after="0" w:line="263" w:lineRule="auto"/>
        <w:rPr>
          <w:sz w:val="20"/>
          <w:szCs w:val="20"/>
          <w:color w:val="auto"/>
        </w:rPr>
      </w:pPr>
      <w:r>
        <w:rPr>
          <w:rFonts w:ascii="Arial" w:cs="Arial" w:eastAsia="Arial" w:hAnsi="Arial"/>
          <w:sz w:val="18"/>
          <w:szCs w:val="18"/>
          <w:color w:val="auto"/>
        </w:rPr>
        <w:t>In December 2014, the Operating Partnership loaned holders of the Series C Units $20,230. The notes receivable, which are collateralized by the Series C Units, bear interest at 5.0% and mature on December 15, 2024. The Series C Units are shown on the balance sheet net of the $20,230 loan because the borrower under the loan receivable is also the holder of the Series C Units.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 Redeemable Preferred Units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21" w:right="2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On November 8, 2016, the Operating Partnership completed the acquisition of a store located in Illinois. This store was acquired in exchange for 486,244 Series D-4 Preferred Units ("D-4 Units") valued at $12,156.</w:t>
      </w:r>
    </w:p>
    <w:p>
      <w:pPr>
        <w:spacing w:after="0" w:line="170"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On May 21, 2016, the Operating Partnership completed the acquisition of four stores located in Illinois. These stores were acquired in exchange for 2,201,467 Series D-3 Preferred Units ("D-3 Units") valued at $55,037.</w:t>
      </w:r>
    </w:p>
    <w:p>
      <w:pPr>
        <w:spacing w:after="0" w:line="170" w:lineRule="exact"/>
        <w:rPr>
          <w:sz w:val="20"/>
          <w:szCs w:val="20"/>
          <w:color w:val="auto"/>
        </w:rPr>
      </w:pPr>
    </w:p>
    <w:p>
      <w:pPr>
        <w:ind w:right="80" w:firstLine="432"/>
        <w:spacing w:after="0" w:line="341" w:lineRule="auto"/>
        <w:rPr>
          <w:sz w:val="20"/>
          <w:szCs w:val="20"/>
          <w:color w:val="auto"/>
        </w:rPr>
      </w:pPr>
      <w:r>
        <w:rPr>
          <w:rFonts w:ascii="Arial" w:cs="Arial" w:eastAsia="Arial" w:hAnsi="Arial"/>
          <w:sz w:val="16"/>
          <w:szCs w:val="16"/>
          <w:color w:val="auto"/>
        </w:rPr>
        <w:t>In December 2014, the Operating Partnership completed the acquisition of a store located in Florida. This store was acquired in exchange for $5,621 in cash and 548,390 Series D-1 Preferred Units ("D-1 Units," and together with the D-4 Units and D-3 Units, "Series D Units") valued at $13,710.</w:t>
      </w:r>
    </w:p>
    <w:p>
      <w:pPr>
        <w:spacing w:after="0" w:line="125" w:lineRule="exact"/>
        <w:rPr>
          <w:sz w:val="20"/>
          <w:szCs w:val="20"/>
          <w:color w:val="auto"/>
        </w:rPr>
      </w:pPr>
    </w:p>
    <w:p>
      <w:pPr>
        <w:jc w:val="both"/>
        <w:ind w:right="300" w:firstLine="432"/>
        <w:spacing w:after="0" w:line="263" w:lineRule="auto"/>
        <w:rPr>
          <w:sz w:val="20"/>
          <w:szCs w:val="20"/>
          <w:color w:val="auto"/>
        </w:rPr>
      </w:pPr>
      <w:r>
        <w:rPr>
          <w:rFonts w:ascii="Arial" w:cs="Arial" w:eastAsia="Arial" w:hAnsi="Arial"/>
          <w:sz w:val="18"/>
          <w:szCs w:val="18"/>
          <w:color w:val="auto"/>
        </w:rPr>
        <w:t>The Partnership Agreement provides for the designation and issuance of the Series D Units. The Series D Units rank junior to the Series A Units, on parity with the Series B Units and Series C Units, and senior to all other partnership interest of the Operating Partnership with respect to distributions and liquidation.</w:t>
      </w:r>
    </w:p>
    <w:p>
      <w:pPr>
        <w:spacing w:after="0" w:line="183" w:lineRule="exact"/>
        <w:rPr>
          <w:sz w:val="20"/>
          <w:szCs w:val="20"/>
          <w:color w:val="auto"/>
        </w:rPr>
      </w:pPr>
    </w:p>
    <w:p>
      <w:pPr>
        <w:ind w:right="60" w:firstLine="432"/>
        <w:spacing w:after="0" w:line="256" w:lineRule="auto"/>
        <w:rPr>
          <w:sz w:val="20"/>
          <w:szCs w:val="20"/>
          <w:color w:val="auto"/>
        </w:rPr>
      </w:pPr>
      <w:r>
        <w:rPr>
          <w:rFonts w:ascii="Arial" w:cs="Arial" w:eastAsia="Arial" w:hAnsi="Arial"/>
          <w:sz w:val="18"/>
          <w:szCs w:val="18"/>
          <w:color w:val="auto"/>
        </w:rPr>
        <w:t>The Series D Units have a liquidation value of $25.00 per unit, for a fixed liquidation value of $80,903. Holders of the Series D Units receive distributions at an annual rate between 3.5% and 5.0%. These distributions are cumulative. The Series D Units will become redeemable at the option of the holder on the first anniversary of the date of issuance, which redemption obligation may be satisfied at the Company’s option in cash or shares of its common stock. In addition, the D-3 Units are exchangeable for common OP Units until the tenth anniversary of the date of issuance. The D-1 Units and D-4 Units are not exchangeable for common OP Units.</w:t>
      </w:r>
    </w:p>
    <w:p>
      <w:pPr>
        <w:spacing w:after="0" w:line="295"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 IN OPERATING PARTNERSHIP</w:t>
      </w:r>
    </w:p>
    <w:p>
      <w:pPr>
        <w:spacing w:after="0" w:line="121" w:lineRule="exact"/>
        <w:rPr>
          <w:sz w:val="20"/>
          <w:szCs w:val="20"/>
          <w:color w:val="auto"/>
        </w:rPr>
      </w:pPr>
    </w:p>
    <w:p>
      <w:pPr>
        <w:ind w:firstLine="432"/>
        <w:spacing w:after="0" w:line="256" w:lineRule="auto"/>
        <w:rPr>
          <w:sz w:val="20"/>
          <w:szCs w:val="20"/>
          <w:color w:val="auto"/>
        </w:rPr>
      </w:pPr>
      <w:r>
        <w:rPr>
          <w:rFonts w:ascii="Arial" w:cs="Arial" w:eastAsia="Arial" w:hAnsi="Arial"/>
          <w:sz w:val="18"/>
          <w:szCs w:val="18"/>
          <w:color w:val="auto"/>
        </w:rPr>
        <w:t>The Company’s interest in its stores is held through the Operating Partnership. ESS Holding Business Trust I, a wholly-owned subsidiary of the Company, is the sole general partner of the Operating Partnership. ESS Business Trust II, also a wholly-owned subsidiary of the Company, is a limited partner of the Operating Partnership. Between its general partner and limited partner interests, the Company held a 91.2% majority ownership interest therein as of December 31, 2016. The remaining ownership interests in the Operating Partnership (including Preferred Operating Partnership units) of 8.8% are held by certain former owners of assets acquired by the Operating Partnership.</w:t>
      </w:r>
    </w:p>
    <w:p>
      <w:pPr>
        <w:spacing w:after="0" w:line="191" w:lineRule="exact"/>
        <w:rPr>
          <w:sz w:val="20"/>
          <w:szCs w:val="20"/>
          <w:color w:val="auto"/>
        </w:rPr>
      </w:pPr>
    </w:p>
    <w:p>
      <w:pPr>
        <w:ind w:right="140" w:firstLine="432"/>
        <w:spacing w:after="0" w:line="271" w:lineRule="auto"/>
        <w:rPr>
          <w:sz w:val="20"/>
          <w:szCs w:val="20"/>
          <w:color w:val="auto"/>
        </w:rPr>
      </w:pPr>
      <w:r>
        <w:rPr>
          <w:rFonts w:ascii="Arial" w:cs="Arial" w:eastAsia="Arial" w:hAnsi="Arial"/>
          <w:sz w:val="17"/>
          <w:szCs w:val="17"/>
          <w:color w:val="auto"/>
        </w:rPr>
        <w:t>The noncontrolling interest in the Operating Partnership represents OP Units that are not owned by the Company. In conjunction with the formation of the Company and as a result of subsequent acquisitions, certain persons and entities contributing interests in stores to the Operating Partnership received limited partnership units in the form of OP Units. Limited partners who received OP Units in the formation transactions or in exchange for contributions for interests in stores have the right to require the Operating Partnership to redeem part or all of their OP Units for cash based upon the fair market value of an equivalent number of shares of the Company’s common stock (based on the ten-day average trading price) at the time of the redemption. Alternatively, the Company may, at its sole discretion, elect to acquire those OP Units in exchange for shares of its common stock on a one-for-one basis, subject to anti-dilution adjustments provided in the Operating Partnership agreement. The ten-day average closing stock price at December 31, 2016, was $74.87 and there were 5,608,038 OP Units outstanding.</w:t>
      </w:r>
    </w:p>
    <w:p>
      <w:pPr>
        <w:spacing w:after="0" w:line="17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Assuming that all of the OP Unit holders exercised their right to redeem all of their OP Units on December 31, 2016 and the Company elected to pay the OP Unit holders cash, the Company would have paid $419,874 in cash consideration to redeem the units.</w:t>
      </w:r>
    </w:p>
    <w:p>
      <w:pPr>
        <w:spacing w:after="0" w:line="17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During the years ended December 31, 2016, 2015, and 2014, a total of 23,850 OP Units, 787,850 OP Units, and 18,859 OP Units, respectively, were redeemed in exchange for the Company’s common stock.</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November 2016, 6,760 OP Units were redeemed for $506 in cash.</w:t>
      </w:r>
    </w:p>
    <w:p>
      <w:pPr>
        <w:spacing w:after="0" w:line="22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On November 2, 2016, the Company purchased one store located in Maryland. As part of the consideration for this acquisition, 77,575 OP units were issued with a total value of $5,842.</w:t>
      </w:r>
    </w:p>
    <w:p>
      <w:pPr>
        <w:spacing w:after="0" w:line="17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On June 30, 2016, the Company purchased one store located in Georgia. As part of the consideration for this acquisition, 13,764 OP Units were issued with a total value of $1,200.</w:t>
      </w:r>
    </w:p>
    <w:p>
      <w:pPr>
        <w:spacing w:after="0" w:line="17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On May 31, 2016, the Company purchased 50% undivided interest in vacant land in California. As part of the consideration for this acquisition, 2,230 OP Units were issued with a total value of $205.</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21" w:right="2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On November 13, 2015, the Company purchased one store located in Texas. As part of the consideration for this acquisition, 91,434 OP Units were issued with a total value of $7,221.</w:t>
      </w:r>
    </w:p>
    <w:p>
      <w:pPr>
        <w:spacing w:after="0" w:line="17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On October 1, 2015, the Company acquired SmartStop. As part of the consideration for this acquisition, 376,848 OP Units were issued with a total value of $28,656.</w:t>
      </w:r>
    </w:p>
    <w:p>
      <w:pPr>
        <w:spacing w:after="0" w:line="17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On June 18, 2015, the Company purchased one store located in Florida. As part of the consideration for this acquisition, 71,054 OP Units were issued with a total value of $4,773.</w:t>
      </w:r>
    </w:p>
    <w:p>
      <w:pPr>
        <w:spacing w:after="0" w:line="17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On April 15, 2015, the Company purchased 22 stores located in Arizona and Texas. As part of the consideration for this acquisition, 1,504,277 OP Units were issued with a total value of $101,749.</w:t>
      </w:r>
    </w:p>
    <w:p>
      <w:pPr>
        <w:spacing w:after="0" w:line="170" w:lineRule="exact"/>
        <w:rPr>
          <w:sz w:val="20"/>
          <w:szCs w:val="20"/>
          <w:color w:val="auto"/>
        </w:rPr>
      </w:pPr>
    </w:p>
    <w:p>
      <w:pPr>
        <w:ind w:right="60" w:firstLine="432"/>
        <w:spacing w:after="0" w:line="256" w:lineRule="auto"/>
        <w:rPr>
          <w:sz w:val="20"/>
          <w:szCs w:val="20"/>
          <w:color w:val="auto"/>
        </w:rPr>
      </w:pPr>
      <w:r>
        <w:rPr>
          <w:rFonts w:ascii="Arial" w:cs="Arial" w:eastAsia="Arial" w:hAnsi="Arial"/>
          <w:sz w:val="18"/>
          <w:szCs w:val="18"/>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191" w:lineRule="exact"/>
        <w:rPr>
          <w:sz w:val="20"/>
          <w:szCs w:val="20"/>
          <w:color w:val="auto"/>
        </w:rPr>
      </w:pPr>
    </w:p>
    <w:p>
      <w:pPr>
        <w:ind w:right="260" w:firstLine="432"/>
        <w:spacing w:after="0" w:line="256" w:lineRule="auto"/>
        <w:rPr>
          <w:sz w:val="20"/>
          <w:szCs w:val="20"/>
          <w:color w:val="auto"/>
        </w:rPr>
      </w:pPr>
      <w:r>
        <w:rPr>
          <w:rFonts w:ascii="Arial" w:cs="Arial" w:eastAsia="Arial" w:hAnsi="Arial"/>
          <w:sz w:val="18"/>
          <w:szCs w:val="18"/>
          <w:color w:val="auto"/>
        </w:rPr>
        <w:t>The Company has evaluated the terms of the common OP Units and classifies the noncontrolling interest represented by the common OP Units as stockholders’ equity in the accompanying consolidated balance sheets. The Company will periodically evaluate individual noncontrolling interests for the ability to continue to recognize the noncontrolling amount as permanent equity in the consolidated balance sheets. Any noncontrolling interests that fail to qualify as permanent equity will be reclassified as temporary equity and adjusted to the greater of (1) the carrying amount, or (2) its redemption value as of the end of the period in which the determination is made.</w:t>
      </w:r>
    </w:p>
    <w:p>
      <w:pPr>
        <w:spacing w:after="0" w:line="295"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OTHER NONCONTROLLING INTERESTS</w:t>
      </w:r>
    </w:p>
    <w:p>
      <w:pPr>
        <w:spacing w:after="0" w:line="121" w:lineRule="exact"/>
        <w:rPr>
          <w:sz w:val="20"/>
          <w:szCs w:val="20"/>
          <w:color w:val="auto"/>
        </w:rPr>
      </w:pPr>
    </w:p>
    <w:p>
      <w:pPr>
        <w:ind w:right="80" w:firstLine="432"/>
        <w:spacing w:after="0" w:line="301" w:lineRule="auto"/>
        <w:rPr>
          <w:sz w:val="20"/>
          <w:szCs w:val="20"/>
          <w:color w:val="auto"/>
        </w:rPr>
      </w:pPr>
      <w:r>
        <w:rPr>
          <w:rFonts w:ascii="Arial" w:cs="Arial" w:eastAsia="Arial" w:hAnsi="Arial"/>
          <w:sz w:val="16"/>
          <w:szCs w:val="16"/>
          <w:color w:val="auto"/>
        </w:rPr>
        <w:t>Other noncontrolling interests represent the ownership interest of a third party in one consolidated joint venture as of December 31, 2016. This joint venture owns an operating store in Texas. The voting interest of the third-party owner is 20.0%. Other noncontrolling interests are included in the stockholders’ equity section of the Company’s consolidated balance sheets. The income or losses attributable to this third-party owner based on its ownership percentage are reflected in net income allocated to Operating Partnership and other noncontrolling interests in the consolidated statements of operations.</w:t>
      </w:r>
    </w:p>
    <w:p>
      <w:pPr>
        <w:spacing w:after="0" w:line="156"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On August 1, 2016, the Company purchased its joint venture partner's remaining 3.3% interest in an existing joint venture in exchange for 8,889 OP Units, valued at $800. This joint venture owned one store located in California, and as a result of this purchase, this store became wholly-owned by the Company. Prior to this acquisition, the partner's interest was reported in other noncontrolling interests. Since the Company retained its controlling interest in the joint venture, this transaction was accounted for as an equity transaction. The carrying amount of the noncontrolling interest was reduced to zero to reflect the purchase, and the difference between the price paid by the Company and the carrying value of the noncontrolling interest was recorded as an adjustment to equity attributable to the Company.</w:t>
      </w:r>
    </w:p>
    <w:p>
      <w:pPr>
        <w:spacing w:after="0" w:line="191" w:lineRule="exact"/>
        <w:rPr>
          <w:sz w:val="20"/>
          <w:szCs w:val="20"/>
          <w:color w:val="auto"/>
        </w:rPr>
      </w:pPr>
    </w:p>
    <w:p>
      <w:pPr>
        <w:ind w:right="280" w:firstLine="432"/>
        <w:spacing w:after="0" w:line="273" w:lineRule="auto"/>
        <w:rPr>
          <w:sz w:val="20"/>
          <w:szCs w:val="20"/>
          <w:color w:val="auto"/>
        </w:rPr>
      </w:pPr>
      <w:r>
        <w:rPr>
          <w:rFonts w:ascii="Arial" w:cs="Arial" w:eastAsia="Arial" w:hAnsi="Arial"/>
          <w:sz w:val="17"/>
          <w:szCs w:val="17"/>
          <w:color w:val="auto"/>
        </w:rPr>
        <w:t>On June 11, 2015, the Company purchased its joint venture partner’s remaining 1% interest in the HSRE joint venture for $1,267. The joint venture owned 19 properties in California, Florida, Nevada, Ohio, Pennsylvania, Tennessee, Texas and Virginia, and as a result of this purchase, these properties became wholly-owned by the Company. Prior to this acquisition, the partner’s interest was reported in other noncontrolling interests. Since the Company retained its controlling interest in the subsidiary, this transaction was accounted for as an equity transaction. The carrying amount of the noncontrolling interest was reduced to zero to reflect the purchase, and the difference between the price paid by the Company and the carrying value of the noncontrolling interest was recorded as an adjustment to equity attributable to the Company.</w:t>
      </w:r>
    </w:p>
    <w:p>
      <w:pPr>
        <w:spacing w:after="0" w:line="200" w:lineRule="exact"/>
        <w:rPr>
          <w:sz w:val="20"/>
          <w:szCs w:val="20"/>
          <w:color w:val="auto"/>
        </w:rPr>
      </w:pPr>
    </w:p>
    <w:p>
      <w:pPr>
        <w:spacing w:after="0" w:line="296"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0"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2016, 1,934,735 shares were available for issuance under the Company’s 2015 Incentive Award Plan (the “Plan”).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0" w:firstLine="432"/>
        <w:spacing w:after="0" w:line="256" w:lineRule="auto"/>
        <w:rPr>
          <w:sz w:val="20"/>
          <w:szCs w:val="20"/>
          <w:color w:val="auto"/>
        </w:rPr>
      </w:pPr>
      <w:r>
        <w:rPr>
          <w:rFonts w:ascii="Arial" w:cs="Arial" w:eastAsia="Arial" w:hAnsi="Arial"/>
          <w:sz w:val="18"/>
          <w:szCs w:val="18"/>
          <w:color w:val="auto"/>
        </w:rPr>
        <w:t>Option grants are issued with an exercise price equal to the closing price of stock on the date of grant. Unless otherwise determined by the Compensation, Nominating and Governance Committee (“CNG Committee”) at the time of grant, options shall vest ratably over a four-year period beginning on the date of grant. Each option will be exercisable once it has vested. Options are exercisable at such times and subject to such terms as determined by the CNG Committee, but under no circumstances may be exercised if such exercise would cause a violation of the ownership limit in the Company’s charter. Options expire 10 years from the date of grant.</w:t>
      </w:r>
    </w:p>
    <w:p>
      <w:pPr>
        <w:spacing w:after="0" w:line="191" w:lineRule="exact"/>
        <w:rPr>
          <w:sz w:val="20"/>
          <w:szCs w:val="20"/>
          <w:color w:val="auto"/>
        </w:rPr>
      </w:pPr>
    </w:p>
    <w:p>
      <w:pPr>
        <w:ind w:right="200" w:firstLine="432"/>
        <w:spacing w:after="0" w:line="256" w:lineRule="auto"/>
        <w:rPr>
          <w:sz w:val="20"/>
          <w:szCs w:val="20"/>
          <w:color w:val="auto"/>
        </w:rPr>
      </w:pPr>
      <w:r>
        <w:rPr>
          <w:rFonts w:ascii="Arial" w:cs="Arial" w:eastAsia="Arial" w:hAnsi="Arial"/>
          <w:sz w:val="18"/>
          <w:szCs w:val="18"/>
          <w:color w:val="auto"/>
        </w:rPr>
        <w:t>Also as defined under the terms of the Plan, restricted stock grants may be awarded. The stock grants are subject to a vesting period over which the restrictions are released and the stock certificates are given to the grantee. During the performance or vesting period, the grantee is not permitted to sell, transfer, pledge, encumber or assign shares of restricted stock granted under the Plan; however, the grantee has the ability to vote the shares and receive nonforfeitable dividends paid on shares. Unless otherwise determined by the CNG Committee at the time of grant, the forfeiture and transfer restrictions on the shares lapse over a four-year period beginning on the date of grant.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stock option activity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14"/>
                <w:szCs w:val="14"/>
                <w:color w:val="auto"/>
              </w:rPr>
            </w:pPr>
          </w:p>
        </w:tc>
        <w:tc>
          <w:tcPr>
            <w:tcW w:w="134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3"/>
              </w:rPr>
              <w:t>Weighted Average</w:t>
            </w: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Options</w:t>
            </w:r>
          </w:p>
        </w:tc>
        <w:tc>
          <w:tcPr>
            <w:tcW w:w="16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Value as of December</w:t>
            </w:r>
          </w:p>
        </w:tc>
        <w:tc>
          <w:tcPr>
            <w:tcW w:w="0" w:type="dxa"/>
            <w:vAlign w:val="bottom"/>
          </w:tcPr>
          <w:p>
            <w:pPr>
              <w:spacing w:after="0"/>
              <w:rPr>
                <w:sz w:val="1"/>
                <w:szCs w:val="1"/>
                <w:color w:val="auto"/>
              </w:rPr>
            </w:pPr>
          </w:p>
        </w:tc>
      </w:tr>
      <w:tr>
        <w:trPr>
          <w:trHeight w:val="192"/>
        </w:trPr>
        <w:tc>
          <w:tcPr>
            <w:tcW w:w="5140" w:type="dxa"/>
            <w:vAlign w:val="bottom"/>
            <w:vMerge w:val="continue"/>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212"/>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Pr>
          <w:p>
            <w:pPr>
              <w:spacing w:after="0"/>
              <w:rPr>
                <w:sz w:val="16"/>
                <w:szCs w:val="16"/>
                <w:color w:val="auto"/>
              </w:rPr>
            </w:pPr>
          </w:p>
        </w:tc>
        <w:tc>
          <w:tcPr>
            <w:tcW w:w="134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31, 2016</w:t>
            </w:r>
          </w:p>
        </w:tc>
        <w:tc>
          <w:tcPr>
            <w:tcW w:w="0" w:type="dxa"/>
            <w:vAlign w:val="bottom"/>
          </w:tcPr>
          <w:p>
            <w:pPr>
              <w:spacing w:after="0"/>
              <w:rPr>
                <w:sz w:val="1"/>
                <w:szCs w:val="1"/>
                <w:color w:val="auto"/>
              </w:rPr>
            </w:pPr>
          </w:p>
        </w:tc>
      </w:tr>
      <w:tr>
        <w:trPr>
          <w:trHeight w:val="249"/>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2013</w:t>
            </w:r>
          </w:p>
        </w:tc>
        <w:tc>
          <w:tcPr>
            <w:tcW w:w="15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754,624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31,000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47.50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(211,747)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(5,150)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568,727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89,575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69.93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(5,699)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572,629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35,800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85.99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510,574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30.60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24,129</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40" w:type="dxa"/>
            <w:vAlign w:val="bottom"/>
          </w:tcPr>
          <w:p>
            <w:pPr>
              <w:ind w:left="40"/>
              <w:spacing w:after="0"/>
              <w:rPr>
                <w:sz w:val="20"/>
                <w:szCs w:val="20"/>
                <w:color w:val="auto"/>
              </w:rPr>
            </w:pPr>
            <w:r>
              <w:rPr>
                <w:rFonts w:ascii="Arial" w:cs="Arial" w:eastAsia="Arial" w:hAnsi="Arial"/>
                <w:sz w:val="18"/>
                <w:szCs w:val="18"/>
                <w:color w:val="auto"/>
              </w:rPr>
              <w:t>Vested and Expected to Vest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494,881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29.20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24,038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Exercisable</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384,810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17.82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22,865</w:t>
            </w:r>
          </w:p>
        </w:tc>
        <w:tc>
          <w:tcPr>
            <w:tcW w:w="0" w:type="dxa"/>
            <w:vAlign w:val="bottom"/>
          </w:tcPr>
          <w:p>
            <w:pPr>
              <w:spacing w:after="0"/>
              <w:rPr>
                <w:sz w:val="1"/>
                <w:szCs w:val="1"/>
                <w:color w:val="auto"/>
              </w:rPr>
            </w:pPr>
          </w:p>
        </w:tc>
      </w:tr>
      <w:tr>
        <w:trPr>
          <w:trHeight w:val="27"/>
        </w:trPr>
        <w:tc>
          <w:tcPr>
            <w:tcW w:w="51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aggregate intrinsic value in the table above represents the total value (the difference between the Company’s closing stock price on the last trading day of 2016 and the exercise price, multiplied by the number of in-the-money options) that would have been received by the option holders had all option holders exercised their options on December 31, 2016. The amount of aggregate intrinsic value will change based on the fair market value of the Company’s stock.</w:t>
      </w:r>
    </w:p>
    <w:p>
      <w:pPr>
        <w:spacing w:after="0" w:line="186" w:lineRule="exact"/>
        <w:rPr>
          <w:sz w:val="20"/>
          <w:szCs w:val="20"/>
          <w:color w:val="auto"/>
        </w:rPr>
      </w:pPr>
    </w:p>
    <w:p>
      <w:pPr>
        <w:ind w:right="160" w:firstLine="432"/>
        <w:spacing w:after="0" w:line="307" w:lineRule="auto"/>
        <w:rPr>
          <w:sz w:val="20"/>
          <w:szCs w:val="20"/>
          <w:color w:val="auto"/>
        </w:rPr>
      </w:pPr>
      <w:r>
        <w:rPr>
          <w:rFonts w:ascii="Arial" w:cs="Arial" w:eastAsia="Arial" w:hAnsi="Arial"/>
          <w:sz w:val="17"/>
          <w:szCs w:val="17"/>
          <w:color w:val="auto"/>
        </w:rPr>
        <w:t>The weighted average fair value of stock options granted in 2016, 2015 and 2014, was $20.30, $16.89 and $12.03, respectively. The fair value of each option grant is estimated on the date of grant using the Black-Scholes option-pricing model with the following weighted average assumptions: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21" w:right="2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23495</wp:posOffset>
            </wp:positionV>
            <wp:extent cx="30664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66415"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2014</w:t>
            </w:r>
          </w:p>
        </w:tc>
      </w:tr>
      <w:tr>
        <w:trPr>
          <w:trHeight w:val="249"/>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Dividend yield</w:t>
            </w: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6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Average expected term (years)</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540" w:type="dxa"/>
            <w:vAlign w:val="bottom"/>
          </w:tcPr>
          <w:p>
            <w:pPr>
              <w:jc w:val="right"/>
              <w:ind w:right="114"/>
              <w:spacing w:after="0"/>
              <w:rPr>
                <w:sz w:val="20"/>
                <w:szCs w:val="20"/>
                <w:color w:val="auto"/>
              </w:rPr>
            </w:pPr>
            <w:r>
              <w:rPr>
                <w:rFonts w:ascii="Arial" w:cs="Arial" w:eastAsia="Arial" w:hAnsi="Arial"/>
                <w:sz w:val="18"/>
                <w:szCs w:val="18"/>
                <w:color w:val="auto"/>
              </w:rPr>
              <w:t>5</w:t>
            </w:r>
          </w:p>
        </w:tc>
      </w:tr>
    </w:tbl>
    <w:p>
      <w:pPr>
        <w:spacing w:after="0" w:line="228"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The Black-Scholes model incorporates assumptions to value stock-based awards. The risk-free rate is based on the U.S. Treasury yield curve in effect at the time of the grant for the estimated life of the option. The Company uses actual historical data to calculate the expected price volatility, dividend yield and average expected term. The forfeiture rate, which is estimated at a weighted-average of 5.0% of unvested options outstanding as of December 31, 2016, is adjusted periodically based on the extent to which actual forfeitures differ, or are expected to differ, from the previous estimates.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stock options outstanding and exercisable as of December 31, 2016,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Options Outstanding</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Options Exercisable</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Exercise Price</w:t>
            </w:r>
          </w:p>
        </w:tc>
        <w:tc>
          <w:tcPr>
            <w:tcW w:w="1960" w:type="dxa"/>
            <w:vAlign w:val="bottom"/>
            <w:gridSpan w:val="2"/>
            <w:vMerge w:val="restart"/>
          </w:tcPr>
          <w:p>
            <w:pPr>
              <w:ind w:left="720"/>
              <w:spacing w:after="0"/>
              <w:rPr>
                <w:sz w:val="20"/>
                <w:szCs w:val="20"/>
                <w:color w:val="auto"/>
              </w:rPr>
            </w:pPr>
            <w:r>
              <w:rPr>
                <w:rFonts w:ascii="Arial" w:cs="Arial" w:eastAsia="Arial" w:hAnsi="Arial"/>
                <w:sz w:val="14"/>
                <w:szCs w:val="14"/>
                <w:b w:val="1"/>
                <w:bCs w:val="1"/>
                <w:color w:val="auto"/>
              </w:rPr>
              <w:t>Shares</w:t>
            </w:r>
          </w:p>
        </w:tc>
        <w:tc>
          <w:tcPr>
            <w:tcW w:w="1920" w:type="dxa"/>
            <w:vAlign w:val="bottom"/>
            <w:gridSpan w:val="2"/>
          </w:tcPr>
          <w:p>
            <w:pPr>
              <w:jc w:val="center"/>
              <w:ind w:right="120"/>
              <w:spacing w:after="0" w:line="152" w:lineRule="exact"/>
              <w:rPr>
                <w:sz w:val="20"/>
                <w:szCs w:val="20"/>
                <w:color w:val="auto"/>
              </w:rPr>
            </w:pPr>
            <w:r>
              <w:rPr>
                <w:rFonts w:ascii="Arial" w:cs="Arial" w:eastAsia="Arial" w:hAnsi="Arial"/>
                <w:sz w:val="14"/>
                <w:szCs w:val="14"/>
                <w:b w:val="1"/>
                <w:bCs w:val="1"/>
                <w:color w:val="auto"/>
                <w:w w:val="91"/>
              </w:rPr>
              <w:t>Weighted Average</w:t>
            </w:r>
          </w:p>
        </w:tc>
        <w:tc>
          <w:tcPr>
            <w:tcW w:w="1940" w:type="dxa"/>
            <w:vAlign w:val="bottom"/>
            <w:gridSpan w:val="3"/>
          </w:tcPr>
          <w:p>
            <w:pPr>
              <w:jc w:val="center"/>
              <w:ind w:right="100"/>
              <w:spacing w:after="0" w:line="152" w:lineRule="exact"/>
              <w:rPr>
                <w:sz w:val="20"/>
                <w:szCs w:val="20"/>
                <w:color w:val="auto"/>
              </w:rPr>
            </w:pPr>
            <w:r>
              <w:rPr>
                <w:rFonts w:ascii="Arial" w:cs="Arial" w:eastAsia="Arial" w:hAnsi="Arial"/>
                <w:sz w:val="14"/>
                <w:szCs w:val="14"/>
                <w:b w:val="1"/>
                <w:bCs w:val="1"/>
                <w:color w:val="auto"/>
                <w:w w:val="91"/>
              </w:rPr>
              <w:t>Weighted Average Exercise</w:t>
            </w:r>
          </w:p>
        </w:tc>
        <w:tc>
          <w:tcPr>
            <w:tcW w:w="192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Shares</w:t>
            </w:r>
          </w:p>
        </w:tc>
        <w:tc>
          <w:tcPr>
            <w:tcW w:w="1820" w:type="dxa"/>
            <w:vAlign w:val="bottom"/>
            <w:gridSpan w:val="2"/>
          </w:tcPr>
          <w:p>
            <w:pPr>
              <w:jc w:val="right"/>
              <w:spacing w:after="0" w:line="152" w:lineRule="exact"/>
              <w:rPr>
                <w:sz w:val="20"/>
                <w:szCs w:val="20"/>
                <w:color w:val="auto"/>
              </w:rPr>
            </w:pPr>
            <w:r>
              <w:rPr>
                <w:rFonts w:ascii="Arial" w:cs="Arial" w:eastAsia="Arial" w:hAnsi="Arial"/>
                <w:sz w:val="14"/>
                <w:szCs w:val="14"/>
                <w:b w:val="1"/>
                <w:bCs w:val="1"/>
                <w:color w:val="auto"/>
                <w:w w:val="93"/>
              </w:rPr>
              <w:t>Weighted Average Exercise</w:t>
            </w:r>
          </w:p>
        </w:tc>
        <w:tc>
          <w:tcPr>
            <w:tcW w:w="0" w:type="dxa"/>
            <w:vAlign w:val="bottom"/>
          </w:tcPr>
          <w:p>
            <w:pPr>
              <w:spacing w:after="0"/>
              <w:rPr>
                <w:sz w:val="1"/>
                <w:szCs w:val="1"/>
                <w:color w:val="auto"/>
              </w:rPr>
            </w:pPr>
          </w:p>
        </w:tc>
      </w:tr>
      <w:tr>
        <w:trPr>
          <w:trHeight w:val="192"/>
        </w:trPr>
        <w:tc>
          <w:tcPr>
            <w:tcW w:w="1840" w:type="dxa"/>
            <w:vAlign w:val="bottom"/>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Remaining Contractual Life</w:t>
            </w:r>
          </w:p>
        </w:tc>
        <w:tc>
          <w:tcPr>
            <w:tcW w:w="440" w:type="dxa"/>
            <w:vAlign w:val="bottom"/>
          </w:tcPr>
          <w:p>
            <w:pPr>
              <w:spacing w:after="0"/>
              <w:rPr>
                <w:sz w:val="16"/>
                <w:szCs w:val="16"/>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Price</w:t>
            </w:r>
          </w:p>
        </w:tc>
        <w:tc>
          <w:tcPr>
            <w:tcW w:w="19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jc w:val="right"/>
              <w:ind w:right="672"/>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49"/>
        </w:trPr>
        <w:tc>
          <w:tcPr>
            <w:tcW w:w="1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$6.22 - $6.22</w:t>
            </w:r>
          </w:p>
        </w:tc>
        <w:tc>
          <w:tcPr>
            <w:tcW w:w="18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157,750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157,750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$11.59 - $11.59</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28,080</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28,080</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$12.21 - $12.21</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77,400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12.21</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77,400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$19.6 - $28.11</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59,660</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24.23</w:t>
            </w:r>
          </w:p>
        </w:tc>
        <w:tc>
          <w:tcPr>
            <w:tcW w:w="12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59,660</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$28.79 - $38.4</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37,659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37.44</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27,197</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37.08</w:t>
            </w: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$47.5 - $47.5</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24,650</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47.50</w:t>
            </w:r>
          </w:p>
        </w:tc>
        <w:tc>
          <w:tcPr>
            <w:tcW w:w="12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12,328</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$65.36 - $65.36</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20,395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65.36</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5,100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65.36</w:t>
            </w: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$65.45 - $65.45</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19,180</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65.45</w:t>
            </w:r>
          </w:p>
        </w:tc>
        <w:tc>
          <w:tcPr>
            <w:tcW w:w="12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4,795</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65.45</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$73.52 - $73.52</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73.52</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12,500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73.52</w:t>
            </w: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$85.99 - $85.99</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35,800</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85.99</w:t>
            </w:r>
          </w:p>
        </w:tc>
        <w:tc>
          <w:tcPr>
            <w:tcW w:w="120" w:type="dxa"/>
            <w:vAlign w:val="bottom"/>
          </w:tcPr>
          <w:p>
            <w:pPr>
              <w:spacing w:after="0"/>
              <w:rPr>
                <w:sz w:val="21"/>
                <w:szCs w:val="21"/>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8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$6.22 - $85.99</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510,574</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30.60</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384,810</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The Company recorded compensation expense relating to outstanding options of $729, $510 and $456 in general and administrative expense for the years ended December 31, 2016, 2015 and 2014, respectively. Total cash received for the years ended December 31, 2016, 2015 and 2014, related to option exercises was $1,444, $1,542 and $3,095, respectively. At December 31, 2016, there was $1,442 of total unrecognized compensation expense related to non-vested stock options under the Plan. That cost is expected to be recognized over a weighted-average period of 2.30 years. The valuation model applied in this calculation utilizes subjective assumptions that could potentially change over time, including the expected forfeiture rate. Therefore, the amount of unrecognized compensation expense at December 31, 2016, noted above does not necessarily represent the expense that will ultimately be realized by the Company in the statement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Granted to Employees and Directors</w:t>
      </w:r>
    </w:p>
    <w:p>
      <w:pPr>
        <w:spacing w:after="0" w:line="121" w:lineRule="exact"/>
        <w:rPr>
          <w:sz w:val="20"/>
          <w:szCs w:val="20"/>
          <w:color w:val="auto"/>
        </w:rPr>
      </w:pPr>
    </w:p>
    <w:p>
      <w:pPr>
        <w:ind w:firstLine="432"/>
        <w:spacing w:after="0" w:line="296" w:lineRule="auto"/>
        <w:rPr>
          <w:sz w:val="20"/>
          <w:szCs w:val="20"/>
          <w:color w:val="auto"/>
        </w:rPr>
      </w:pPr>
      <w:r>
        <w:rPr>
          <w:rFonts w:ascii="Arial" w:cs="Arial" w:eastAsia="Arial" w:hAnsi="Arial"/>
          <w:sz w:val="16"/>
          <w:szCs w:val="16"/>
          <w:color w:val="auto"/>
        </w:rPr>
        <w:t>The Company recorded $7,316, $5,545 and $4,528 of expense in general and administrative expense in its statement of operations related to outstanding shares of common stock granted to employees and directors for the years ended December 31, 2016, 2015 and 2014, respectively. The forfeiture rate, which is estimated at a weighted-average of 10.1% of unvested awards outstanding as of December 31, 2016, is adjusted periodically based on the extent to which actual forfeitures differ, or are expected to differ, from the previous estimates. At December 31, 2016 there was $14,141 of total unrecognized compensation expense related to non-vested restricted stock awards under the Plan. That cost is expected to be recognized over a weighted-average period of 2.37 years.</w:t>
      </w:r>
    </w:p>
    <w:p>
      <w:pPr>
        <w:spacing w:after="0" w:line="160"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The fair value of common stock awards is determined based on the closing trading price of the Company’s common stock on the grant date.</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21" w:right="2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Company’s employee and director share grant activity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Restricted Stock Grants</w:t>
            </w:r>
          </w:p>
        </w:tc>
        <w:tc>
          <w:tcPr>
            <w:tcW w:w="158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340" w:type="dxa"/>
            <w:vAlign w:val="bottom"/>
          </w:tcPr>
          <w:p>
            <w:pPr>
              <w:jc w:val="right"/>
              <w:ind w:right="91"/>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92"/>
        </w:trPr>
        <w:tc>
          <w:tcPr>
            <w:tcW w:w="834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Grant-Date Fair Value</w:t>
            </w:r>
          </w:p>
        </w:tc>
        <w:tc>
          <w:tcPr>
            <w:tcW w:w="0" w:type="dxa"/>
            <w:vAlign w:val="bottom"/>
          </w:tcPr>
          <w:p>
            <w:pPr>
              <w:spacing w:after="0"/>
              <w:rPr>
                <w:sz w:val="1"/>
                <w:szCs w:val="1"/>
                <w:color w:val="auto"/>
              </w:rPr>
            </w:pPr>
          </w:p>
        </w:tc>
      </w:tr>
      <w:tr>
        <w:trPr>
          <w:trHeight w:val="249"/>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Unreleased at December 31, 2013</w:t>
            </w:r>
          </w:p>
        </w:tc>
        <w:tc>
          <w:tcPr>
            <w:tcW w:w="14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395,360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117,370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49.25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(197,386)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Cancelled</w:t>
            </w:r>
          </w:p>
        </w:tc>
        <w:tc>
          <w:tcPr>
            <w:tcW w:w="1480" w:type="dxa"/>
            <w:vAlign w:val="bottom"/>
          </w:tcPr>
          <w:p>
            <w:pPr>
              <w:jc w:val="right"/>
              <w:spacing w:after="0"/>
              <w:rPr>
                <w:sz w:val="20"/>
                <w:szCs w:val="20"/>
                <w:color w:val="auto"/>
              </w:rPr>
            </w:pPr>
            <w:r>
              <w:rPr>
                <w:rFonts w:ascii="Arial" w:cs="Arial" w:eastAsia="Arial" w:hAnsi="Arial"/>
                <w:sz w:val="18"/>
                <w:szCs w:val="18"/>
                <w:color w:val="auto"/>
              </w:rPr>
              <w:t>(23,595)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Unreleased at December 31, 2014</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291,749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37.73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174,558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69.18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Cancelled</w:t>
            </w:r>
          </w:p>
        </w:tc>
        <w:tc>
          <w:tcPr>
            <w:tcW w:w="1480" w:type="dxa"/>
            <w:vAlign w:val="bottom"/>
          </w:tcPr>
          <w:p>
            <w:pPr>
              <w:jc w:val="right"/>
              <w:spacing w:after="0"/>
              <w:rPr>
                <w:sz w:val="20"/>
                <w:szCs w:val="20"/>
                <w:color w:val="auto"/>
              </w:rPr>
            </w:pPr>
            <w:r>
              <w:rPr>
                <w:rFonts w:ascii="Arial" w:cs="Arial" w:eastAsia="Arial" w:hAnsi="Arial"/>
                <w:sz w:val="18"/>
                <w:szCs w:val="18"/>
                <w:color w:val="auto"/>
              </w:rPr>
              <w:t>(18,090)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44.54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Unreleased at December 31, 2015</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318,409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119,931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87.61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Cancelled</w:t>
            </w:r>
          </w:p>
        </w:tc>
        <w:tc>
          <w:tcPr>
            <w:tcW w:w="1480" w:type="dxa"/>
            <w:vAlign w:val="bottom"/>
          </w:tcPr>
          <w:p>
            <w:pPr>
              <w:jc w:val="right"/>
              <w:spacing w:after="0"/>
              <w:rPr>
                <w:sz w:val="20"/>
                <w:szCs w:val="20"/>
                <w:color w:val="auto"/>
              </w:rPr>
            </w:pPr>
            <w:r>
              <w:rPr>
                <w:rFonts w:ascii="Arial" w:cs="Arial" w:eastAsia="Arial" w:hAnsi="Arial"/>
                <w:sz w:val="18"/>
                <w:szCs w:val="18"/>
                <w:color w:val="auto"/>
              </w:rPr>
              <w:t>(9,947)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67.36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Unreleased at December 31, 2016</w:t>
            </w: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299,585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70.57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2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Company has a retirement savings plan under Section 401(k) of the Internal Revenue Code under which eligible employees can contribute up to 60% of their annual salary, subject to a statutory prescribed annual limit. For the years ended December 31, 2016, 2015 and 2014, the Company made matching contributions to the plan of $1,944, $1,680 and $1,529, respectively, based on 100% of the first 3% and up to 50% of the next 2% of an employee’s compensation.</w:t>
      </w:r>
    </w:p>
    <w:p>
      <w:pPr>
        <w:spacing w:after="0" w:line="290"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80" w:firstLine="432"/>
        <w:spacing w:after="0" w:line="293" w:lineRule="auto"/>
        <w:rPr>
          <w:sz w:val="20"/>
          <w:szCs w:val="20"/>
          <w:color w:val="auto"/>
        </w:rPr>
      </w:pPr>
      <w:r>
        <w:rPr>
          <w:rFonts w:ascii="Arial" w:cs="Arial" w:eastAsia="Arial" w:hAnsi="Arial"/>
          <w:sz w:val="16"/>
          <w:szCs w:val="16"/>
          <w:color w:val="auto"/>
        </w:rPr>
        <w:t xml:space="preserve">As a REIT, the Company is generally not subject to federal income tax with respect to that portion of its income which is distributed annually to its stockholders. However, the Company has elected to treat one of its corporate subsidiaries, Extra Space Management, Inc., as a taxable REIT subsidiary. In general, the Company’s TRS may perform additional services for tenants and generally may engage in any real estate or non-real estate related business. A TRS is subject to corporate federal income tax. The Company accounts for income taxes in accordance with the provisions of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Deferred tax assets and liabilities are determined based on differences between financial reporting and tax bases of assets and liabilities. The Company has elected to use the Tax-Law-Ordering approach to determine when excess tax benefits will be realized.</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income tax provision for the years ended December 31, 2016, 2015 and 2014, is comprised of the following components: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 2016</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800" w:type="dxa"/>
            <w:vAlign w:val="bottom"/>
            <w:tcBorders>
              <w:bottom w:val="single" w:sz="8" w:color="CCEEFF"/>
            </w:tcBorders>
          </w:tcPr>
          <w:p>
            <w:pPr>
              <w:spacing w:after="0"/>
              <w:rPr>
                <w:sz w:val="22"/>
                <w:szCs w:val="22"/>
                <w:color w:val="auto"/>
              </w:rPr>
            </w:pPr>
          </w:p>
        </w:tc>
        <w:tc>
          <w:tcPr>
            <w:tcW w:w="296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Federal</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State</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9"/>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expense</w:t>
            </w:r>
          </w:p>
        </w:tc>
        <w:tc>
          <w:tcPr>
            <w:tcW w:w="3820" w:type="dxa"/>
            <w:vAlign w:val="bottom"/>
            <w:tcBorders>
              <w:bottom w:val="single" w:sz="8" w:color="CCEEFF"/>
            </w:tcBorders>
            <w:gridSpan w:val="2"/>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7"/>
              </w:rPr>
              <w:t>14,627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16,995</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Tax credits/true-up</w:t>
            </w:r>
          </w:p>
        </w:tc>
        <w:tc>
          <w:tcPr>
            <w:tcW w:w="2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deferred benefit</w:t>
            </w:r>
          </w:p>
        </w:tc>
        <w:tc>
          <w:tcPr>
            <w:tcW w:w="29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57"/>
        </w:trPr>
        <w:tc>
          <w:tcPr>
            <w:tcW w:w="3800" w:type="dxa"/>
            <w:vAlign w:val="bottom"/>
          </w:tcPr>
          <w:p>
            <w:pPr>
              <w:ind w:left="40"/>
              <w:spacing w:after="0"/>
              <w:rPr>
                <w:sz w:val="20"/>
                <w:szCs w:val="20"/>
                <w:color w:val="auto"/>
              </w:rPr>
            </w:pPr>
            <w:r>
              <w:rPr>
                <w:rFonts w:ascii="Arial" w:cs="Arial" w:eastAsia="Arial" w:hAnsi="Arial"/>
                <w:sz w:val="18"/>
                <w:szCs w:val="18"/>
                <w:color w:val="auto"/>
              </w:rPr>
              <w:t>Total tax expense</w:t>
            </w:r>
          </w:p>
        </w:tc>
        <w:tc>
          <w:tcPr>
            <w:tcW w:w="296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87"/>
              </w:rPr>
              <w:t>13,946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1,901</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15,847</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960" w:type="dxa"/>
            <w:vAlign w:val="bottom"/>
            <w:vMerge w:val="restart"/>
          </w:tcPr>
          <w:p>
            <w:pPr>
              <w:jc w:val="right"/>
              <w:ind w:right="870"/>
              <w:spacing w:after="0"/>
              <w:rPr>
                <w:sz w:val="20"/>
                <w:szCs w:val="20"/>
                <w:color w:val="auto"/>
              </w:rPr>
            </w:pPr>
            <w:r>
              <w:rPr>
                <w:rFonts w:ascii="Arial" w:cs="Arial" w:eastAsia="Arial" w:hAnsi="Arial"/>
                <w:sz w:val="18"/>
                <w:szCs w:val="18"/>
                <w:color w:val="auto"/>
              </w:rPr>
              <w:t>83</w:t>
            </w: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2"/>
        </w:trPr>
        <w:tc>
          <w:tcPr>
            <w:tcW w:w="380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 2015</w:t>
            </w:r>
          </w:p>
        </w:tc>
        <w:tc>
          <w:tcPr>
            <w:tcW w:w="1060" w:type="dxa"/>
            <w:vAlign w:val="bottom"/>
            <w:tcBorders>
              <w:bottom w:val="single" w:sz="8" w:color="auto"/>
            </w:tcBorders>
          </w:tcPr>
          <w:p>
            <w:pPr>
              <w:spacing w:after="0"/>
              <w:rPr>
                <w:sz w:val="16"/>
                <w:szCs w:val="16"/>
                <w:color w:val="auto"/>
              </w:rPr>
            </w:pPr>
          </w:p>
        </w:tc>
      </w:tr>
      <w:tr>
        <w:trPr>
          <w:trHeight w:val="263"/>
        </w:trPr>
        <w:tc>
          <w:tcPr>
            <w:tcW w:w="67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Federal</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State</w:t>
            </w:r>
          </w:p>
        </w:tc>
        <w:tc>
          <w:tcPr>
            <w:tcW w:w="420" w:type="dxa"/>
            <w:vAlign w:val="bottom"/>
          </w:tcPr>
          <w:p>
            <w:pPr>
              <w:spacing w:after="0"/>
              <w:rPr>
                <w:sz w:val="22"/>
                <w:szCs w:val="22"/>
                <w:color w:val="auto"/>
              </w:rPr>
            </w:pPr>
          </w:p>
        </w:tc>
        <w:tc>
          <w:tcPr>
            <w:tcW w:w="1060" w:type="dxa"/>
            <w:vAlign w:val="bottom"/>
          </w:tcPr>
          <w:p>
            <w:pPr>
              <w:jc w:val="right"/>
              <w:ind w:right="614"/>
              <w:spacing w:after="0"/>
              <w:rPr>
                <w:sz w:val="20"/>
                <w:szCs w:val="20"/>
                <w:color w:val="auto"/>
              </w:rPr>
            </w:pPr>
            <w:r>
              <w:rPr>
                <w:rFonts w:ascii="Arial" w:cs="Arial" w:eastAsia="Arial" w:hAnsi="Arial"/>
                <w:sz w:val="14"/>
                <w:szCs w:val="14"/>
                <w:b w:val="1"/>
                <w:bCs w:val="1"/>
                <w:color w:val="auto"/>
              </w:rPr>
              <w:t>Total</w:t>
            </w:r>
          </w:p>
        </w:tc>
      </w:tr>
      <w:tr>
        <w:trPr>
          <w:trHeight w:val="249"/>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expense</w:t>
            </w:r>
          </w:p>
        </w:tc>
        <w:tc>
          <w:tcPr>
            <w:tcW w:w="880" w:type="dxa"/>
            <w:vAlign w:val="bottom"/>
            <w:tcBorders>
              <w:top w:val="single" w:sz="8" w:color="auto"/>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5,376</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Tax credits/true-up</w:t>
            </w:r>
          </w:p>
        </w:tc>
        <w:tc>
          <w:tcPr>
            <w:tcW w:w="880" w:type="dxa"/>
            <w:vAlign w:val="bottom"/>
          </w:tcPr>
          <w:p>
            <w:pPr>
              <w:spacing w:after="0"/>
              <w:rPr>
                <w:sz w:val="21"/>
                <w:szCs w:val="21"/>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274</w:t>
            </w:r>
          </w:p>
        </w:tc>
      </w:tr>
      <w:tr>
        <w:trPr>
          <w:trHeight w:val="27"/>
        </w:trPr>
        <w:tc>
          <w:tcPr>
            <w:tcW w:w="6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deferred benefit</w:t>
            </w: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5,498</w:t>
            </w:r>
          </w:p>
        </w:tc>
      </w:tr>
      <w:tr>
        <w:trPr>
          <w:trHeight w:val="257"/>
        </w:trPr>
        <w:tc>
          <w:tcPr>
            <w:tcW w:w="6760" w:type="dxa"/>
            <w:vAlign w:val="bottom"/>
          </w:tcPr>
          <w:p>
            <w:pPr>
              <w:ind w:left="40"/>
              <w:spacing w:after="0"/>
              <w:rPr>
                <w:sz w:val="20"/>
                <w:szCs w:val="20"/>
                <w:color w:val="auto"/>
              </w:rPr>
            </w:pPr>
            <w:r>
              <w:rPr>
                <w:rFonts w:ascii="Arial" w:cs="Arial" w:eastAsia="Arial" w:hAnsi="Arial"/>
                <w:sz w:val="18"/>
                <w:szCs w:val="18"/>
                <w:color w:val="auto"/>
              </w:rPr>
              <w:t>Total tax expense</w:t>
            </w: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83"/>
              </w:rPr>
              <w:t>11,026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11,148</w:t>
            </w:r>
          </w:p>
        </w:tc>
      </w:tr>
      <w:tr>
        <w:trPr>
          <w:trHeight w:val="20"/>
        </w:trPr>
        <w:tc>
          <w:tcPr>
            <w:tcW w:w="67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75"/>
        </w:trPr>
        <w:tc>
          <w:tcPr>
            <w:tcW w:w="67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 2014</w:t>
            </w:r>
          </w:p>
        </w:tc>
        <w:tc>
          <w:tcPr>
            <w:tcW w:w="1060" w:type="dxa"/>
            <w:vAlign w:val="bottom"/>
            <w:tcBorders>
              <w:bottom w:val="single" w:sz="8" w:color="auto"/>
            </w:tcBorders>
          </w:tcPr>
          <w:p>
            <w:pPr>
              <w:spacing w:after="0"/>
              <w:rPr>
                <w:sz w:val="24"/>
                <w:szCs w:val="24"/>
                <w:color w:val="auto"/>
              </w:rPr>
            </w:pPr>
          </w:p>
        </w:tc>
      </w:tr>
      <w:tr>
        <w:trPr>
          <w:trHeight w:val="263"/>
        </w:trPr>
        <w:tc>
          <w:tcPr>
            <w:tcW w:w="67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Federal</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State</w:t>
            </w:r>
          </w:p>
        </w:tc>
        <w:tc>
          <w:tcPr>
            <w:tcW w:w="420" w:type="dxa"/>
            <w:vAlign w:val="bottom"/>
          </w:tcPr>
          <w:p>
            <w:pPr>
              <w:spacing w:after="0"/>
              <w:rPr>
                <w:sz w:val="22"/>
                <w:szCs w:val="22"/>
                <w:color w:val="auto"/>
              </w:rPr>
            </w:pPr>
          </w:p>
        </w:tc>
        <w:tc>
          <w:tcPr>
            <w:tcW w:w="1060" w:type="dxa"/>
            <w:vAlign w:val="bottom"/>
          </w:tcPr>
          <w:p>
            <w:pPr>
              <w:jc w:val="right"/>
              <w:ind w:right="614"/>
              <w:spacing w:after="0"/>
              <w:rPr>
                <w:sz w:val="20"/>
                <w:szCs w:val="20"/>
                <w:color w:val="auto"/>
              </w:rPr>
            </w:pPr>
            <w:r>
              <w:rPr>
                <w:rFonts w:ascii="Arial" w:cs="Arial" w:eastAsia="Arial" w:hAnsi="Arial"/>
                <w:sz w:val="14"/>
                <w:szCs w:val="14"/>
                <w:b w:val="1"/>
                <w:bCs w:val="1"/>
                <w:color w:val="auto"/>
              </w:rPr>
              <w:t>Total</w:t>
            </w:r>
          </w:p>
        </w:tc>
      </w:tr>
      <w:tr>
        <w:trPr>
          <w:trHeight w:val="249"/>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expense</w:t>
            </w:r>
          </w:p>
        </w:tc>
        <w:tc>
          <w:tcPr>
            <w:tcW w:w="880" w:type="dxa"/>
            <w:vAlign w:val="bottom"/>
            <w:tcBorders>
              <w:top w:val="single" w:sz="8" w:color="auto"/>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7,394</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Tax credits/true-up</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(2,176)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(2,176)</w:t>
            </w:r>
          </w:p>
        </w:tc>
      </w:tr>
      <w:tr>
        <w:trPr>
          <w:trHeight w:val="27"/>
        </w:trPr>
        <w:tc>
          <w:tcPr>
            <w:tcW w:w="6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deferred benefit</w:t>
            </w: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2,352</w:t>
            </w:r>
          </w:p>
        </w:tc>
      </w:tr>
      <w:tr>
        <w:trPr>
          <w:trHeight w:val="257"/>
        </w:trPr>
        <w:tc>
          <w:tcPr>
            <w:tcW w:w="6760" w:type="dxa"/>
            <w:vAlign w:val="bottom"/>
          </w:tcPr>
          <w:p>
            <w:pPr>
              <w:ind w:left="40"/>
              <w:spacing w:after="0"/>
              <w:rPr>
                <w:sz w:val="20"/>
                <w:szCs w:val="20"/>
                <w:color w:val="auto"/>
              </w:rPr>
            </w:pPr>
            <w:r>
              <w:rPr>
                <w:rFonts w:ascii="Arial" w:cs="Arial" w:eastAsia="Arial" w:hAnsi="Arial"/>
                <w:sz w:val="18"/>
                <w:szCs w:val="18"/>
                <w:color w:val="auto"/>
              </w:rPr>
              <w:t>Total tax expense</w:t>
            </w: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4,647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2,923</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7,570</w:t>
            </w:r>
          </w:p>
        </w:tc>
      </w:tr>
      <w:tr>
        <w:trPr>
          <w:trHeight w:val="20"/>
        </w:trPr>
        <w:tc>
          <w:tcPr>
            <w:tcW w:w="67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statutory income tax provisions to the effective income tax provisions for the periods indicated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8"/>
              </w:rPr>
              <w:t>For the Year Ended December 31,</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3"/>
        </w:trPr>
        <w:tc>
          <w:tcPr>
            <w:tcW w:w="45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2016</w:t>
            </w: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2015</w:t>
            </w: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4"/>
                <w:szCs w:val="14"/>
                <w:b w:val="1"/>
                <w:bCs w:val="1"/>
                <w:color w:val="auto"/>
                <w:w w:val="89"/>
              </w:rPr>
              <w:t>2014</w:t>
            </w:r>
          </w:p>
        </w:tc>
      </w:tr>
      <w:tr>
        <w:trPr>
          <w:trHeight w:val="249"/>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tax at statutory rate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144,708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77,151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71,215</w:t>
            </w:r>
          </w:p>
        </w:tc>
        <w:tc>
          <w:tcPr>
            <w:tcW w:w="1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35.0 %</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Non-taxable REIT income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(131,112)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(67,084)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(64,402)</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(31.7)%</w:t>
            </w:r>
          </w:p>
        </w:tc>
      </w:tr>
      <w:tr>
        <w:trPr>
          <w:trHeight w:val="27"/>
        </w:trPr>
        <w:tc>
          <w:tcPr>
            <w:tcW w:w="4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local tax expense - net of federal benefit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0.6 %</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1,663</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0.8 %</w:t>
            </w:r>
          </w:p>
        </w:tc>
      </w:tr>
      <w:tr>
        <w:trPr>
          <w:trHeight w:val="27"/>
        </w:trPr>
        <w:tc>
          <w:tcPr>
            <w:tcW w:w="4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credits/true-up</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Miscellaneous</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0.1 %</w:t>
            </w:r>
          </w:p>
        </w:tc>
      </w:tr>
      <w:tr>
        <w:trPr>
          <w:trHeight w:val="27"/>
        </w:trPr>
        <w:tc>
          <w:tcPr>
            <w:tcW w:w="4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provision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15,847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11,148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7,570</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3.7 %</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661"/>
        </w:trPr>
        <w:tc>
          <w:tcPr>
            <w:tcW w:w="4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84</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major sources of temporary differences stated at their deferred tax effects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Pr>
          <w:p>
            <w:pPr>
              <w:spacing w:after="0"/>
              <w:rPr>
                <w:sz w:val="16"/>
                <w:szCs w:val="16"/>
                <w:color w:val="auto"/>
              </w:rPr>
            </w:pPr>
          </w:p>
        </w:tc>
        <w:tc>
          <w:tcPr>
            <w:tcW w:w="1340" w:type="dxa"/>
            <w:vAlign w:val="bottom"/>
          </w:tcPr>
          <w:p>
            <w:pPr>
              <w:jc w:val="right"/>
              <w:ind w:right="71"/>
              <w:spacing w:after="0"/>
              <w:rPr>
                <w:sz w:val="20"/>
                <w:szCs w:val="20"/>
                <w:color w:val="auto"/>
              </w:rPr>
            </w:pPr>
            <w:r>
              <w:rPr>
                <w:rFonts w:ascii="Arial" w:cs="Arial" w:eastAsia="Arial" w:hAnsi="Arial"/>
                <w:sz w:val="14"/>
                <w:szCs w:val="14"/>
                <w:b w:val="1"/>
                <w:bCs w:val="1"/>
                <w:color w:val="auto"/>
                <w:w w:val="91"/>
              </w:rPr>
              <w:t>December 31, 2015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(17,360)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deferred taxes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r>
      <w:tr>
        <w:trPr>
          <w:trHeight w:val="236"/>
        </w:trPr>
        <w:tc>
          <w:tcPr>
            <w:tcW w:w="834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(17,931)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(19,104)</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317"/>
        </w:trPr>
        <w:tc>
          <w:tcPr>
            <w:tcW w:w="8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Captive insurance subsidiary</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2,741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2,633</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1,346</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Solar credit</w:t>
            </w:r>
          </w:p>
        </w:tc>
        <w:tc>
          <w:tcPr>
            <w:tcW w:w="1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2,167</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SmartStop TRS</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1,085</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deferred taxes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6,016</w:t>
            </w:r>
          </w:p>
        </w:tc>
      </w:tr>
      <w:tr>
        <w:trPr>
          <w:trHeight w:val="236"/>
        </w:trPr>
        <w:tc>
          <w:tcPr>
            <w:tcW w:w="834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12,858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13,985</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317"/>
        </w:trPr>
        <w:tc>
          <w:tcPr>
            <w:tcW w:w="8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(5,609)</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317"/>
        </w:trPr>
        <w:tc>
          <w:tcPr>
            <w:tcW w:w="8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Net deferred income tax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(9,838)</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(10,728)</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right="140" w:firstLine="432"/>
        <w:spacing w:after="0" w:line="307" w:lineRule="auto"/>
        <w:rPr>
          <w:sz w:val="20"/>
          <w:szCs w:val="20"/>
          <w:color w:val="auto"/>
        </w:rPr>
      </w:pPr>
      <w:r>
        <w:rPr>
          <w:rFonts w:ascii="Arial" w:cs="Arial" w:eastAsia="Arial" w:hAnsi="Arial"/>
          <w:sz w:val="17"/>
          <w:szCs w:val="17"/>
          <w:color w:val="auto"/>
        </w:rPr>
        <w:t>The state income tax net operating losses expire between 2017 and 2034. The valuation allowance is associated with the state income tax net operating losses. The tax years 2012 through 2015 remain open related to the state returns, and 2013 through 2015 for the federal returns.</w:t>
      </w:r>
    </w:p>
    <w:p>
      <w:pPr>
        <w:spacing w:after="0" w:line="251"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660" w:firstLine="432"/>
        <w:spacing w:after="0" w:line="263" w:lineRule="auto"/>
        <w:rPr>
          <w:sz w:val="20"/>
          <w:szCs w:val="20"/>
          <w:color w:val="auto"/>
        </w:rPr>
      </w:pPr>
      <w:r>
        <w:rPr>
          <w:rFonts w:ascii="Arial" w:cs="Arial" w:eastAsia="Arial" w:hAnsi="Arial"/>
          <w:sz w:val="18"/>
          <w:szCs w:val="18"/>
          <w:color w:val="auto"/>
        </w:rPr>
        <w:t>The Company operates in three distinct segments: (1) rental operations; (2) tenant reinsurance; and (3) property management, acquisition and development. Management fees collected for wholly-owned stores are eliminated in consolidation. Financial information for the Company’s business segments is set forth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Pr>
          <w:p>
            <w:pPr>
              <w:spacing w:after="0"/>
              <w:rPr>
                <w:sz w:val="16"/>
                <w:szCs w:val="16"/>
                <w:color w:val="auto"/>
              </w:rPr>
            </w:pPr>
          </w:p>
        </w:tc>
        <w:tc>
          <w:tcPr>
            <w:tcW w:w="134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December 31, 2015</w:t>
            </w:r>
          </w:p>
        </w:tc>
        <w:tc>
          <w:tcPr>
            <w:tcW w:w="0" w:type="dxa"/>
            <w:vAlign w:val="bottom"/>
          </w:tcPr>
          <w:p>
            <w:pPr>
              <w:spacing w:after="0"/>
              <w:rPr>
                <w:sz w:val="1"/>
                <w:szCs w:val="1"/>
                <w:color w:val="auto"/>
              </w:rPr>
            </w:pPr>
          </w:p>
        </w:tc>
      </w:tr>
      <w:tr>
        <w:trPr>
          <w:trHeight w:val="249"/>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 in unconsolidated real estate ventures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79,570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103,007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6,731,292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5,674,030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Tenant reinsurance</w:t>
            </w: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44,524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37,696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management, acquisition and development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315,630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359,681</w:t>
            </w:r>
          </w:p>
        </w:tc>
        <w:tc>
          <w:tcPr>
            <w:tcW w:w="0" w:type="dxa"/>
            <w:vAlign w:val="bottom"/>
          </w:tcPr>
          <w:p>
            <w:pPr>
              <w:spacing w:after="0"/>
              <w:rPr>
                <w:sz w:val="1"/>
                <w:szCs w:val="1"/>
                <w:color w:val="auto"/>
              </w:rPr>
            </w:pPr>
          </w:p>
        </w:tc>
      </w:tr>
      <w:tr>
        <w:trPr>
          <w:trHeight w:val="236"/>
        </w:trPr>
        <w:tc>
          <w:tcPr>
            <w:tcW w:w="8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7,091,446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6,071,407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121" w:right="2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50"/>
        </w:trPr>
        <w:tc>
          <w:tcPr>
            <w:tcW w:w="67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49"/>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864,742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676,138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559,868</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Tenant reinsurance</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87,291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71,971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59,072</w:t>
            </w:r>
          </w:p>
        </w:tc>
      </w:tr>
      <w:tr>
        <w:trPr>
          <w:trHeight w:val="27"/>
        </w:trPr>
        <w:tc>
          <w:tcPr>
            <w:tcW w:w="6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management, acquisition and development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39,842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34,161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28,215</w:t>
            </w:r>
          </w:p>
        </w:tc>
      </w:tr>
      <w:tr>
        <w:trPr>
          <w:trHeight w:val="236"/>
        </w:trPr>
        <w:tc>
          <w:tcPr>
            <w:tcW w:w="67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991,875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782,270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647,155</w:t>
            </w:r>
          </w:p>
        </w:tc>
      </w:tr>
      <w:tr>
        <w:trPr>
          <w:trHeight w:val="27"/>
        </w:trPr>
        <w:tc>
          <w:tcPr>
            <w:tcW w:w="6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including 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Rental operations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423,575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328,380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279,497</w:t>
            </w:r>
          </w:p>
        </w:tc>
      </w:tr>
      <w:tr>
        <w:trPr>
          <w:trHeight w:val="27"/>
        </w:trPr>
        <w:tc>
          <w:tcPr>
            <w:tcW w:w="6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Tenant reinsurance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10,427</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Property management, acquisition and development</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102,907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146,201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78,763</w:t>
            </w:r>
          </w:p>
        </w:tc>
      </w:tr>
      <w:tr>
        <w:trPr>
          <w:trHeight w:val="27"/>
        </w:trPr>
        <w:tc>
          <w:tcPr>
            <w:tcW w:w="6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67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542,037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487,614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368,687</w:t>
            </w:r>
          </w:p>
        </w:tc>
      </w:tr>
      <w:tr>
        <w:trPr>
          <w:trHeight w:val="223"/>
        </w:trPr>
        <w:tc>
          <w:tcPr>
            <w:tcW w:w="672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3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40"/>
        </w:trPr>
        <w:tc>
          <w:tcPr>
            <w:tcW w:w="6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441,167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347,758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280,371</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Tenant reinsurance</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71,736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58,938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48,645</w:t>
            </w:r>
          </w:p>
        </w:tc>
      </w:tr>
      <w:tr>
        <w:trPr>
          <w:trHeight w:val="27"/>
        </w:trPr>
        <w:tc>
          <w:tcPr>
            <w:tcW w:w="6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management, acquisition and development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(112,040)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(50,548)</w:t>
            </w:r>
          </w:p>
        </w:tc>
      </w:tr>
      <w:tr>
        <w:trPr>
          <w:trHeight w:val="236"/>
        </w:trPr>
        <w:tc>
          <w:tcPr>
            <w:tcW w:w="67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449,838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294,656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278,468</w:t>
            </w:r>
          </w:p>
        </w:tc>
      </w:tr>
      <w:tr>
        <w:trPr>
          <w:trHeight w:val="27"/>
        </w:trPr>
        <w:tc>
          <w:tcPr>
            <w:tcW w:w="6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Gain (loss) on real estate transactions, earnout from prior acquisition and sale of 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Property management, acquisition and development</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8,465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(10,285)</w:t>
            </w:r>
          </w:p>
        </w:tc>
      </w:tr>
      <w:tr>
        <w:trPr>
          <w:trHeight w:val="27"/>
        </w:trPr>
        <w:tc>
          <w:tcPr>
            <w:tcW w:w="6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90"/>
        </w:trPr>
        <w:tc>
          <w:tcPr>
            <w:tcW w:w="67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Property casualty loss, net</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r>
      <w:tr>
        <w:trPr>
          <w:trHeight w:val="290"/>
        </w:trPr>
        <w:tc>
          <w:tcPr>
            <w:tcW w:w="67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Rental operations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(129,907)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(93,711)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(80,160)</w:t>
            </w:r>
          </w:p>
        </w:tc>
      </w:tr>
      <w:tr>
        <w:trPr>
          <w:trHeight w:val="27"/>
        </w:trPr>
        <w:tc>
          <w:tcPr>
            <w:tcW w:w="6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management, acquisition and development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r>
      <w:tr>
        <w:trPr>
          <w:trHeight w:val="236"/>
        </w:trPr>
        <w:tc>
          <w:tcPr>
            <w:tcW w:w="67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(133,479)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(95,682)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(81,330)</w:t>
            </w:r>
          </w:p>
        </w:tc>
      </w:tr>
      <w:tr>
        <w:trPr>
          <w:trHeight w:val="27"/>
        </w:trPr>
        <w:tc>
          <w:tcPr>
            <w:tcW w:w="6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8"/>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Non-cash interest expense related to the amortization of discount on equity component of</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7"/>
        </w:trPr>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exchangeable senior notes</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Property management, acquisition and development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(2,683)</w:t>
            </w:r>
          </w:p>
        </w:tc>
      </w:tr>
      <w:tr>
        <w:trPr>
          <w:trHeight w:val="27"/>
        </w:trPr>
        <w:tc>
          <w:tcPr>
            <w:tcW w:w="6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90"/>
        </w:trPr>
        <w:tc>
          <w:tcPr>
            <w:tcW w:w="67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management, acquisition and development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3,461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1,607</w:t>
            </w:r>
          </w:p>
        </w:tc>
      </w:tr>
      <w:tr>
        <w:trPr>
          <w:trHeight w:val="290"/>
        </w:trPr>
        <w:tc>
          <w:tcPr>
            <w:tcW w:w="67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Interest income on note receivable from Preferred Operating Partnership unit holder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Property management, acquisition and development</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4,850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4,850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4,850</w:t>
            </w:r>
          </w:p>
        </w:tc>
      </w:tr>
      <w:tr>
        <w:trPr>
          <w:trHeight w:val="27"/>
        </w:trPr>
        <w:tc>
          <w:tcPr>
            <w:tcW w:w="6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90"/>
        </w:trPr>
        <w:tc>
          <w:tcPr>
            <w:tcW w:w="67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Equity in earnings of unconsolidated real estate ventures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12,351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10,541</w:t>
            </w:r>
          </w:p>
        </w:tc>
      </w:tr>
      <w:tr>
        <w:trPr>
          <w:trHeight w:val="317"/>
        </w:trPr>
        <w:tc>
          <w:tcPr>
            <w:tcW w:w="67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228"/>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Equity in earnings of unconsolidated real estate ventures - gain on sale of real estate assets</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and purchase of partners' interests</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Property management, acquisition and development</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69,199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2,857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4,022</w:t>
            </w:r>
          </w:p>
        </w:tc>
      </w:tr>
      <w:tr>
        <w:trPr>
          <w:trHeight w:val="27"/>
        </w:trPr>
        <w:tc>
          <w:tcPr>
            <w:tcW w:w="6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90"/>
        </w:trPr>
        <w:tc>
          <w:tcPr>
            <w:tcW w:w="67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6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Rental operations</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r>
      <w:tr>
        <w:trPr>
          <w:trHeight w:val="27"/>
        </w:trPr>
        <w:tc>
          <w:tcPr>
            <w:tcW w:w="67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00"/>
          </w:cols>
          <w:pgMar w:left="240" w:top="121" w:right="25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ind w:left="380"/>
              <w:spacing w:after="0"/>
              <w:rPr>
                <w:sz w:val="20"/>
                <w:szCs w:val="20"/>
                <w:color w:val="auto"/>
              </w:rPr>
            </w:pPr>
            <w:r>
              <w:rPr>
                <w:rFonts w:ascii="Arial" w:cs="Arial" w:eastAsia="Arial" w:hAnsi="Arial"/>
                <w:sz w:val="18"/>
                <w:szCs w:val="18"/>
                <w:color w:val="auto"/>
              </w:rPr>
              <w:t>Tenant reinsurance</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(9,780)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(8,662)</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management, acquisition and development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36"/>
        </w:trPr>
        <w:tc>
          <w:tcPr>
            <w:tcW w:w="67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(15,847)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(11,148)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(7,570)</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Rental operations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321,835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264,669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207,871</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Tenant reinsurance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Property management, acquisition and development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16,116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(104,306)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(51,975)</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7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397,089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209,536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195,896</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Depreciation and amortization expense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173,570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124,415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107,081</w:t>
            </w: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Property management, acquisition and development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8,990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9,042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7,995</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7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182,560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133,457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115,076</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Statement of Cash Flows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real estate assets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Property management, acquisition and development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(1,086,523)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(1,550,750)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(503,538)</w:t>
            </w:r>
          </w:p>
        </w:tc>
        <w:tc>
          <w:tcPr>
            <w:tcW w:w="0" w:type="dxa"/>
            <w:vAlign w:val="bottom"/>
          </w:tcPr>
          <w:p>
            <w:pPr>
              <w:spacing w:after="0"/>
              <w:rPr>
                <w:sz w:val="1"/>
                <w:szCs w:val="1"/>
                <w:color w:val="auto"/>
              </w:rPr>
            </w:pPr>
          </w:p>
        </w:tc>
      </w:tr>
      <w:tr>
        <w:trPr>
          <w:trHeight w:val="67"/>
        </w:trPr>
        <w:tc>
          <w:tcPr>
            <w:tcW w:w="67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Development and redevelopment of real estate assets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Property management, acquisition and development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(23,279)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(26,931)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(23,528)</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Company has operating leases on its corporate offices and owns 22 stores that are subject to leases. At December 31, 2016, future minimum rental payments under these non-cancelable operating leases were as follows (unaudited):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than 1 year</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6,123</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Year 2</w:t>
            </w: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6,677</w:t>
            </w:r>
          </w:p>
        </w:tc>
      </w:tr>
      <w:tr>
        <w:trPr>
          <w:trHeight w:val="27"/>
        </w:trPr>
        <w:tc>
          <w:tcPr>
            <w:tcW w:w="9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3</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6,124</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Year 4</w:t>
            </w: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6,080</w:t>
            </w:r>
          </w:p>
        </w:tc>
      </w:tr>
      <w:tr>
        <w:trPr>
          <w:trHeight w:val="27"/>
        </w:trPr>
        <w:tc>
          <w:tcPr>
            <w:tcW w:w="9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5</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5,897</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90,025</w:t>
            </w:r>
          </w:p>
        </w:tc>
      </w:tr>
      <w:tr>
        <w:trPr>
          <w:trHeight w:val="27"/>
        </w:trPr>
        <w:tc>
          <w:tcPr>
            <w:tcW w:w="99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8"/>
        </w:trPr>
        <w:tc>
          <w:tcPr>
            <w:tcW w:w="99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120,926</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both"/>
        <w:ind w:right="140" w:firstLine="432"/>
        <w:spacing w:after="0" w:line="380" w:lineRule="auto"/>
        <w:rPr>
          <w:sz w:val="20"/>
          <w:szCs w:val="20"/>
          <w:color w:val="auto"/>
        </w:rPr>
      </w:pPr>
      <w:r>
        <w:rPr>
          <w:rFonts w:ascii="Arial" w:cs="Arial" w:eastAsia="Arial" w:hAnsi="Arial"/>
          <w:sz w:val="15"/>
          <w:szCs w:val="15"/>
          <w:color w:val="auto"/>
        </w:rPr>
        <w:t>The monthly rental amounts for three of the ground leases include contingent rental payments based on the level of revenue achieved at the stores. The Company recorded expense of $4,578, $3,858 and $3,406 related to these ground leases in the years ended December 31, 2016, 2015 and 2014, respectively.</w:t>
      </w:r>
    </w:p>
    <w:p>
      <w:pPr>
        <w:spacing w:after="0" w:line="101"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Company is involved in various legal proceedings and is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Therefore, any estimate(s) of loss disclosed below represents what management believes to be an estimate of loss only for certain matters meeting these criteria and does not represent the Company's maximum loss exposure. The Company could in the future incur judgments or enter into settlements of claims that could have a material adverse effect on its results of operations in any particular period, notwithstanding the fact that the Company is currently vigorously defending any legal proceedings against it.</w:t>
      </w:r>
    </w:p>
    <w:p>
      <w:pPr>
        <w:spacing w:after="0" w:line="195" w:lineRule="exact"/>
        <w:rPr>
          <w:sz w:val="20"/>
          <w:szCs w:val="20"/>
          <w:color w:val="auto"/>
        </w:rPr>
      </w:pPr>
    </w:p>
    <w:p>
      <w:pPr>
        <w:ind w:right="80" w:firstLine="432"/>
        <w:spacing w:after="0" w:line="263" w:lineRule="auto"/>
        <w:rPr>
          <w:sz w:val="20"/>
          <w:szCs w:val="20"/>
          <w:color w:val="auto"/>
        </w:rPr>
      </w:pPr>
      <w:r>
        <w:rPr>
          <w:rFonts w:ascii="Arial" w:cs="Arial" w:eastAsia="Arial" w:hAnsi="Arial"/>
          <w:sz w:val="18"/>
          <w:szCs w:val="18"/>
          <w:color w:val="auto"/>
        </w:rPr>
        <w:t>The Company currently has several legal proceedings pending against it that include causes of action alleging wrongful foreclosure, violations of various state specific self-storage statutes, and violations of various consumer fraud acts. As a result of these litigation matters, the Company has a liability of $5,600 as of December 31, 2016, which is included in other liabilities on the consolidated balance sheets.</w:t>
      </w:r>
    </w:p>
    <w:p>
      <w:pPr>
        <w:sectPr>
          <w:pgSz w:w="11900" w:h="16838" w:orient="portrait"/>
          <w:cols w:equalWidth="0" w:num="1">
            <w:col w:w="11420"/>
          </w:cols>
          <w:pgMar w:left="240" w:top="121" w:right="239" w:bottom="1440" w:gutter="0" w:footer="0" w:header="0"/>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121" w:right="2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40" w:firstLine="432"/>
        <w:spacing w:after="0" w:line="256" w:lineRule="auto"/>
        <w:rPr>
          <w:sz w:val="20"/>
          <w:szCs w:val="20"/>
          <w:color w:val="auto"/>
        </w:rPr>
      </w:pPr>
      <w:r>
        <w:rPr>
          <w:rFonts w:ascii="Arial" w:cs="Arial" w:eastAsia="Arial" w:hAnsi="Arial"/>
          <w:sz w:val="18"/>
          <w:szCs w:val="18"/>
          <w:color w:val="auto"/>
        </w:rPr>
        <w:t>As of December 31, 2016, the Company was under contract to acquire four operating stores and 12 stores to be acquired upon the completion of construction. The total purchase price of all stores with commitments was $183,581. Of these stores, seven are scheduled to close in 2017. The remaining stores will close upon completion of construction, expected to occur on various dates in 2018 and 2019. Additionally, the Company is under contract to acquire 16 stores with joint venture partners, for a net investment of $74,708. Eight of these stores are scheduled to close in 2017 while the remaining eight stores are expected to close in 2018.</w:t>
      </w:r>
    </w:p>
    <w:p>
      <w:pPr>
        <w:spacing w:after="0" w:line="191"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Although there can be no assurance, the Company is not aware of any material environmental liability, for which it believes it will be ultimately responsible, that could have a material adverse effect on its financial condition or results of operations. However, changes in applicable environmental laws and regulations, the uses and conditions of properties in the vicinity of the Company’s properties, the activities of its tenants and other environmental conditions of which the Company is unaware with respect to its properties could result in future material environmental liabilities.</w:t>
      </w:r>
    </w:p>
    <w:p>
      <w:pPr>
        <w:spacing w:after="0" w:line="274"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SUPPLEMENTARY QUARTERLY FINANCIAL DATA (UNAUDITED)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2016</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2016</w:t>
            </w:r>
          </w:p>
        </w:tc>
        <w:tc>
          <w:tcPr>
            <w:tcW w:w="140" w:type="dxa"/>
            <w:vAlign w:val="bottom"/>
          </w:tcPr>
          <w:p>
            <w:pPr>
              <w:spacing w:after="0"/>
              <w:rPr>
                <w:sz w:val="22"/>
                <w:szCs w:val="22"/>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September 30, 2016</w:t>
            </w:r>
          </w:p>
        </w:tc>
        <w:tc>
          <w:tcPr>
            <w:tcW w:w="140" w:type="dxa"/>
            <w:vAlign w:val="bottom"/>
          </w:tcPr>
          <w:p>
            <w:pPr>
              <w:spacing w:after="0"/>
              <w:rPr>
                <w:sz w:val="22"/>
                <w:szCs w:val="22"/>
                <w:color w:val="auto"/>
              </w:rPr>
            </w:pPr>
          </w:p>
        </w:tc>
        <w:tc>
          <w:tcPr>
            <w:tcW w:w="1340" w:type="dxa"/>
            <w:vAlign w:val="bottom"/>
          </w:tcPr>
          <w:p>
            <w:pPr>
              <w:jc w:val="right"/>
              <w:ind w:right="72"/>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49"/>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229,403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244,273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257,183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261,016</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Cost of operations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135,775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133,971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134,459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137,832</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less cost of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93,628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110,302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122,724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123,184</w:t>
            </w:r>
          </w:p>
        </w:tc>
        <w:tc>
          <w:tcPr>
            <w:tcW w:w="0" w:type="dxa"/>
            <w:vAlign w:val="bottom"/>
          </w:tcPr>
          <w:p>
            <w:pPr>
              <w:spacing w:after="0"/>
              <w:rPr>
                <w:sz w:val="1"/>
                <w:szCs w:val="1"/>
                <w:color w:val="auto"/>
              </w:rPr>
            </w:pPr>
          </w:p>
        </w:tc>
      </w:tr>
      <w:tr>
        <w:trPr>
          <w:trHeight w:val="236"/>
        </w:trPr>
        <w:tc>
          <w:tcPr>
            <w:tcW w:w="51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89,407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90,040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127,226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90,416</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82,592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83,044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118,088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82,403</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share—basic</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0.94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196"/>
        </w:trPr>
        <w:tc>
          <w:tcPr>
            <w:tcW w:w="5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2015</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2015</w:t>
            </w:r>
          </w:p>
        </w:tc>
        <w:tc>
          <w:tcPr>
            <w:tcW w:w="140" w:type="dxa"/>
            <w:vAlign w:val="bottom"/>
          </w:tcPr>
          <w:p>
            <w:pPr>
              <w:spacing w:after="0"/>
              <w:rPr>
                <w:sz w:val="22"/>
                <w:szCs w:val="22"/>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September 30, 2015</w:t>
            </w:r>
          </w:p>
        </w:tc>
        <w:tc>
          <w:tcPr>
            <w:tcW w:w="140" w:type="dxa"/>
            <w:vAlign w:val="bottom"/>
          </w:tcPr>
          <w:p>
            <w:pPr>
              <w:spacing w:after="0"/>
              <w:rPr>
                <w:sz w:val="22"/>
                <w:szCs w:val="22"/>
                <w:color w:val="auto"/>
              </w:rPr>
            </w:pPr>
          </w:p>
        </w:tc>
        <w:tc>
          <w:tcPr>
            <w:tcW w:w="1340" w:type="dxa"/>
            <w:vAlign w:val="bottom"/>
          </w:tcPr>
          <w:p>
            <w:pPr>
              <w:jc w:val="right"/>
              <w:ind w:right="72"/>
              <w:spacing w:after="0"/>
              <w:rPr>
                <w:sz w:val="20"/>
                <w:szCs w:val="20"/>
                <w:color w:val="auto"/>
              </w:rPr>
            </w:pPr>
            <w:r>
              <w:rPr>
                <w:rFonts w:ascii="Arial" w:cs="Arial" w:eastAsia="Arial" w:hAnsi="Arial"/>
                <w:sz w:val="14"/>
                <w:szCs w:val="14"/>
                <w:b w:val="1"/>
                <w:bCs w:val="1"/>
                <w:color w:val="auto"/>
                <w:w w:val="91"/>
              </w:rPr>
              <w:t>December 31, 2015</w:t>
            </w:r>
          </w:p>
        </w:tc>
        <w:tc>
          <w:tcPr>
            <w:tcW w:w="0" w:type="dxa"/>
            <w:vAlign w:val="bottom"/>
          </w:tcPr>
          <w:p>
            <w:pPr>
              <w:spacing w:after="0"/>
              <w:rPr>
                <w:sz w:val="1"/>
                <w:szCs w:val="1"/>
                <w:color w:val="auto"/>
              </w:rPr>
            </w:pPr>
          </w:p>
        </w:tc>
      </w:tr>
      <w:tr>
        <w:trPr>
          <w:trHeight w:val="249"/>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173,154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185,860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197,497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225,759</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Cost of operations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97,718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104,253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100,193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185,450</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less cost of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75,436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81,607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97,304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40,309</w:t>
            </w:r>
          </w:p>
        </w:tc>
        <w:tc>
          <w:tcPr>
            <w:tcW w:w="0" w:type="dxa"/>
            <w:vAlign w:val="bottom"/>
          </w:tcPr>
          <w:p>
            <w:pPr>
              <w:spacing w:after="0"/>
              <w:rPr>
                <w:sz w:val="1"/>
                <w:szCs w:val="1"/>
                <w:color w:val="auto"/>
              </w:rPr>
            </w:pPr>
          </w:p>
        </w:tc>
      </w:tr>
      <w:tr>
        <w:trPr>
          <w:trHeight w:val="236"/>
        </w:trPr>
        <w:tc>
          <w:tcPr>
            <w:tcW w:w="51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58,636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60,956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78,200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11,744</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53,742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55,339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71,718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8,675</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share—basic</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common share—diluted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0.58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5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Subsequent to year end the Company has purchased two stores for a total of $25,500. These stores are located in Georgia and Illinois.</w:t>
      </w:r>
    </w:p>
    <w:p>
      <w:pPr>
        <w:spacing w:after="0" w:line="11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On February 1, 2017, the Company received a cash payment of $33,071 related to its loans receivable from Strategic 1031 leaving a remaining principal balance of $20,608.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1" w:right="239" w:bottom="1440" w:gutter="0" w:footer="0" w:header="0"/>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acquired</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9"/>
              </w:rPr>
              <w:t>or</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development</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completed</w:t>
            </w:r>
          </w:p>
        </w:tc>
        <w:tc>
          <w:tcPr>
            <w:tcW w:w="1620" w:type="dxa"/>
            <w:vAlign w:val="bottom"/>
          </w:tcPr>
          <w:p>
            <w:pPr>
              <w:ind w:left="400"/>
              <w:spacing w:after="0"/>
              <w:rPr>
                <w:sz w:val="20"/>
                <w:szCs w:val="20"/>
                <w:color w:val="auto"/>
              </w:rPr>
            </w:pPr>
            <w:r>
              <w:rPr>
                <w:rFonts w:ascii="Arial" w:cs="Arial" w:eastAsia="Arial" w:hAnsi="Arial"/>
                <w:sz w:val="16"/>
                <w:szCs w:val="16"/>
                <w:b w:val="1"/>
                <w:bCs w:val="1"/>
                <w:color w:val="auto"/>
              </w:rPr>
              <w:t>Store Name</w:t>
            </w:r>
          </w:p>
        </w:tc>
        <w:tc>
          <w:tcPr>
            <w:tcW w:w="0" w:type="dxa"/>
            <w:vAlign w:val="bottom"/>
          </w:tcPr>
          <w:p>
            <w:pPr>
              <w:spacing w:after="0"/>
              <w:rPr>
                <w:sz w:val="1"/>
                <w:szCs w:val="1"/>
                <w:color w:val="auto"/>
              </w:rPr>
            </w:pPr>
          </w:p>
        </w:tc>
      </w:tr>
      <w:tr>
        <w:trPr>
          <w:trHeight w:val="33"/>
        </w:trPr>
        <w:tc>
          <w:tcPr>
            <w:tcW w:w="9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60" w:type="dxa"/>
            <w:vAlign w:val="bottom"/>
          </w:tcPr>
          <w:p>
            <w:pPr>
              <w:jc w:val="center"/>
              <w:spacing w:after="0"/>
              <w:rPr>
                <w:sz w:val="20"/>
                <w:szCs w:val="20"/>
                <w:color w:val="auto"/>
              </w:rPr>
            </w:pPr>
            <w:r>
              <w:rPr>
                <w:rFonts w:ascii="Arial" w:cs="Arial" w:eastAsia="Arial" w:hAnsi="Arial"/>
                <w:sz w:val="16"/>
                <w:szCs w:val="16"/>
                <w:color w:val="auto"/>
                <w:w w:val="89"/>
              </w:rPr>
              <w:t>8/23/2010</w:t>
            </w:r>
          </w:p>
        </w:tc>
        <w:tc>
          <w:tcPr>
            <w:tcW w:w="1620" w:type="dxa"/>
            <w:vAlign w:val="bottom"/>
          </w:tcPr>
          <w:p>
            <w:pPr>
              <w:ind w:left="20"/>
              <w:spacing w:after="0"/>
              <w:rPr>
                <w:sz w:val="20"/>
                <w:szCs w:val="20"/>
                <w:color w:val="auto"/>
              </w:rPr>
            </w:pPr>
            <w:r>
              <w:rPr>
                <w:rFonts w:ascii="Arial" w:cs="Arial" w:eastAsia="Arial" w:hAnsi="Arial"/>
                <w:sz w:val="16"/>
                <w:szCs w:val="16"/>
                <w:color w:val="auto"/>
              </w:rPr>
              <w:t>Auburn / Dean Rd</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8/23/2010</w:t>
            </w:r>
          </w:p>
        </w:tc>
        <w:tc>
          <w:tcPr>
            <w:tcW w:w="1620" w:type="dxa"/>
            <w:vAlign w:val="bottom"/>
          </w:tcPr>
          <w:p>
            <w:pPr>
              <w:ind w:left="20"/>
              <w:spacing w:after="0"/>
              <w:rPr>
                <w:sz w:val="20"/>
                <w:szCs w:val="20"/>
                <w:color w:val="auto"/>
              </w:rPr>
            </w:pPr>
            <w:r>
              <w:rPr>
                <w:rFonts w:ascii="Arial" w:cs="Arial" w:eastAsia="Arial" w:hAnsi="Arial"/>
                <w:sz w:val="16"/>
                <w:szCs w:val="16"/>
                <w:color w:val="auto"/>
              </w:rPr>
              <w:t>Auburn / Opelika Rd</w:t>
            </w: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7/2/2012</w:t>
            </w:r>
          </w:p>
        </w:tc>
        <w:tc>
          <w:tcPr>
            <w:tcW w:w="1620" w:type="dxa"/>
            <w:vAlign w:val="bottom"/>
          </w:tcPr>
          <w:p>
            <w:pPr>
              <w:ind w:left="20"/>
              <w:spacing w:after="0"/>
              <w:rPr>
                <w:sz w:val="20"/>
                <w:szCs w:val="20"/>
                <w:color w:val="auto"/>
              </w:rPr>
            </w:pPr>
            <w:r>
              <w:rPr>
                <w:rFonts w:ascii="Arial" w:cs="Arial" w:eastAsia="Arial" w:hAnsi="Arial"/>
                <w:sz w:val="16"/>
                <w:szCs w:val="16"/>
                <w:color w:val="auto"/>
              </w:rPr>
              <w:t>Birmingham / Grace</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20" w:type="dxa"/>
            <w:vAlign w:val="bottom"/>
            <w:vMerge w:val="restart"/>
          </w:tcPr>
          <w:p>
            <w:pPr>
              <w:ind w:left="20"/>
              <w:spacing w:after="0"/>
              <w:rPr>
                <w:sz w:val="20"/>
                <w:szCs w:val="20"/>
                <w:color w:val="auto"/>
              </w:rPr>
            </w:pPr>
            <w:r>
              <w:rPr>
                <w:rFonts w:ascii="Arial" w:cs="Arial" w:eastAsia="Arial" w:hAnsi="Arial"/>
                <w:sz w:val="16"/>
                <w:szCs w:val="16"/>
                <w:color w:val="auto"/>
              </w:rPr>
              <w:t>Baker Rd</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3/20/2014</w:t>
            </w:r>
          </w:p>
        </w:tc>
        <w:tc>
          <w:tcPr>
            <w:tcW w:w="1620" w:type="dxa"/>
            <w:vAlign w:val="bottom"/>
          </w:tcPr>
          <w:p>
            <w:pPr>
              <w:ind w:left="20"/>
              <w:spacing w:after="0"/>
              <w:rPr>
                <w:sz w:val="20"/>
                <w:szCs w:val="20"/>
                <w:color w:val="auto"/>
              </w:rPr>
            </w:pPr>
            <w:r>
              <w:rPr>
                <w:rFonts w:ascii="Arial" w:cs="Arial" w:eastAsia="Arial" w:hAnsi="Arial"/>
                <w:sz w:val="16"/>
                <w:szCs w:val="16"/>
                <w:color w:val="auto"/>
                <w:w w:val="96"/>
              </w:rPr>
              <w:t>Birmingham / Lorna Rd</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620" w:type="dxa"/>
            <w:vAlign w:val="bottom"/>
          </w:tcPr>
          <w:p>
            <w:pPr>
              <w:ind w:left="20"/>
              <w:spacing w:after="0"/>
              <w:rPr>
                <w:sz w:val="20"/>
                <w:szCs w:val="20"/>
                <w:color w:val="auto"/>
              </w:rPr>
            </w:pPr>
            <w:r>
              <w:rPr>
                <w:rFonts w:ascii="Arial" w:cs="Arial" w:eastAsia="Arial" w:hAnsi="Arial"/>
                <w:sz w:val="16"/>
                <w:szCs w:val="16"/>
                <w:color w:val="auto"/>
              </w:rPr>
              <w:t>Daphne</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8/31/2007</w:t>
            </w:r>
          </w:p>
        </w:tc>
        <w:tc>
          <w:tcPr>
            <w:tcW w:w="1620" w:type="dxa"/>
            <w:vAlign w:val="bottom"/>
          </w:tcPr>
          <w:p>
            <w:pPr>
              <w:ind w:left="20"/>
              <w:spacing w:after="0"/>
              <w:rPr>
                <w:sz w:val="20"/>
                <w:szCs w:val="20"/>
                <w:color w:val="auto"/>
              </w:rPr>
            </w:pPr>
            <w:r>
              <w:rPr>
                <w:rFonts w:ascii="Arial" w:cs="Arial" w:eastAsia="Arial" w:hAnsi="Arial"/>
                <w:sz w:val="16"/>
                <w:szCs w:val="16"/>
                <w:color w:val="auto"/>
              </w:rPr>
              <w:t>Hoover</w:t>
            </w: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620" w:type="dxa"/>
            <w:vAlign w:val="bottom"/>
          </w:tcPr>
          <w:p>
            <w:pPr>
              <w:ind w:left="20"/>
              <w:spacing w:after="0"/>
              <w:rPr>
                <w:sz w:val="20"/>
                <w:szCs w:val="20"/>
                <w:color w:val="auto"/>
              </w:rPr>
            </w:pPr>
            <w:r>
              <w:rPr>
                <w:rFonts w:ascii="Arial" w:cs="Arial" w:eastAsia="Arial" w:hAnsi="Arial"/>
                <w:sz w:val="16"/>
                <w:szCs w:val="16"/>
                <w:color w:val="auto"/>
              </w:rPr>
              <w:t>Montgomery /</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20" w:type="dxa"/>
            <w:vAlign w:val="bottom"/>
            <w:vMerge w:val="restart"/>
          </w:tcPr>
          <w:p>
            <w:pPr>
              <w:ind w:left="20"/>
              <w:spacing w:after="0"/>
              <w:rPr>
                <w:sz w:val="20"/>
                <w:szCs w:val="20"/>
                <w:color w:val="auto"/>
              </w:rPr>
            </w:pPr>
            <w:r>
              <w:rPr>
                <w:rFonts w:ascii="Arial" w:cs="Arial" w:eastAsia="Arial" w:hAnsi="Arial"/>
                <w:sz w:val="16"/>
                <w:szCs w:val="16"/>
                <w:color w:val="auto"/>
              </w:rPr>
              <w:t>Carmichael Rd</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620" w:type="dxa"/>
            <w:vAlign w:val="bottom"/>
          </w:tcPr>
          <w:p>
            <w:pPr>
              <w:ind w:left="20"/>
              <w:spacing w:after="0"/>
              <w:rPr>
                <w:sz w:val="20"/>
                <w:szCs w:val="20"/>
                <w:color w:val="auto"/>
              </w:rPr>
            </w:pPr>
            <w:r>
              <w:rPr>
                <w:rFonts w:ascii="Arial" w:cs="Arial" w:eastAsia="Arial" w:hAnsi="Arial"/>
                <w:sz w:val="16"/>
                <w:szCs w:val="16"/>
                <w:color w:val="auto"/>
              </w:rPr>
              <w:t>Montgomery /</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20" w:type="dxa"/>
            <w:vAlign w:val="bottom"/>
            <w:vMerge w:val="restart"/>
          </w:tcPr>
          <w:p>
            <w:pPr>
              <w:ind w:left="20"/>
              <w:spacing w:after="0"/>
              <w:rPr>
                <w:sz w:val="20"/>
                <w:szCs w:val="20"/>
                <w:color w:val="auto"/>
              </w:rPr>
            </w:pPr>
            <w:r>
              <w:rPr>
                <w:rFonts w:ascii="Arial" w:cs="Arial" w:eastAsia="Arial" w:hAnsi="Arial"/>
                <w:sz w:val="16"/>
                <w:szCs w:val="16"/>
                <w:color w:val="auto"/>
              </w:rPr>
              <w:t>Monticello Dr</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12/21/2016</w:t>
            </w:r>
          </w:p>
        </w:tc>
        <w:tc>
          <w:tcPr>
            <w:tcW w:w="1620" w:type="dxa"/>
            <w:vAlign w:val="bottom"/>
          </w:tcPr>
          <w:p>
            <w:pPr>
              <w:ind w:left="20"/>
              <w:spacing w:after="0"/>
              <w:rPr>
                <w:sz w:val="20"/>
                <w:szCs w:val="20"/>
                <w:color w:val="auto"/>
              </w:rPr>
            </w:pPr>
            <w:r>
              <w:rPr>
                <w:rFonts w:ascii="Arial" w:cs="Arial" w:eastAsia="Arial" w:hAnsi="Arial"/>
                <w:sz w:val="16"/>
                <w:szCs w:val="16"/>
                <w:color w:val="auto"/>
                <w:w w:val="96"/>
              </w:rPr>
              <w:t>Chandler / Arizona Ave</w:t>
            </w: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620" w:type="dxa"/>
            <w:vAlign w:val="bottom"/>
          </w:tcPr>
          <w:p>
            <w:pPr>
              <w:ind w:left="20"/>
              <w:spacing w:after="0"/>
              <w:rPr>
                <w:sz w:val="20"/>
                <w:szCs w:val="20"/>
                <w:color w:val="auto"/>
              </w:rPr>
            </w:pPr>
            <w:r>
              <w:rPr>
                <w:rFonts w:ascii="Arial" w:cs="Arial" w:eastAsia="Arial" w:hAnsi="Arial"/>
                <w:sz w:val="16"/>
                <w:szCs w:val="16"/>
                <w:color w:val="auto"/>
                <w:w w:val="97"/>
              </w:rPr>
              <w:t>Chandler / W Chandler</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20" w:type="dxa"/>
            <w:vAlign w:val="bottom"/>
            <w:vMerge w:val="restart"/>
          </w:tcPr>
          <w:p>
            <w:pPr>
              <w:ind w:left="20"/>
              <w:spacing w:after="0"/>
              <w:rPr>
                <w:sz w:val="20"/>
                <w:szCs w:val="20"/>
                <w:color w:val="auto"/>
              </w:rPr>
            </w:pPr>
            <w:r>
              <w:rPr>
                <w:rFonts w:ascii="Arial" w:cs="Arial" w:eastAsia="Arial" w:hAnsi="Arial"/>
                <w:sz w:val="16"/>
                <w:szCs w:val="16"/>
                <w:color w:val="auto"/>
              </w:rPr>
              <w:t>Blvd</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7/25/2013</w:t>
            </w:r>
          </w:p>
        </w:tc>
        <w:tc>
          <w:tcPr>
            <w:tcW w:w="1620" w:type="dxa"/>
            <w:vAlign w:val="bottom"/>
          </w:tcPr>
          <w:p>
            <w:pPr>
              <w:ind w:left="20"/>
              <w:spacing w:after="0"/>
              <w:rPr>
                <w:sz w:val="20"/>
                <w:szCs w:val="20"/>
                <w:color w:val="auto"/>
              </w:rPr>
            </w:pPr>
            <w:r>
              <w:rPr>
                <w:rFonts w:ascii="Arial" w:cs="Arial" w:eastAsia="Arial" w:hAnsi="Arial"/>
                <w:sz w:val="16"/>
                <w:szCs w:val="16"/>
                <w:color w:val="auto"/>
              </w:rPr>
              <w:t>Chandler / W Elliot Rd</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4/15/2015</w:t>
            </w:r>
          </w:p>
        </w:tc>
        <w:tc>
          <w:tcPr>
            <w:tcW w:w="1620" w:type="dxa"/>
            <w:vAlign w:val="bottom"/>
          </w:tcPr>
          <w:p>
            <w:pPr>
              <w:ind w:left="20"/>
              <w:spacing w:after="0"/>
              <w:rPr>
                <w:sz w:val="20"/>
                <w:szCs w:val="20"/>
                <w:color w:val="auto"/>
              </w:rPr>
            </w:pPr>
            <w:r>
              <w:rPr>
                <w:rFonts w:ascii="Arial" w:cs="Arial" w:eastAsia="Arial" w:hAnsi="Arial"/>
                <w:sz w:val="16"/>
                <w:szCs w:val="16"/>
                <w:color w:val="auto"/>
              </w:rPr>
              <w:t>Glendale</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620" w:type="dxa"/>
            <w:vAlign w:val="bottom"/>
          </w:tcPr>
          <w:p>
            <w:pPr>
              <w:ind w:left="20"/>
              <w:spacing w:after="0"/>
              <w:rPr>
                <w:sz w:val="20"/>
                <w:szCs w:val="20"/>
                <w:color w:val="auto"/>
              </w:rPr>
            </w:pPr>
            <w:r>
              <w:rPr>
                <w:rFonts w:ascii="Arial" w:cs="Arial" w:eastAsia="Arial" w:hAnsi="Arial"/>
                <w:sz w:val="16"/>
                <w:szCs w:val="16"/>
                <w:color w:val="auto"/>
                <w:w w:val="92"/>
              </w:rPr>
              <w:t>Mesa / E Guadalupe Rd</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12/27/2012</w:t>
            </w:r>
          </w:p>
        </w:tc>
        <w:tc>
          <w:tcPr>
            <w:tcW w:w="1620" w:type="dxa"/>
            <w:vAlign w:val="bottom"/>
          </w:tcPr>
          <w:p>
            <w:pPr>
              <w:ind w:left="20"/>
              <w:spacing w:after="0"/>
              <w:rPr>
                <w:sz w:val="20"/>
                <w:szCs w:val="20"/>
                <w:color w:val="auto"/>
              </w:rPr>
            </w:pPr>
            <w:r>
              <w:rPr>
                <w:rFonts w:ascii="Arial" w:cs="Arial" w:eastAsia="Arial" w:hAnsi="Arial"/>
                <w:sz w:val="16"/>
                <w:szCs w:val="16"/>
                <w:color w:val="auto"/>
                <w:w w:val="96"/>
              </w:rPr>
              <w:t>Mesa / E Southern Ave</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4/5/2016</w:t>
            </w:r>
          </w:p>
        </w:tc>
        <w:tc>
          <w:tcPr>
            <w:tcW w:w="1620" w:type="dxa"/>
            <w:vAlign w:val="bottom"/>
          </w:tcPr>
          <w:p>
            <w:pPr>
              <w:ind w:left="20"/>
              <w:spacing w:after="0"/>
              <w:rPr>
                <w:sz w:val="20"/>
                <w:szCs w:val="20"/>
                <w:color w:val="auto"/>
              </w:rPr>
            </w:pPr>
            <w:r>
              <w:rPr>
                <w:rFonts w:ascii="Arial" w:cs="Arial" w:eastAsia="Arial" w:hAnsi="Arial"/>
                <w:sz w:val="16"/>
                <w:szCs w:val="16"/>
                <w:color w:val="auto"/>
                <w:w w:val="93"/>
              </w:rPr>
              <w:t>Mesa / Greenfield Road</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8/18/2004</w:t>
            </w:r>
          </w:p>
        </w:tc>
        <w:tc>
          <w:tcPr>
            <w:tcW w:w="1620" w:type="dxa"/>
            <w:vAlign w:val="bottom"/>
          </w:tcPr>
          <w:p>
            <w:pPr>
              <w:ind w:left="20"/>
              <w:spacing w:after="0"/>
              <w:rPr>
                <w:sz w:val="20"/>
                <w:szCs w:val="20"/>
                <w:color w:val="auto"/>
              </w:rPr>
            </w:pPr>
            <w:r>
              <w:rPr>
                <w:rFonts w:ascii="Arial" w:cs="Arial" w:eastAsia="Arial" w:hAnsi="Arial"/>
                <w:sz w:val="16"/>
                <w:szCs w:val="16"/>
                <w:color w:val="auto"/>
              </w:rPr>
              <w:t>Mesa / Madero Ave</w:t>
            </w: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7/2/2012</w:t>
            </w:r>
          </w:p>
        </w:tc>
        <w:tc>
          <w:tcPr>
            <w:tcW w:w="1620" w:type="dxa"/>
            <w:vAlign w:val="bottom"/>
          </w:tcPr>
          <w:p>
            <w:pPr>
              <w:ind w:left="20"/>
              <w:spacing w:after="0"/>
              <w:rPr>
                <w:sz w:val="20"/>
                <w:szCs w:val="20"/>
                <w:color w:val="auto"/>
              </w:rPr>
            </w:pPr>
            <w:r>
              <w:rPr>
                <w:rFonts w:ascii="Arial" w:cs="Arial" w:eastAsia="Arial" w:hAnsi="Arial"/>
                <w:sz w:val="16"/>
                <w:szCs w:val="16"/>
                <w:color w:val="auto"/>
                <w:w w:val="97"/>
              </w:rPr>
              <w:t>Mesa / N. Alma School</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20" w:type="dxa"/>
            <w:vAlign w:val="bottom"/>
            <w:vMerge w:val="restart"/>
          </w:tcPr>
          <w:p>
            <w:pPr>
              <w:ind w:left="20"/>
              <w:spacing w:after="0"/>
              <w:rPr>
                <w:sz w:val="20"/>
                <w:szCs w:val="20"/>
                <w:color w:val="auto"/>
              </w:rPr>
            </w:pPr>
            <w:r>
              <w:rPr>
                <w:rFonts w:ascii="Arial" w:cs="Arial" w:eastAsia="Arial" w:hAnsi="Arial"/>
                <w:sz w:val="16"/>
                <w:szCs w:val="16"/>
                <w:color w:val="auto"/>
              </w:rPr>
              <w:t>Rd</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7/25/2013</w:t>
            </w:r>
          </w:p>
        </w:tc>
        <w:tc>
          <w:tcPr>
            <w:tcW w:w="1620" w:type="dxa"/>
            <w:vAlign w:val="bottom"/>
          </w:tcPr>
          <w:p>
            <w:pPr>
              <w:ind w:left="20"/>
              <w:spacing w:after="0"/>
              <w:rPr>
                <w:sz w:val="20"/>
                <w:szCs w:val="20"/>
                <w:color w:val="auto"/>
              </w:rPr>
            </w:pPr>
            <w:r>
              <w:rPr>
                <w:rFonts w:ascii="Arial" w:cs="Arial" w:eastAsia="Arial" w:hAnsi="Arial"/>
                <w:sz w:val="16"/>
                <w:szCs w:val="16"/>
                <w:color w:val="auto"/>
              </w:rPr>
              <w:t>Mesa / Southern Ave</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4/1/2006</w:t>
            </w:r>
          </w:p>
        </w:tc>
        <w:tc>
          <w:tcPr>
            <w:tcW w:w="1620" w:type="dxa"/>
            <w:vAlign w:val="bottom"/>
          </w:tcPr>
          <w:p>
            <w:pPr>
              <w:ind w:left="20"/>
              <w:spacing w:after="0"/>
              <w:rPr>
                <w:sz w:val="20"/>
                <w:szCs w:val="20"/>
                <w:color w:val="auto"/>
              </w:rPr>
            </w:pPr>
            <w:r>
              <w:rPr>
                <w:rFonts w:ascii="Arial" w:cs="Arial" w:eastAsia="Arial" w:hAnsi="Arial"/>
                <w:sz w:val="16"/>
                <w:szCs w:val="16"/>
                <w:color w:val="auto"/>
              </w:rPr>
              <w:t>Peoria / 75th Ave</w:t>
            </w: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1/31/2011</w:t>
            </w:r>
          </w:p>
        </w:tc>
        <w:tc>
          <w:tcPr>
            <w:tcW w:w="1620" w:type="dxa"/>
            <w:vAlign w:val="bottom"/>
          </w:tcPr>
          <w:p>
            <w:pPr>
              <w:ind w:left="20"/>
              <w:spacing w:after="0"/>
              <w:rPr>
                <w:sz w:val="20"/>
                <w:szCs w:val="20"/>
                <w:color w:val="auto"/>
              </w:rPr>
            </w:pPr>
            <w:r>
              <w:rPr>
                <w:rFonts w:ascii="Arial" w:cs="Arial" w:eastAsia="Arial" w:hAnsi="Arial"/>
                <w:sz w:val="16"/>
                <w:szCs w:val="16"/>
                <w:color w:val="auto"/>
              </w:rPr>
              <w:t>Peoria / W Beardsley</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20" w:type="dxa"/>
            <w:vAlign w:val="bottom"/>
            <w:vMerge w:val="restart"/>
          </w:tcPr>
          <w:p>
            <w:pPr>
              <w:ind w:left="20"/>
              <w:spacing w:after="0"/>
              <w:rPr>
                <w:sz w:val="20"/>
                <w:szCs w:val="20"/>
                <w:color w:val="auto"/>
              </w:rPr>
            </w:pPr>
            <w:r>
              <w:rPr>
                <w:rFonts w:ascii="Arial" w:cs="Arial" w:eastAsia="Arial" w:hAnsi="Arial"/>
                <w:sz w:val="16"/>
                <w:szCs w:val="16"/>
                <w:color w:val="auto"/>
              </w:rPr>
              <w:t>Rd</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1/2/2007</w:t>
            </w:r>
          </w:p>
        </w:tc>
        <w:tc>
          <w:tcPr>
            <w:tcW w:w="1620" w:type="dxa"/>
            <w:vAlign w:val="bottom"/>
          </w:tcPr>
          <w:p>
            <w:pPr>
              <w:ind w:left="20"/>
              <w:spacing w:after="0"/>
              <w:rPr>
                <w:sz w:val="20"/>
                <w:szCs w:val="20"/>
                <w:color w:val="auto"/>
              </w:rPr>
            </w:pPr>
            <w:r>
              <w:rPr>
                <w:rFonts w:ascii="Arial" w:cs="Arial" w:eastAsia="Arial" w:hAnsi="Arial"/>
                <w:sz w:val="16"/>
                <w:szCs w:val="16"/>
                <w:color w:val="auto"/>
                <w:w w:val="99"/>
              </w:rPr>
              <w:t>Phoenix / E Greenway</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20" w:type="dxa"/>
            <w:vAlign w:val="bottom"/>
            <w:vMerge w:val="restart"/>
          </w:tcPr>
          <w:p>
            <w:pPr>
              <w:ind w:left="20"/>
              <w:spacing w:after="0"/>
              <w:rPr>
                <w:sz w:val="20"/>
                <w:szCs w:val="20"/>
                <w:color w:val="auto"/>
              </w:rPr>
            </w:pPr>
            <w:r>
              <w:rPr>
                <w:rFonts w:ascii="Arial" w:cs="Arial" w:eastAsia="Arial" w:hAnsi="Arial"/>
                <w:sz w:val="16"/>
                <w:szCs w:val="16"/>
                <w:color w:val="auto"/>
              </w:rPr>
              <w:t>Pkwy</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7/1/2005</w:t>
            </w:r>
          </w:p>
        </w:tc>
        <w:tc>
          <w:tcPr>
            <w:tcW w:w="1620" w:type="dxa"/>
            <w:vAlign w:val="bottom"/>
          </w:tcPr>
          <w:p>
            <w:pPr>
              <w:ind w:left="20"/>
              <w:spacing w:after="0"/>
              <w:rPr>
                <w:sz w:val="20"/>
                <w:szCs w:val="20"/>
                <w:color w:val="auto"/>
              </w:rPr>
            </w:pPr>
            <w:r>
              <w:rPr>
                <w:rFonts w:ascii="Arial" w:cs="Arial" w:eastAsia="Arial" w:hAnsi="Arial"/>
                <w:sz w:val="16"/>
                <w:szCs w:val="16"/>
                <w:color w:val="auto"/>
                <w:w w:val="99"/>
              </w:rPr>
              <w:t>Phoenix / East Bell Rd</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620" w:type="dxa"/>
            <w:vAlign w:val="bottom"/>
          </w:tcPr>
          <w:p>
            <w:pPr>
              <w:ind w:left="20"/>
              <w:spacing w:after="0"/>
              <w:rPr>
                <w:sz w:val="20"/>
                <w:szCs w:val="20"/>
                <w:color w:val="auto"/>
              </w:rPr>
            </w:pPr>
            <w:r>
              <w:rPr>
                <w:rFonts w:ascii="Arial" w:cs="Arial" w:eastAsia="Arial" w:hAnsi="Arial"/>
                <w:sz w:val="16"/>
                <w:szCs w:val="16"/>
                <w:color w:val="auto"/>
                <w:w w:val="97"/>
              </w:rPr>
              <w:t>Phoenix / Missouri Ave</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11/30/2012</w:t>
            </w:r>
          </w:p>
        </w:tc>
        <w:tc>
          <w:tcPr>
            <w:tcW w:w="1620" w:type="dxa"/>
            <w:vAlign w:val="bottom"/>
          </w:tcPr>
          <w:p>
            <w:pPr>
              <w:ind w:left="20"/>
              <w:spacing w:after="0"/>
              <w:rPr>
                <w:sz w:val="20"/>
                <w:szCs w:val="20"/>
                <w:color w:val="auto"/>
              </w:rPr>
            </w:pPr>
            <w:r>
              <w:rPr>
                <w:rFonts w:ascii="Arial" w:cs="Arial" w:eastAsia="Arial" w:hAnsi="Arial"/>
                <w:sz w:val="16"/>
                <w:szCs w:val="16"/>
                <w:color w:val="auto"/>
              </w:rPr>
              <w:t>Phoenix / N 32nd St</w:t>
            </w: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6/30/2006</w:t>
            </w:r>
          </w:p>
        </w:tc>
        <w:tc>
          <w:tcPr>
            <w:tcW w:w="1620" w:type="dxa"/>
            <w:vAlign w:val="bottom"/>
          </w:tcPr>
          <w:p>
            <w:pPr>
              <w:ind w:left="20"/>
              <w:spacing w:after="0"/>
              <w:rPr>
                <w:sz w:val="20"/>
                <w:szCs w:val="20"/>
                <w:color w:val="auto"/>
              </w:rPr>
            </w:pPr>
            <w:r>
              <w:rPr>
                <w:rFonts w:ascii="Arial" w:cs="Arial" w:eastAsia="Arial" w:hAnsi="Arial"/>
                <w:sz w:val="16"/>
                <w:szCs w:val="16"/>
                <w:color w:val="auto"/>
              </w:rPr>
              <w:t>Phoenix / N Cave</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20" w:type="dxa"/>
            <w:vAlign w:val="bottom"/>
            <w:vMerge w:val="restart"/>
          </w:tcPr>
          <w:p>
            <w:pPr>
              <w:ind w:left="20"/>
              <w:spacing w:after="0"/>
              <w:rPr>
                <w:sz w:val="20"/>
                <w:szCs w:val="20"/>
                <w:color w:val="auto"/>
              </w:rPr>
            </w:pPr>
            <w:r>
              <w:rPr>
                <w:rFonts w:ascii="Arial" w:cs="Arial" w:eastAsia="Arial" w:hAnsi="Arial"/>
                <w:sz w:val="16"/>
                <w:szCs w:val="16"/>
                <w:color w:val="auto"/>
              </w:rPr>
              <w:t>Creek Rd</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620" w:type="dxa"/>
            <w:vAlign w:val="bottom"/>
          </w:tcPr>
          <w:p>
            <w:pPr>
              <w:ind w:left="20"/>
              <w:spacing w:after="0"/>
              <w:rPr>
                <w:sz w:val="20"/>
                <w:szCs w:val="20"/>
                <w:color w:val="auto"/>
              </w:rPr>
            </w:pPr>
            <w:r>
              <w:rPr>
                <w:rFonts w:ascii="Arial" w:cs="Arial" w:eastAsia="Arial" w:hAnsi="Arial"/>
                <w:sz w:val="16"/>
                <w:szCs w:val="16"/>
                <w:color w:val="auto"/>
              </w:rPr>
              <w:t>Phoenix / Washington</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9/16/2016</w:t>
            </w:r>
          </w:p>
        </w:tc>
        <w:tc>
          <w:tcPr>
            <w:tcW w:w="1620" w:type="dxa"/>
            <w:vAlign w:val="bottom"/>
          </w:tcPr>
          <w:p>
            <w:pPr>
              <w:ind w:left="20"/>
              <w:spacing w:after="0"/>
              <w:rPr>
                <w:sz w:val="20"/>
                <w:szCs w:val="20"/>
                <w:color w:val="auto"/>
              </w:rPr>
            </w:pPr>
            <w:r>
              <w:rPr>
                <w:rFonts w:ascii="Arial" w:cs="Arial" w:eastAsia="Arial" w:hAnsi="Arial"/>
                <w:sz w:val="16"/>
                <w:szCs w:val="16"/>
                <w:color w:val="auto"/>
                <w:w w:val="99"/>
              </w:rPr>
              <w:t>Phoenix / West Peoria</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620" w:type="dxa"/>
            <w:vAlign w:val="bottom"/>
          </w:tcPr>
          <w:p>
            <w:pPr>
              <w:ind w:left="20"/>
              <w:spacing w:after="0"/>
              <w:rPr>
                <w:sz w:val="20"/>
                <w:szCs w:val="20"/>
                <w:color w:val="auto"/>
              </w:rPr>
            </w:pPr>
            <w:r>
              <w:rPr>
                <w:rFonts w:ascii="Arial" w:cs="Arial" w:eastAsia="Arial" w:hAnsi="Arial"/>
                <w:sz w:val="16"/>
                <w:szCs w:val="16"/>
                <w:color w:val="auto"/>
              </w:rPr>
              <w:t>Tempe / S Priest Dr</w:t>
            </w: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620" w:type="dxa"/>
            <w:vAlign w:val="bottom"/>
          </w:tcPr>
          <w:p>
            <w:pPr>
              <w:ind w:left="20"/>
              <w:spacing w:after="0"/>
              <w:rPr>
                <w:sz w:val="20"/>
                <w:szCs w:val="20"/>
                <w:color w:val="auto"/>
              </w:rPr>
            </w:pPr>
            <w:r>
              <w:rPr>
                <w:rFonts w:ascii="Arial" w:cs="Arial" w:eastAsia="Arial" w:hAnsi="Arial"/>
                <w:sz w:val="16"/>
                <w:szCs w:val="16"/>
                <w:color w:val="auto"/>
              </w:rPr>
              <w:t>Tempe / W Broadway</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20" w:type="dxa"/>
            <w:vAlign w:val="bottom"/>
            <w:vMerge w:val="restart"/>
          </w:tcPr>
          <w:p>
            <w:pPr>
              <w:ind w:left="20"/>
              <w:spacing w:after="0"/>
              <w:rPr>
                <w:sz w:val="20"/>
                <w:szCs w:val="20"/>
                <w:color w:val="auto"/>
              </w:rPr>
            </w:pPr>
            <w:r>
              <w:rPr>
                <w:rFonts w:ascii="Arial" w:cs="Arial" w:eastAsia="Arial" w:hAnsi="Arial"/>
                <w:sz w:val="16"/>
                <w:szCs w:val="16"/>
                <w:color w:val="auto"/>
              </w:rPr>
              <w:t>Rd</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11/30/2012</w:t>
            </w:r>
          </w:p>
        </w:tc>
        <w:tc>
          <w:tcPr>
            <w:tcW w:w="1620" w:type="dxa"/>
            <w:vAlign w:val="bottom"/>
          </w:tcPr>
          <w:p>
            <w:pPr>
              <w:ind w:left="20"/>
              <w:spacing w:after="0"/>
              <w:rPr>
                <w:sz w:val="20"/>
                <w:szCs w:val="20"/>
                <w:color w:val="auto"/>
              </w:rPr>
            </w:pPr>
            <w:r>
              <w:rPr>
                <w:rFonts w:ascii="Arial" w:cs="Arial" w:eastAsia="Arial" w:hAnsi="Arial"/>
                <w:sz w:val="16"/>
                <w:szCs w:val="16"/>
                <w:color w:val="auto"/>
              </w:rPr>
              <w:t>Tucson / N Oracle Rd</w:t>
            </w: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4/18/2016</w:t>
            </w:r>
          </w:p>
        </w:tc>
        <w:tc>
          <w:tcPr>
            <w:tcW w:w="1620" w:type="dxa"/>
            <w:vAlign w:val="bottom"/>
          </w:tcPr>
          <w:p>
            <w:pPr>
              <w:ind w:left="20"/>
              <w:spacing w:after="0"/>
              <w:rPr>
                <w:sz w:val="20"/>
                <w:szCs w:val="20"/>
                <w:color w:val="auto"/>
              </w:rPr>
            </w:pPr>
            <w:r>
              <w:rPr>
                <w:rFonts w:ascii="Arial" w:cs="Arial" w:eastAsia="Arial" w:hAnsi="Arial"/>
                <w:sz w:val="16"/>
                <w:szCs w:val="16"/>
                <w:color w:val="auto"/>
              </w:rPr>
              <w:t>Tucson / N Tucson</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20" w:type="dxa"/>
            <w:vAlign w:val="bottom"/>
            <w:vMerge w:val="restart"/>
          </w:tcPr>
          <w:p>
            <w:pPr>
              <w:ind w:left="20"/>
              <w:spacing w:after="0"/>
              <w:rPr>
                <w:sz w:val="20"/>
                <w:szCs w:val="20"/>
                <w:color w:val="auto"/>
              </w:rPr>
            </w:pPr>
            <w:r>
              <w:rPr>
                <w:rFonts w:ascii="Arial" w:cs="Arial" w:eastAsia="Arial" w:hAnsi="Arial"/>
                <w:sz w:val="16"/>
                <w:szCs w:val="16"/>
                <w:color w:val="auto"/>
              </w:rPr>
              <w:t>Blvd</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6/25/2007</w:t>
            </w:r>
          </w:p>
        </w:tc>
        <w:tc>
          <w:tcPr>
            <w:tcW w:w="1620" w:type="dxa"/>
            <w:vAlign w:val="bottom"/>
          </w:tcPr>
          <w:p>
            <w:pPr>
              <w:ind w:left="20"/>
              <w:spacing w:after="0"/>
              <w:rPr>
                <w:sz w:val="20"/>
                <w:szCs w:val="20"/>
                <w:color w:val="auto"/>
              </w:rPr>
            </w:pPr>
            <w:r>
              <w:rPr>
                <w:rFonts w:ascii="Arial" w:cs="Arial" w:eastAsia="Arial" w:hAnsi="Arial"/>
                <w:sz w:val="16"/>
                <w:szCs w:val="16"/>
                <w:color w:val="auto"/>
              </w:rPr>
              <w:t>Alameda</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8/29/2013</w:t>
            </w:r>
          </w:p>
        </w:tc>
        <w:tc>
          <w:tcPr>
            <w:tcW w:w="1620" w:type="dxa"/>
            <w:vAlign w:val="bottom"/>
          </w:tcPr>
          <w:p>
            <w:pPr>
              <w:ind w:left="20"/>
              <w:spacing w:after="0"/>
              <w:rPr>
                <w:sz w:val="20"/>
                <w:szCs w:val="20"/>
                <w:color w:val="auto"/>
              </w:rPr>
            </w:pPr>
            <w:r>
              <w:rPr>
                <w:rFonts w:ascii="Arial" w:cs="Arial" w:eastAsia="Arial" w:hAnsi="Arial"/>
                <w:sz w:val="16"/>
                <w:szCs w:val="16"/>
                <w:color w:val="auto"/>
              </w:rPr>
              <w:t>Alhambra</w:t>
            </w: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4/25/2014</w:t>
            </w:r>
          </w:p>
        </w:tc>
        <w:tc>
          <w:tcPr>
            <w:tcW w:w="1620" w:type="dxa"/>
            <w:vAlign w:val="bottom"/>
          </w:tcPr>
          <w:p>
            <w:pPr>
              <w:ind w:left="20"/>
              <w:spacing w:after="0"/>
              <w:rPr>
                <w:sz w:val="20"/>
                <w:szCs w:val="20"/>
                <w:color w:val="auto"/>
              </w:rPr>
            </w:pPr>
            <w:r>
              <w:rPr>
                <w:rFonts w:ascii="Arial" w:cs="Arial" w:eastAsia="Arial" w:hAnsi="Arial"/>
                <w:sz w:val="16"/>
                <w:szCs w:val="16"/>
                <w:color w:val="auto"/>
              </w:rPr>
              <w:t>Anaheim / Old Canal</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20" w:type="dxa"/>
            <w:vAlign w:val="bottom"/>
            <w:vMerge w:val="restart"/>
          </w:tcPr>
          <w:p>
            <w:pPr>
              <w:ind w:left="20"/>
              <w:spacing w:after="0"/>
              <w:rPr>
                <w:sz w:val="20"/>
                <w:szCs w:val="20"/>
                <w:color w:val="auto"/>
              </w:rPr>
            </w:pPr>
            <w:r>
              <w:rPr>
                <w:rFonts w:ascii="Arial" w:cs="Arial" w:eastAsia="Arial" w:hAnsi="Arial"/>
                <w:sz w:val="16"/>
                <w:szCs w:val="16"/>
                <w:color w:val="auto"/>
              </w:rPr>
              <w:t>Rd</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8/29/2013</w:t>
            </w:r>
          </w:p>
        </w:tc>
        <w:tc>
          <w:tcPr>
            <w:tcW w:w="1620" w:type="dxa"/>
            <w:vAlign w:val="bottom"/>
          </w:tcPr>
          <w:p>
            <w:pPr>
              <w:ind w:left="20"/>
              <w:spacing w:after="0"/>
              <w:rPr>
                <w:sz w:val="20"/>
                <w:szCs w:val="20"/>
                <w:color w:val="auto"/>
              </w:rPr>
            </w:pPr>
            <w:r>
              <w:rPr>
                <w:rFonts w:ascii="Arial" w:cs="Arial" w:eastAsia="Arial" w:hAnsi="Arial"/>
                <w:sz w:val="16"/>
                <w:szCs w:val="16"/>
                <w:color w:val="auto"/>
                <w:w w:val="98"/>
              </w:rPr>
              <w:t>Anaheim / S Adams St</w:t>
            </w: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8/29/2013</w:t>
            </w:r>
          </w:p>
        </w:tc>
        <w:tc>
          <w:tcPr>
            <w:tcW w:w="1620" w:type="dxa"/>
            <w:vAlign w:val="bottom"/>
          </w:tcPr>
          <w:p>
            <w:pPr>
              <w:ind w:left="20"/>
              <w:spacing w:after="0"/>
              <w:rPr>
                <w:sz w:val="20"/>
                <w:szCs w:val="20"/>
                <w:color w:val="auto"/>
              </w:rPr>
            </w:pPr>
            <w:r>
              <w:rPr>
                <w:rFonts w:ascii="Arial" w:cs="Arial" w:eastAsia="Arial" w:hAnsi="Arial"/>
                <w:sz w:val="16"/>
                <w:szCs w:val="16"/>
                <w:color w:val="auto"/>
              </w:rPr>
              <w:t>Anaheim / S State</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20" w:type="dxa"/>
            <w:vAlign w:val="bottom"/>
            <w:vMerge w:val="restart"/>
          </w:tcPr>
          <w:p>
            <w:pPr>
              <w:ind w:left="20"/>
              <w:spacing w:after="0"/>
              <w:rPr>
                <w:sz w:val="20"/>
                <w:szCs w:val="20"/>
                <w:color w:val="auto"/>
              </w:rPr>
            </w:pPr>
            <w:r>
              <w:rPr>
                <w:rFonts w:ascii="Arial" w:cs="Arial" w:eastAsia="Arial" w:hAnsi="Arial"/>
                <w:sz w:val="16"/>
                <w:szCs w:val="16"/>
                <w:color w:val="auto"/>
              </w:rPr>
              <w:t>College Blvd</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7/1/2008</w:t>
            </w:r>
          </w:p>
        </w:tc>
        <w:tc>
          <w:tcPr>
            <w:tcW w:w="1620" w:type="dxa"/>
            <w:vAlign w:val="bottom"/>
          </w:tcPr>
          <w:p>
            <w:pPr>
              <w:ind w:left="20"/>
              <w:spacing w:after="0"/>
              <w:rPr>
                <w:sz w:val="20"/>
                <w:szCs w:val="20"/>
                <w:color w:val="auto"/>
              </w:rPr>
            </w:pPr>
            <w:r>
              <w:rPr>
                <w:rFonts w:ascii="Arial" w:cs="Arial" w:eastAsia="Arial" w:hAnsi="Arial"/>
                <w:sz w:val="16"/>
                <w:szCs w:val="16"/>
                <w:color w:val="auto"/>
              </w:rPr>
              <w:t>Antelope</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10/19/2011</w:t>
            </w:r>
          </w:p>
        </w:tc>
        <w:tc>
          <w:tcPr>
            <w:tcW w:w="1620" w:type="dxa"/>
            <w:vAlign w:val="bottom"/>
          </w:tcPr>
          <w:p>
            <w:pPr>
              <w:ind w:left="20"/>
              <w:spacing w:after="0"/>
              <w:rPr>
                <w:sz w:val="20"/>
                <w:szCs w:val="20"/>
                <w:color w:val="auto"/>
              </w:rPr>
            </w:pPr>
            <w:r>
              <w:rPr>
                <w:rFonts w:ascii="Arial" w:cs="Arial" w:eastAsia="Arial" w:hAnsi="Arial"/>
                <w:sz w:val="16"/>
                <w:szCs w:val="16"/>
                <w:color w:val="auto"/>
              </w:rPr>
              <w:t>Bellflower</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5/15/2007</w:t>
            </w:r>
          </w:p>
        </w:tc>
        <w:tc>
          <w:tcPr>
            <w:tcW w:w="1620" w:type="dxa"/>
            <w:vAlign w:val="bottom"/>
          </w:tcPr>
          <w:p>
            <w:pPr>
              <w:ind w:left="20"/>
              <w:spacing w:after="0"/>
              <w:rPr>
                <w:sz w:val="20"/>
                <w:szCs w:val="20"/>
                <w:color w:val="auto"/>
              </w:rPr>
            </w:pPr>
            <w:r>
              <w:rPr>
                <w:rFonts w:ascii="Arial" w:cs="Arial" w:eastAsia="Arial" w:hAnsi="Arial"/>
                <w:sz w:val="16"/>
                <w:szCs w:val="16"/>
                <w:color w:val="auto"/>
              </w:rPr>
              <w:t>Belmont</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6/25/2007</w:t>
            </w:r>
          </w:p>
        </w:tc>
        <w:tc>
          <w:tcPr>
            <w:tcW w:w="1620" w:type="dxa"/>
            <w:vAlign w:val="bottom"/>
          </w:tcPr>
          <w:p>
            <w:pPr>
              <w:ind w:left="20"/>
              <w:spacing w:after="0"/>
              <w:rPr>
                <w:sz w:val="20"/>
                <w:szCs w:val="20"/>
                <w:color w:val="auto"/>
              </w:rPr>
            </w:pPr>
            <w:r>
              <w:rPr>
                <w:rFonts w:ascii="Arial" w:cs="Arial" w:eastAsia="Arial" w:hAnsi="Arial"/>
                <w:sz w:val="16"/>
                <w:szCs w:val="16"/>
                <w:color w:val="auto"/>
              </w:rPr>
              <w:t>Berkeley</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11/17/2016</w:t>
            </w:r>
          </w:p>
        </w:tc>
        <w:tc>
          <w:tcPr>
            <w:tcW w:w="1620" w:type="dxa"/>
            <w:vAlign w:val="bottom"/>
          </w:tcPr>
          <w:p>
            <w:pPr>
              <w:ind w:left="20"/>
              <w:spacing w:after="0"/>
              <w:rPr>
                <w:sz w:val="20"/>
                <w:szCs w:val="20"/>
                <w:color w:val="auto"/>
              </w:rPr>
            </w:pPr>
            <w:r>
              <w:rPr>
                <w:rFonts w:ascii="Arial" w:cs="Arial" w:eastAsia="Arial" w:hAnsi="Arial"/>
                <w:sz w:val="16"/>
                <w:szCs w:val="16"/>
                <w:color w:val="auto"/>
              </w:rPr>
              <w:t>Bermuda Dunes</w:t>
            </w:r>
          </w:p>
        </w:tc>
        <w:tc>
          <w:tcPr>
            <w:tcW w:w="0" w:type="dxa"/>
            <w:vAlign w:val="bottom"/>
          </w:tcPr>
          <w:p>
            <w:pPr>
              <w:spacing w:after="0"/>
              <w:rPr>
                <w:sz w:val="1"/>
                <w:szCs w:val="1"/>
                <w:color w:val="auto"/>
              </w:rPr>
            </w:pPr>
          </w:p>
        </w:tc>
      </w:tr>
      <w:tr>
        <w:trPr>
          <w:trHeight w:val="31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10/19/2011</w:t>
            </w:r>
          </w:p>
        </w:tc>
        <w:tc>
          <w:tcPr>
            <w:tcW w:w="1620" w:type="dxa"/>
            <w:vAlign w:val="bottom"/>
          </w:tcPr>
          <w:p>
            <w:pPr>
              <w:ind w:left="20"/>
              <w:spacing w:after="0"/>
              <w:rPr>
                <w:sz w:val="20"/>
                <w:szCs w:val="20"/>
                <w:color w:val="auto"/>
              </w:rPr>
            </w:pPr>
            <w:r>
              <w:rPr>
                <w:rFonts w:ascii="Arial" w:cs="Arial" w:eastAsia="Arial" w:hAnsi="Arial"/>
                <w:sz w:val="16"/>
                <w:szCs w:val="16"/>
                <w:color w:val="auto"/>
              </w:rPr>
              <w:t>Bloomington /</w:t>
            </w:r>
          </w:p>
        </w:tc>
        <w:tc>
          <w:tcPr>
            <w:tcW w:w="0" w:type="dxa"/>
            <w:vAlign w:val="bottom"/>
          </w:tcPr>
          <w:p>
            <w:pPr>
              <w:spacing w:after="0"/>
              <w:rPr>
                <w:sz w:val="1"/>
                <w:szCs w:val="1"/>
                <w:color w:val="auto"/>
              </w:rPr>
            </w:pPr>
          </w:p>
        </w:tc>
      </w:tr>
      <w:tr>
        <w:trPr>
          <w:trHeight w:val="206"/>
        </w:trPr>
        <w:tc>
          <w:tcPr>
            <w:tcW w:w="960" w:type="dxa"/>
            <w:vAlign w:val="bottom"/>
          </w:tcPr>
          <w:p>
            <w:pPr>
              <w:spacing w:after="0"/>
              <w:rPr>
                <w:sz w:val="17"/>
                <w:szCs w:val="17"/>
                <w:color w:val="auto"/>
              </w:rPr>
            </w:pPr>
          </w:p>
        </w:tc>
        <w:tc>
          <w:tcPr>
            <w:tcW w:w="1620" w:type="dxa"/>
            <w:vAlign w:val="bottom"/>
          </w:tcPr>
          <w:p>
            <w:pPr>
              <w:ind w:left="20"/>
              <w:spacing w:after="0"/>
              <w:rPr>
                <w:sz w:val="20"/>
                <w:szCs w:val="20"/>
                <w:color w:val="auto"/>
              </w:rPr>
            </w:pPr>
            <w:r>
              <w:rPr>
                <w:rFonts w:ascii="Arial" w:cs="Arial" w:eastAsia="Arial" w:hAnsi="Arial"/>
                <w:sz w:val="16"/>
                <w:szCs w:val="16"/>
                <w:color w:val="auto"/>
              </w:rPr>
              <w:t>Bloomington Ave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jc w:val="center"/>
        <w:ind w:right="2680"/>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ind w:right="2680"/>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ind w:right="2680"/>
        <w:spacing w:after="0"/>
        <w:rPr>
          <w:sz w:val="20"/>
          <w:szCs w:val="20"/>
          <w:color w:val="auto"/>
        </w:rPr>
      </w:pPr>
      <w:r>
        <w:rPr>
          <w:rFonts w:ascii="Arial" w:cs="Arial" w:eastAsia="Arial" w:hAnsi="Arial"/>
          <w:sz w:val="18"/>
          <w:szCs w:val="18"/>
          <w:b w:val="1"/>
          <w:bCs w:val="1"/>
          <w:color w:val="auto"/>
        </w:rPr>
        <w:t>Real Estate and Accumulated Depreciation</w:t>
      </w:r>
    </w:p>
    <w:p>
      <w:pPr>
        <w:spacing w:after="0" w:line="9" w:lineRule="exact"/>
        <w:rPr>
          <w:sz w:val="20"/>
          <w:szCs w:val="20"/>
          <w:color w:val="auto"/>
        </w:rPr>
      </w:pPr>
    </w:p>
    <w:p>
      <w:pPr>
        <w:jc w:val="center"/>
        <w:ind w:right="2680"/>
        <w:spacing w:after="0"/>
        <w:rPr>
          <w:sz w:val="20"/>
          <w:szCs w:val="20"/>
          <w:color w:val="auto"/>
        </w:rPr>
      </w:pPr>
      <w:r>
        <w:rPr>
          <w:rFonts w:ascii="Arial" w:cs="Arial" w:eastAsia="Arial" w:hAnsi="Arial"/>
          <w:sz w:val="18"/>
          <w:szCs w:val="18"/>
          <w:b w:val="1"/>
          <w:bCs w:val="1"/>
          <w:color w:val="auto"/>
        </w:rPr>
        <w:t>(Dollars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Adjustments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Gross carrying amount at</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2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0"/>
              </w:rPr>
              <w:t>December 31, 2016</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Building and</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2"/>
              </w:rPr>
              <w:t>and costs</w:t>
            </w: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Land</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improvements</w:t>
            </w: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subsequent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Building and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0" w:type="dxa"/>
            <w:vAlign w:val="bottom"/>
          </w:tcPr>
          <w:p>
            <w:pPr>
              <w:spacing w:after="0"/>
              <w:rPr>
                <w:sz w:val="1"/>
                <w:szCs w:val="1"/>
                <w:color w:val="auto"/>
              </w:rPr>
            </w:pPr>
          </w:p>
        </w:tc>
      </w:tr>
      <w:tr>
        <w:trPr>
          <w:trHeight w:val="210"/>
        </w:trPr>
        <w:tc>
          <w:tcPr>
            <w:tcW w:w="5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State</w:t>
            </w:r>
          </w:p>
        </w:tc>
        <w:tc>
          <w:tcPr>
            <w:tcW w:w="680" w:type="dxa"/>
            <w:vAlign w:val="bottom"/>
            <w:gridSpan w:val="2"/>
          </w:tcPr>
          <w:p>
            <w:pPr>
              <w:ind w:left="120"/>
              <w:spacing w:after="0"/>
              <w:rPr>
                <w:sz w:val="20"/>
                <w:szCs w:val="20"/>
                <w:color w:val="auto"/>
              </w:rPr>
            </w:pPr>
            <w:r>
              <w:rPr>
                <w:rFonts w:ascii="Arial" w:cs="Arial" w:eastAsia="Arial" w:hAnsi="Arial"/>
                <w:sz w:val="16"/>
                <w:szCs w:val="16"/>
                <w:b w:val="1"/>
                <w:bCs w:val="1"/>
                <w:color w:val="auto"/>
              </w:rPr>
              <w:t>Debt</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initial cost</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initial cost</w:t>
            </w: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to acquisition</w:t>
            </w:r>
          </w:p>
        </w:tc>
        <w:tc>
          <w:tcPr>
            <w:tcW w:w="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Notes</w:t>
            </w:r>
          </w:p>
        </w:tc>
        <w:tc>
          <w:tcPr>
            <w:tcW w:w="680" w:type="dxa"/>
            <w:vAlign w:val="bottom"/>
          </w:tcPr>
          <w:p>
            <w:pPr>
              <w:ind w:left="40"/>
              <w:spacing w:after="0"/>
              <w:rPr>
                <w:sz w:val="20"/>
                <w:szCs w:val="20"/>
                <w:color w:val="auto"/>
              </w:rPr>
            </w:pPr>
            <w:r>
              <w:rPr>
                <w:rFonts w:ascii="Arial" w:cs="Arial" w:eastAsia="Arial" w:hAnsi="Arial"/>
                <w:sz w:val="16"/>
                <w:szCs w:val="16"/>
                <w:b w:val="1"/>
                <w:bCs w:val="1"/>
                <w:color w:val="auto"/>
              </w:rPr>
              <w:t>Land</w:t>
            </w:r>
          </w:p>
        </w:tc>
        <w:tc>
          <w:tcPr>
            <w:tcW w:w="10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improvements</w:t>
            </w:r>
          </w:p>
        </w:tc>
        <w:tc>
          <w:tcPr>
            <w:tcW w:w="68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0"/>
              </w:rPr>
              <w:t>depreciation</w:t>
            </w:r>
          </w:p>
        </w:tc>
        <w:tc>
          <w:tcPr>
            <w:tcW w:w="0" w:type="dxa"/>
            <w:vAlign w:val="bottom"/>
          </w:tcPr>
          <w:p>
            <w:pPr>
              <w:spacing w:after="0"/>
              <w:rPr>
                <w:sz w:val="1"/>
                <w:szCs w:val="1"/>
                <w:color w:val="auto"/>
              </w:rPr>
            </w:pPr>
          </w:p>
        </w:tc>
      </w:tr>
      <w:tr>
        <w:trPr>
          <w:trHeight w:val="33"/>
        </w:trPr>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rPr>
              <w:t>AL</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$4,512</w:t>
            </w: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$324</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$1,895</w:t>
            </w: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5"/>
              </w:rPr>
              <w:t>$163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$325</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$2,057</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$2,382</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$408</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rPr>
              <w:t>AL</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1,751</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92</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138</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203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92</w:t>
            </w:r>
          </w:p>
        </w:tc>
        <w:tc>
          <w:tcPr>
            <w:tcW w:w="13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341</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433</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125</w:t>
            </w:r>
          </w:p>
        </w:tc>
        <w:tc>
          <w:tcPr>
            <w:tcW w:w="0" w:type="dxa"/>
            <w:vAlign w:val="bottom"/>
          </w:tcPr>
          <w:p>
            <w:pPr>
              <w:spacing w:after="0"/>
              <w:rPr>
                <w:sz w:val="1"/>
                <w:szCs w:val="1"/>
                <w:color w:val="auto"/>
              </w:rPr>
            </w:pPr>
          </w:p>
        </w:tc>
      </w:tr>
      <w:tr>
        <w:trPr>
          <w:trHeight w:val="364"/>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rPr>
              <w:t>AL</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4,424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790</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9,369</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160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790</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9,529</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10,319</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1,108</w:t>
            </w:r>
          </w:p>
        </w:tc>
        <w:tc>
          <w:tcPr>
            <w:tcW w:w="0" w:type="dxa"/>
            <w:vAlign w:val="bottom"/>
          </w:tcPr>
          <w:p>
            <w:pPr>
              <w:spacing w:after="0"/>
              <w:rPr>
                <w:sz w:val="1"/>
                <w:szCs w:val="1"/>
                <w:color w:val="auto"/>
              </w:rPr>
            </w:pPr>
          </w:p>
        </w:tc>
      </w:tr>
      <w:tr>
        <w:trPr>
          <w:trHeight w:val="364"/>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rPr>
              <w:t>AL</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7,211</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2,381</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11,224</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108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2,381</w:t>
            </w:r>
          </w:p>
        </w:tc>
        <w:tc>
          <w:tcPr>
            <w:tcW w:w="13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11,332</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13,713</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820</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rPr>
              <w:t>AL</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970</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4,182</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249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970</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4,431</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5,401</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148</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rPr>
              <w:t>AL</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3,973</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1,313</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2,858</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744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1,313</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3,602</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4,915</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1,275</w:t>
            </w:r>
          </w:p>
        </w:tc>
        <w:tc>
          <w:tcPr>
            <w:tcW w:w="0" w:type="dxa"/>
            <w:vAlign w:val="bottom"/>
          </w:tcPr>
          <w:p>
            <w:pPr>
              <w:spacing w:after="0"/>
              <w:rPr>
                <w:sz w:val="1"/>
                <w:szCs w:val="1"/>
                <w:color w:val="auto"/>
              </w:rPr>
            </w:pPr>
          </w:p>
        </w:tc>
      </w:tr>
      <w:tr>
        <w:trPr>
          <w:trHeight w:val="364"/>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rPr>
              <w:t>AL</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4,898</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540</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9,048</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233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540</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9,281</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9,821</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304</w:t>
            </w:r>
          </w:p>
        </w:tc>
        <w:tc>
          <w:tcPr>
            <w:tcW w:w="0" w:type="dxa"/>
            <w:vAlign w:val="bottom"/>
          </w:tcPr>
          <w:p>
            <w:pPr>
              <w:spacing w:after="0"/>
              <w:rPr>
                <w:sz w:val="1"/>
                <w:szCs w:val="1"/>
                <w:color w:val="auto"/>
              </w:rPr>
            </w:pPr>
          </w:p>
        </w:tc>
      </w:tr>
      <w:tr>
        <w:trPr>
          <w:trHeight w:val="459"/>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rPr>
              <w:t>AL</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1,280</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4,056</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637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1,280</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4,693</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5,973</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154</w:t>
            </w:r>
          </w:p>
        </w:tc>
        <w:tc>
          <w:tcPr>
            <w:tcW w:w="0" w:type="dxa"/>
            <w:vAlign w:val="bottom"/>
          </w:tcPr>
          <w:p>
            <w:pPr>
              <w:spacing w:after="0"/>
              <w:rPr>
                <w:sz w:val="1"/>
                <w:szCs w:val="1"/>
                <w:color w:val="auto"/>
              </w:rPr>
            </w:pPr>
          </w:p>
        </w:tc>
      </w:tr>
      <w:tr>
        <w:trPr>
          <w:trHeight w:val="364"/>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AZ</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1,964</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7,432</w:t>
            </w:r>
          </w:p>
        </w:tc>
        <w:tc>
          <w:tcPr>
            <w:tcW w:w="12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1,964</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7,432</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9,396</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16</w:t>
            </w:r>
          </w:p>
        </w:tc>
        <w:tc>
          <w:tcPr>
            <w:tcW w:w="0" w:type="dxa"/>
            <w:vAlign w:val="bottom"/>
          </w:tcPr>
          <w:p>
            <w:pPr>
              <w:spacing w:after="0"/>
              <w:rPr>
                <w:sz w:val="1"/>
                <w:szCs w:val="1"/>
                <w:color w:val="auto"/>
              </w:rPr>
            </w:pPr>
          </w:p>
        </w:tc>
      </w:tr>
      <w:tr>
        <w:trPr>
          <w:trHeight w:val="364"/>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AZ</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950</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3,707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272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950</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3,979</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4,929</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133</w:t>
            </w:r>
          </w:p>
        </w:tc>
        <w:tc>
          <w:tcPr>
            <w:tcW w:w="0" w:type="dxa"/>
            <w:vAlign w:val="bottom"/>
          </w:tcPr>
          <w:p>
            <w:pPr>
              <w:spacing w:after="0"/>
              <w:rPr>
                <w:sz w:val="1"/>
                <w:szCs w:val="1"/>
                <w:color w:val="auto"/>
              </w:rPr>
            </w:pPr>
          </w:p>
        </w:tc>
      </w:tr>
      <w:tr>
        <w:trPr>
          <w:trHeight w:val="364"/>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AZ</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4,081</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547</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4,213</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230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547</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4,443</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4,990</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443</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AZ</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608</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8,461</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249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608</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8,710</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9,318</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400</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AZ</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1,350</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6,290</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307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1,350</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6,597</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7,947</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224</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AZ</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5,435</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2,973</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5,545</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353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2,973</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5,898</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8,871</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657</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AZ</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360</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4,655</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30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360</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4,685</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5,045</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90</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AZ</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849</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2,547</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347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849</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2,894</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3,743</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977</w:t>
            </w:r>
          </w:p>
        </w:tc>
        <w:tc>
          <w:tcPr>
            <w:tcW w:w="0" w:type="dxa"/>
            <w:vAlign w:val="bottom"/>
          </w:tcPr>
          <w:p>
            <w:pPr>
              <w:spacing w:after="0"/>
              <w:rPr>
                <w:sz w:val="1"/>
                <w:szCs w:val="1"/>
                <w:color w:val="auto"/>
              </w:rPr>
            </w:pPr>
          </w:p>
        </w:tc>
      </w:tr>
      <w:tr>
        <w:trPr>
          <w:trHeight w:val="364"/>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AZ</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1,129</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4,402</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264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1,129</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4,666</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5,795</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548</w:t>
            </w:r>
          </w:p>
        </w:tc>
        <w:tc>
          <w:tcPr>
            <w:tcW w:w="0" w:type="dxa"/>
            <w:vAlign w:val="bottom"/>
          </w:tcPr>
          <w:p>
            <w:pPr>
              <w:spacing w:after="0"/>
              <w:rPr>
                <w:sz w:val="1"/>
                <w:szCs w:val="1"/>
                <w:color w:val="auto"/>
              </w:rPr>
            </w:pPr>
          </w:p>
        </w:tc>
      </w:tr>
      <w:tr>
        <w:trPr>
          <w:trHeight w:val="364"/>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AZ</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4,049</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1,453</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2,897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170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1,453</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3,067</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4,520</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301</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AZ</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4,337</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652</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4,105</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173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652</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4,278</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4,930</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1,228</w:t>
            </w:r>
          </w:p>
        </w:tc>
        <w:tc>
          <w:tcPr>
            <w:tcW w:w="0" w:type="dxa"/>
            <w:vAlign w:val="bottom"/>
          </w:tcPr>
          <w:p>
            <w:pPr>
              <w:spacing w:after="0"/>
              <w:rPr>
                <w:sz w:val="1"/>
                <w:szCs w:val="1"/>
                <w:color w:val="auto"/>
              </w:rPr>
            </w:pPr>
          </w:p>
        </w:tc>
      </w:tr>
      <w:tr>
        <w:trPr>
          <w:trHeight w:val="364"/>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AZ</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1,060</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4,731</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1,060</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4,779</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5,839</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751</w:t>
            </w:r>
          </w:p>
        </w:tc>
        <w:tc>
          <w:tcPr>
            <w:tcW w:w="0" w:type="dxa"/>
            <w:vAlign w:val="bottom"/>
          </w:tcPr>
          <w:p>
            <w:pPr>
              <w:spacing w:after="0"/>
              <w:rPr>
                <w:sz w:val="1"/>
                <w:szCs w:val="1"/>
                <w:color w:val="auto"/>
              </w:rPr>
            </w:pPr>
          </w:p>
        </w:tc>
      </w:tr>
      <w:tr>
        <w:trPr>
          <w:trHeight w:val="459"/>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AZ</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669</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4,135</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507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668</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4,643</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5,311</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1,283</w:t>
            </w:r>
          </w:p>
        </w:tc>
        <w:tc>
          <w:tcPr>
            <w:tcW w:w="0" w:type="dxa"/>
            <w:vAlign w:val="bottom"/>
          </w:tcPr>
          <w:p>
            <w:pPr>
              <w:spacing w:after="0"/>
              <w:rPr>
                <w:sz w:val="1"/>
                <w:szCs w:val="1"/>
                <w:color w:val="auto"/>
              </w:rPr>
            </w:pPr>
          </w:p>
        </w:tc>
      </w:tr>
      <w:tr>
        <w:trPr>
          <w:trHeight w:val="364"/>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AZ</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8,019</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1,441</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7,982</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4"/>
              </w:rPr>
              <w:t>1,057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1,441</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9,039</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10,480</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2,850</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AZ</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470</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1,702</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582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470</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2,284</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2,754</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82</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AZ</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6,984</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2,257</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7,820</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364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2,257</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8,184</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10,441</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892</w:t>
            </w:r>
          </w:p>
        </w:tc>
        <w:tc>
          <w:tcPr>
            <w:tcW w:w="0" w:type="dxa"/>
            <w:vAlign w:val="bottom"/>
          </w:tcPr>
          <w:p>
            <w:pPr>
              <w:spacing w:after="0"/>
              <w:rPr>
                <w:sz w:val="1"/>
                <w:szCs w:val="1"/>
                <w:color w:val="auto"/>
              </w:rPr>
            </w:pPr>
          </w:p>
        </w:tc>
      </w:tr>
      <w:tr>
        <w:trPr>
          <w:trHeight w:val="364"/>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AZ</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2,814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552</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3,530</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288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551</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3,819</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4,370</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1,147</w:t>
            </w:r>
          </w:p>
        </w:tc>
        <w:tc>
          <w:tcPr>
            <w:tcW w:w="0" w:type="dxa"/>
            <w:vAlign w:val="bottom"/>
          </w:tcPr>
          <w:p>
            <w:pPr>
              <w:spacing w:after="0"/>
              <w:rPr>
                <w:sz w:val="1"/>
                <w:szCs w:val="1"/>
                <w:color w:val="auto"/>
              </w:rPr>
            </w:pPr>
          </w:p>
        </w:tc>
      </w:tr>
      <w:tr>
        <w:trPr>
          <w:trHeight w:val="364"/>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AZ</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3,105</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1,200</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3,767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438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1,200</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4,205</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5,405</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146</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AZ</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1,545</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7,135</w:t>
            </w:r>
          </w:p>
        </w:tc>
        <w:tc>
          <w:tcPr>
            <w:tcW w:w="120" w:type="dxa"/>
            <w:vAlign w:val="bottom"/>
          </w:tcPr>
          <w:p>
            <w:pPr>
              <w:spacing w:after="0"/>
              <w:rPr>
                <w:sz w:val="23"/>
                <w:szCs w:val="23"/>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1,545</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7,135</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8,680</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61</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AZ</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850</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3,283</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175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850</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3,458</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4,308</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115</w:t>
            </w:r>
          </w:p>
        </w:tc>
        <w:tc>
          <w:tcPr>
            <w:tcW w:w="0" w:type="dxa"/>
            <w:vAlign w:val="bottom"/>
          </w:tcPr>
          <w:p>
            <w:pPr>
              <w:spacing w:after="0"/>
              <w:rPr>
                <w:sz w:val="1"/>
                <w:szCs w:val="1"/>
                <w:color w:val="auto"/>
              </w:rPr>
            </w:pPr>
          </w:p>
        </w:tc>
      </w:tr>
      <w:tr>
        <w:trPr>
          <w:trHeight w:val="364"/>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AZ</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2,711</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1,040</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3,562</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333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1,040</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3,895</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4,935</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144</w:t>
            </w:r>
          </w:p>
        </w:tc>
        <w:tc>
          <w:tcPr>
            <w:tcW w:w="0" w:type="dxa"/>
            <w:vAlign w:val="bottom"/>
          </w:tcPr>
          <w:p>
            <w:pPr>
              <w:spacing w:after="0"/>
              <w:rPr>
                <w:sz w:val="1"/>
                <w:szCs w:val="1"/>
                <w:color w:val="auto"/>
              </w:rPr>
            </w:pPr>
          </w:p>
        </w:tc>
      </w:tr>
      <w:tr>
        <w:trPr>
          <w:trHeight w:val="364"/>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AZ</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1,090</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7,845</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134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1,090</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7,979</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9,069</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868</w:t>
            </w:r>
          </w:p>
        </w:tc>
        <w:tc>
          <w:tcPr>
            <w:tcW w:w="0" w:type="dxa"/>
            <w:vAlign w:val="bottom"/>
          </w:tcPr>
          <w:p>
            <w:pPr>
              <w:spacing w:after="0"/>
              <w:rPr>
                <w:sz w:val="1"/>
                <w:szCs w:val="1"/>
                <w:color w:val="auto"/>
              </w:rPr>
            </w:pPr>
          </w:p>
        </w:tc>
      </w:tr>
      <w:tr>
        <w:trPr>
          <w:trHeight w:val="364"/>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AZ</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786</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7,233</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235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786</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7,468</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8,254</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143</w:t>
            </w:r>
          </w:p>
        </w:tc>
        <w:tc>
          <w:tcPr>
            <w:tcW w:w="0" w:type="dxa"/>
            <w:vAlign w:val="bottom"/>
          </w:tcPr>
          <w:p>
            <w:pPr>
              <w:spacing w:after="0"/>
              <w:rPr>
                <w:sz w:val="1"/>
                <w:szCs w:val="1"/>
                <w:color w:val="auto"/>
              </w:rPr>
            </w:pPr>
          </w:p>
        </w:tc>
      </w:tr>
      <w:tr>
        <w:trPr>
          <w:trHeight w:val="364"/>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rPr>
              <w:t>CA</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2,919</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12,984</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4"/>
              </w:rPr>
              <w:t>2,133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2,919</w:t>
            </w:r>
          </w:p>
        </w:tc>
        <w:tc>
          <w:tcPr>
            <w:tcW w:w="13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15,117</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18,036</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4,613</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rPr>
              <w:t>CA</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10,109</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6,065</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402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10,109</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6,467</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16,576</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606</w:t>
            </w:r>
          </w:p>
        </w:tc>
        <w:tc>
          <w:tcPr>
            <w:tcW w:w="0" w:type="dxa"/>
            <w:vAlign w:val="bottom"/>
          </w:tcPr>
          <w:p>
            <w:pPr>
              <w:spacing w:after="0"/>
              <w:rPr>
                <w:sz w:val="1"/>
                <w:szCs w:val="1"/>
                <w:color w:val="auto"/>
              </w:rPr>
            </w:pPr>
          </w:p>
        </w:tc>
      </w:tr>
      <w:tr>
        <w:trPr>
          <w:trHeight w:val="364"/>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10,062</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2,765</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12,680</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189</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2,765</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12,869</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15,634</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922</w:t>
            </w:r>
          </w:p>
        </w:tc>
        <w:tc>
          <w:tcPr>
            <w:tcW w:w="0" w:type="dxa"/>
            <w:vAlign w:val="bottom"/>
          </w:tcPr>
          <w:p>
            <w:pPr>
              <w:spacing w:after="0"/>
              <w:rPr>
                <w:sz w:val="1"/>
                <w:szCs w:val="1"/>
                <w:color w:val="auto"/>
              </w:rPr>
            </w:pPr>
          </w:p>
        </w:tc>
      </w:tr>
      <w:tr>
        <w:trPr>
          <w:trHeight w:val="364"/>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6,966</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3,593</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3,330</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262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3,593</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3,592</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7,185</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358</w:t>
            </w:r>
          </w:p>
        </w:tc>
        <w:tc>
          <w:tcPr>
            <w:tcW w:w="0" w:type="dxa"/>
            <w:vAlign w:val="bottom"/>
          </w:tcPr>
          <w:p>
            <w:pPr>
              <w:spacing w:after="0"/>
              <w:rPr>
                <w:sz w:val="1"/>
                <w:szCs w:val="1"/>
                <w:color w:val="auto"/>
              </w:rPr>
            </w:pPr>
          </w:p>
        </w:tc>
      </w:tr>
      <w:tr>
        <w:trPr>
          <w:trHeight w:val="364"/>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6,365</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2,519</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2,886</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223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2,519</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3,109</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5,628</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312</w:t>
            </w:r>
          </w:p>
        </w:tc>
        <w:tc>
          <w:tcPr>
            <w:tcW w:w="0" w:type="dxa"/>
            <w:vAlign w:val="bottom"/>
          </w:tcPr>
          <w:p>
            <w:pPr>
              <w:spacing w:after="0"/>
              <w:rPr>
                <w:sz w:val="1"/>
                <w:szCs w:val="1"/>
                <w:color w:val="auto"/>
              </w:rPr>
            </w:pPr>
          </w:p>
        </w:tc>
      </w:tr>
      <w:tr>
        <w:trPr>
          <w:trHeight w:val="364"/>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rPr>
              <w:t>CA</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1,525</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8,345</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0"/>
              </w:rPr>
              <w:t>(251)</w:t>
            </w:r>
          </w:p>
        </w:tc>
        <w:tc>
          <w:tcPr>
            <w:tcW w:w="100" w:type="dxa"/>
            <w:vAlign w:val="bottom"/>
          </w:tcPr>
          <w:p>
            <w:pPr>
              <w:spacing w:after="0"/>
              <w:rPr>
                <w:sz w:val="24"/>
                <w:szCs w:val="24"/>
                <w:color w:val="auto"/>
              </w:rPr>
            </w:pPr>
          </w:p>
        </w:tc>
        <w:tc>
          <w:tcPr>
            <w:tcW w:w="560" w:type="dxa"/>
            <w:vAlign w:val="bottom"/>
            <w:gridSpan w:val="2"/>
          </w:tcPr>
          <w:p>
            <w:pPr>
              <w:jc w:val="center"/>
              <w:ind w:right="60"/>
              <w:spacing w:after="0"/>
              <w:rPr>
                <w:sz w:val="20"/>
                <w:szCs w:val="20"/>
                <w:color w:val="auto"/>
              </w:rPr>
            </w:pPr>
            <w:r>
              <w:rPr>
                <w:rFonts w:ascii="Arial" w:cs="Arial" w:eastAsia="Arial" w:hAnsi="Arial"/>
                <w:sz w:val="16"/>
                <w:szCs w:val="16"/>
                <w:color w:val="auto"/>
                <w:w w:val="91"/>
              </w:rPr>
              <w:t>(a)</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1,185</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8,434</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9,619</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1,822</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2,025</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640</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1,350</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104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639</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1,455</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2,094</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211</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rPr>
              <w:t>CA</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3,500</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7,280</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131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3,500</w:t>
            </w:r>
          </w:p>
        </w:tc>
        <w:tc>
          <w:tcPr>
            <w:tcW w:w="13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7,411</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10,911</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1,800</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20,351</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1,716</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19,602</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4"/>
              </w:rPr>
              <w:t>2,107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1,715</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21,710</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23,425</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5,762</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rPr>
              <w:t>CA</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2,593</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15,049</w:t>
            </w:r>
          </w:p>
        </w:tc>
        <w:tc>
          <w:tcPr>
            <w:tcW w:w="120" w:type="dxa"/>
            <w:vAlign w:val="bottom"/>
          </w:tcPr>
          <w:p>
            <w:pPr>
              <w:spacing w:after="0"/>
              <w:rPr>
                <w:sz w:val="23"/>
                <w:szCs w:val="23"/>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2,593</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15,049</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17,642</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64</w:t>
            </w:r>
          </w:p>
        </w:tc>
        <w:tc>
          <w:tcPr>
            <w:tcW w:w="0" w:type="dxa"/>
            <w:vAlign w:val="bottom"/>
          </w:tcPr>
          <w:p>
            <w:pPr>
              <w:spacing w:after="0"/>
              <w:rPr>
                <w:sz w:val="1"/>
                <w:szCs w:val="1"/>
                <w:color w:val="auto"/>
              </w:rPr>
            </w:pPr>
          </w:p>
        </w:tc>
      </w:tr>
      <w:tr>
        <w:trPr>
          <w:trHeight w:val="364"/>
        </w:trPr>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2,692</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934</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1,937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171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934</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2,108</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3,042</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-8672830</wp:posOffset>
            </wp:positionV>
            <wp:extent cx="7246620"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9705"/>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-8321675</wp:posOffset>
            </wp:positionV>
            <wp:extent cx="7246620" cy="291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-7858760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-7516495</wp:posOffset>
            </wp:positionV>
            <wp:extent cx="7246620" cy="291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-6934200</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-6471285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-6129020</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-5786120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-5443220</wp:posOffset>
            </wp:positionV>
            <wp:extent cx="7246620" cy="291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-4980940</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-4518660</wp:posOffset>
            </wp:positionV>
            <wp:extent cx="7246620" cy="291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-4055745</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-3713480</wp:posOffset>
            </wp:positionV>
            <wp:extent cx="7246620" cy="291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-3250565</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-2907665</wp:posOffset>
            </wp:positionV>
            <wp:extent cx="7246620" cy="291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-2445385</wp:posOffset>
            </wp:positionV>
            <wp:extent cx="7246620" cy="291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-1983105</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-1520190</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-1057910</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-715010</wp:posOffset>
            </wp:positionV>
            <wp:extent cx="72466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-372745</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89535</wp:posOffset>
            </wp:positionV>
            <wp:extent cx="7246620" cy="139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970"/>
                    </a:xfrm>
                    <a:prstGeom prst="rect">
                      <a:avLst/>
                    </a:prstGeom>
                    <a:noFill/>
                  </pic:spPr>
                </pic:pic>
              </a:graphicData>
            </a:graphic>
          </wp:anchor>
        </w:drawing>
      </w:r>
    </w:p>
    <w:p>
      <w:pPr>
        <w:sectPr>
          <w:pgSz w:w="11900" w:h="16896" w:orient="portrait"/>
          <w:cols w:equalWidth="0" w:num="2">
            <w:col w:w="2580" w:space="100"/>
            <w:col w:w="8740"/>
          </w:cols>
          <w:pgMar w:left="240" w:top="796" w:right="239" w:bottom="0" w:gutter="0" w:footer="0" w:header="0"/>
        </w:sectPr>
      </w:pPr>
    </w:p>
    <w:bookmarkStart w:id="94" w:name="page95"/>
    <w:bookmarkEnd w:id="94"/>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10/19/2011</w:t>
            </w:r>
          </w:p>
        </w:tc>
        <w:tc>
          <w:tcPr>
            <w:tcW w:w="1720" w:type="dxa"/>
            <w:vAlign w:val="bottom"/>
          </w:tcPr>
          <w:p>
            <w:pPr>
              <w:ind w:left="60"/>
              <w:spacing w:after="0"/>
              <w:rPr>
                <w:sz w:val="20"/>
                <w:szCs w:val="20"/>
                <w:color w:val="auto"/>
              </w:rPr>
            </w:pPr>
            <w:r>
              <w:rPr>
                <w:rFonts w:ascii="Arial" w:cs="Arial" w:eastAsia="Arial" w:hAnsi="Arial"/>
                <w:sz w:val="16"/>
                <w:szCs w:val="16"/>
                <w:color w:val="auto"/>
              </w:rPr>
              <w:t>Bloomington / Linden</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1720" w:type="dxa"/>
            <w:vAlign w:val="bottom"/>
          </w:tcPr>
          <w:p>
            <w:pPr>
              <w:ind w:left="60"/>
              <w:spacing w:after="0"/>
              <w:rPr>
                <w:sz w:val="20"/>
                <w:szCs w:val="20"/>
                <w:color w:val="auto"/>
              </w:rPr>
            </w:pPr>
            <w:r>
              <w:rPr>
                <w:rFonts w:ascii="Arial" w:cs="Arial" w:eastAsia="Arial" w:hAnsi="Arial"/>
                <w:sz w:val="16"/>
                <w:szCs w:val="16"/>
                <w:color w:val="auto"/>
              </w:rPr>
              <w:t>Ave</w:t>
            </w: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8/29/2013</w:t>
            </w:r>
          </w:p>
        </w:tc>
        <w:tc>
          <w:tcPr>
            <w:tcW w:w="1720" w:type="dxa"/>
            <w:vAlign w:val="bottom"/>
          </w:tcPr>
          <w:p>
            <w:pPr>
              <w:ind w:left="60"/>
              <w:spacing w:after="0"/>
              <w:rPr>
                <w:sz w:val="20"/>
                <w:szCs w:val="20"/>
                <w:color w:val="auto"/>
              </w:rPr>
            </w:pPr>
            <w:r>
              <w:rPr>
                <w:rFonts w:ascii="Arial" w:cs="Arial" w:eastAsia="Arial" w:hAnsi="Arial"/>
                <w:sz w:val="16"/>
                <w:szCs w:val="16"/>
                <w:color w:val="auto"/>
              </w:rPr>
              <w:t>Burbank / Thornton</w:t>
            </w:r>
          </w:p>
        </w:tc>
        <w:tc>
          <w:tcPr>
            <w:tcW w:w="480" w:type="dxa"/>
            <w:vAlign w:val="bottom"/>
            <w:vMerge w:val="restart"/>
          </w:tcPr>
          <w:p>
            <w:pPr>
              <w:ind w:left="120"/>
              <w:spacing w:after="0"/>
              <w:rPr>
                <w:sz w:val="20"/>
                <w:szCs w:val="20"/>
                <w:color w:val="auto"/>
              </w:rPr>
            </w:pPr>
            <w:r>
              <w:rPr>
                <w:rFonts w:ascii="Arial" w:cs="Arial" w:eastAsia="Arial" w:hAnsi="Arial"/>
                <w:sz w:val="16"/>
                <w:szCs w:val="16"/>
                <w:color w:val="auto"/>
              </w:rPr>
              <w:t>CA</w:t>
            </w: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720" w:type="dxa"/>
            <w:vAlign w:val="bottom"/>
            <w:vMerge w:val="restart"/>
          </w:tcPr>
          <w:p>
            <w:pPr>
              <w:ind w:left="60"/>
              <w:spacing w:after="0"/>
              <w:rPr>
                <w:sz w:val="20"/>
                <w:szCs w:val="20"/>
                <w:color w:val="auto"/>
              </w:rPr>
            </w:pPr>
            <w:r>
              <w:rPr>
                <w:rFonts w:ascii="Arial" w:cs="Arial" w:eastAsia="Arial" w:hAnsi="Arial"/>
                <w:sz w:val="16"/>
                <w:szCs w:val="16"/>
                <w:color w:val="auto"/>
              </w:rPr>
              <w:t>Ave</w:t>
            </w:r>
          </w:p>
        </w:tc>
        <w:tc>
          <w:tcPr>
            <w:tcW w:w="4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8/10/2000</w:t>
            </w:r>
          </w:p>
        </w:tc>
        <w:tc>
          <w:tcPr>
            <w:tcW w:w="1720" w:type="dxa"/>
            <w:vAlign w:val="bottom"/>
          </w:tcPr>
          <w:p>
            <w:pPr>
              <w:ind w:left="60"/>
              <w:spacing w:after="0"/>
              <w:rPr>
                <w:sz w:val="20"/>
                <w:szCs w:val="20"/>
                <w:color w:val="auto"/>
              </w:rPr>
            </w:pPr>
            <w:r>
              <w:rPr>
                <w:rFonts w:ascii="Arial" w:cs="Arial" w:eastAsia="Arial" w:hAnsi="Arial"/>
                <w:sz w:val="16"/>
                <w:szCs w:val="16"/>
                <w:color w:val="auto"/>
              </w:rPr>
              <w:t>Burbank / W Verdugo</w:t>
            </w:r>
          </w:p>
        </w:tc>
        <w:tc>
          <w:tcPr>
            <w:tcW w:w="480" w:type="dxa"/>
            <w:vAlign w:val="bottom"/>
            <w:vMerge w:val="restart"/>
          </w:tcPr>
          <w:p>
            <w:pPr>
              <w:ind w:left="120"/>
              <w:spacing w:after="0"/>
              <w:rPr>
                <w:sz w:val="20"/>
                <w:szCs w:val="20"/>
                <w:color w:val="auto"/>
              </w:rPr>
            </w:pPr>
            <w:r>
              <w:rPr>
                <w:rFonts w:ascii="Arial" w:cs="Arial" w:eastAsia="Arial" w:hAnsi="Arial"/>
                <w:sz w:val="16"/>
                <w:szCs w:val="16"/>
                <w:color w:val="auto"/>
              </w:rPr>
              <w:t>CA</w:t>
            </w: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w w:val="89"/>
              </w:rPr>
              <w:t>18,864</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720" w:type="dxa"/>
            <w:vAlign w:val="bottom"/>
            <w:vMerge w:val="restart"/>
          </w:tcPr>
          <w:p>
            <w:pPr>
              <w:ind w:left="60"/>
              <w:spacing w:after="0"/>
              <w:rPr>
                <w:sz w:val="20"/>
                <w:szCs w:val="20"/>
                <w:color w:val="auto"/>
              </w:rPr>
            </w:pPr>
            <w:r>
              <w:rPr>
                <w:rFonts w:ascii="Arial" w:cs="Arial" w:eastAsia="Arial" w:hAnsi="Arial"/>
                <w:sz w:val="16"/>
                <w:szCs w:val="16"/>
                <w:color w:val="auto"/>
              </w:rPr>
              <w:t>Ave</w:t>
            </w:r>
          </w:p>
        </w:tc>
        <w:tc>
          <w:tcPr>
            <w:tcW w:w="4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4/8/2011</w:t>
            </w:r>
          </w:p>
        </w:tc>
        <w:tc>
          <w:tcPr>
            <w:tcW w:w="1720" w:type="dxa"/>
            <w:vAlign w:val="bottom"/>
          </w:tcPr>
          <w:p>
            <w:pPr>
              <w:ind w:left="60"/>
              <w:spacing w:after="0"/>
              <w:rPr>
                <w:sz w:val="20"/>
                <w:szCs w:val="20"/>
                <w:color w:val="auto"/>
              </w:rPr>
            </w:pPr>
            <w:r>
              <w:rPr>
                <w:rFonts w:ascii="Arial" w:cs="Arial" w:eastAsia="Arial" w:hAnsi="Arial"/>
                <w:sz w:val="16"/>
                <w:szCs w:val="16"/>
                <w:color w:val="auto"/>
              </w:rPr>
              <w:t>Burlingame</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89"/>
              </w:rPr>
              <w:t>5,230</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3/14/2011</w:t>
            </w:r>
          </w:p>
        </w:tc>
        <w:tc>
          <w:tcPr>
            <w:tcW w:w="1720" w:type="dxa"/>
            <w:vAlign w:val="bottom"/>
          </w:tcPr>
          <w:p>
            <w:pPr>
              <w:ind w:left="60"/>
              <w:spacing w:after="0"/>
              <w:rPr>
                <w:sz w:val="20"/>
                <w:szCs w:val="20"/>
                <w:color w:val="auto"/>
              </w:rPr>
            </w:pPr>
            <w:r>
              <w:rPr>
                <w:rFonts w:ascii="Arial" w:cs="Arial" w:eastAsia="Arial" w:hAnsi="Arial"/>
                <w:sz w:val="16"/>
                <w:szCs w:val="16"/>
                <w:color w:val="auto"/>
              </w:rPr>
              <w:t>Carson</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6/25/2007</w:t>
            </w:r>
          </w:p>
        </w:tc>
        <w:tc>
          <w:tcPr>
            <w:tcW w:w="1720" w:type="dxa"/>
            <w:vAlign w:val="bottom"/>
          </w:tcPr>
          <w:p>
            <w:pPr>
              <w:ind w:left="60"/>
              <w:spacing w:after="0"/>
              <w:rPr>
                <w:sz w:val="20"/>
                <w:szCs w:val="20"/>
                <w:color w:val="auto"/>
              </w:rPr>
            </w:pPr>
            <w:r>
              <w:rPr>
                <w:rFonts w:ascii="Arial" w:cs="Arial" w:eastAsia="Arial" w:hAnsi="Arial"/>
                <w:sz w:val="16"/>
                <w:szCs w:val="16"/>
                <w:color w:val="auto"/>
              </w:rPr>
              <w:t>Castro Valley</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10/19/2011</w:t>
            </w:r>
          </w:p>
        </w:tc>
        <w:tc>
          <w:tcPr>
            <w:tcW w:w="1720" w:type="dxa"/>
            <w:vAlign w:val="bottom"/>
          </w:tcPr>
          <w:p>
            <w:pPr>
              <w:ind w:left="60"/>
              <w:spacing w:after="0"/>
              <w:rPr>
                <w:sz w:val="20"/>
                <w:szCs w:val="20"/>
                <w:color w:val="auto"/>
              </w:rPr>
            </w:pPr>
            <w:r>
              <w:rPr>
                <w:rFonts w:ascii="Arial" w:cs="Arial" w:eastAsia="Arial" w:hAnsi="Arial"/>
                <w:sz w:val="16"/>
                <w:szCs w:val="16"/>
                <w:color w:val="auto"/>
              </w:rPr>
              <w:t>Cerritos</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89"/>
              </w:rPr>
              <w:t>25,224</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11/1/2013</w:t>
            </w:r>
          </w:p>
        </w:tc>
        <w:tc>
          <w:tcPr>
            <w:tcW w:w="1720" w:type="dxa"/>
            <w:vAlign w:val="bottom"/>
          </w:tcPr>
          <w:p>
            <w:pPr>
              <w:ind w:left="60"/>
              <w:spacing w:after="0"/>
              <w:rPr>
                <w:sz w:val="20"/>
                <w:szCs w:val="20"/>
                <w:color w:val="auto"/>
              </w:rPr>
            </w:pPr>
            <w:r>
              <w:rPr>
                <w:rFonts w:ascii="Arial" w:cs="Arial" w:eastAsia="Arial" w:hAnsi="Arial"/>
                <w:sz w:val="16"/>
                <w:szCs w:val="16"/>
                <w:color w:val="auto"/>
              </w:rPr>
              <w:t>Chatsworth</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89"/>
              </w:rPr>
              <w:t>11,974</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6/1/2004</w:t>
            </w:r>
          </w:p>
        </w:tc>
        <w:tc>
          <w:tcPr>
            <w:tcW w:w="1720" w:type="dxa"/>
            <w:vAlign w:val="bottom"/>
          </w:tcPr>
          <w:p>
            <w:pPr>
              <w:ind w:left="60"/>
              <w:spacing w:after="0"/>
              <w:rPr>
                <w:sz w:val="20"/>
                <w:szCs w:val="20"/>
                <w:color w:val="auto"/>
              </w:rPr>
            </w:pPr>
            <w:r>
              <w:rPr>
                <w:rFonts w:ascii="Arial" w:cs="Arial" w:eastAsia="Arial" w:hAnsi="Arial"/>
                <w:sz w:val="16"/>
                <w:szCs w:val="16"/>
                <w:color w:val="auto"/>
              </w:rPr>
              <w:t>Claremont / South</w:t>
            </w:r>
          </w:p>
        </w:tc>
        <w:tc>
          <w:tcPr>
            <w:tcW w:w="480" w:type="dxa"/>
            <w:vAlign w:val="bottom"/>
            <w:vMerge w:val="restart"/>
          </w:tcPr>
          <w:p>
            <w:pPr>
              <w:ind w:left="120"/>
              <w:spacing w:after="0"/>
              <w:rPr>
                <w:sz w:val="20"/>
                <w:szCs w:val="20"/>
                <w:color w:val="auto"/>
              </w:rPr>
            </w:pPr>
            <w:r>
              <w:rPr>
                <w:rFonts w:ascii="Arial" w:cs="Arial" w:eastAsia="Arial" w:hAnsi="Arial"/>
                <w:sz w:val="16"/>
                <w:szCs w:val="16"/>
                <w:color w:val="auto"/>
              </w:rPr>
              <w:t>CA</w:t>
            </w: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w w:val="89"/>
              </w:rPr>
              <w:t>2,949</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720" w:type="dxa"/>
            <w:vAlign w:val="bottom"/>
            <w:vMerge w:val="restart"/>
          </w:tcPr>
          <w:p>
            <w:pPr>
              <w:ind w:left="60"/>
              <w:spacing w:after="0"/>
              <w:rPr>
                <w:sz w:val="20"/>
                <w:szCs w:val="20"/>
                <w:color w:val="auto"/>
              </w:rPr>
            </w:pPr>
            <w:r>
              <w:rPr>
                <w:rFonts w:ascii="Arial" w:cs="Arial" w:eastAsia="Arial" w:hAnsi="Arial"/>
                <w:sz w:val="16"/>
                <w:szCs w:val="16"/>
                <w:color w:val="auto"/>
              </w:rPr>
              <w:t>Mills Ave</w:t>
            </w:r>
          </w:p>
        </w:tc>
        <w:tc>
          <w:tcPr>
            <w:tcW w:w="4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10/19/2011</w:t>
            </w:r>
          </w:p>
        </w:tc>
        <w:tc>
          <w:tcPr>
            <w:tcW w:w="1720" w:type="dxa"/>
            <w:vAlign w:val="bottom"/>
          </w:tcPr>
          <w:p>
            <w:pPr>
              <w:ind w:left="60"/>
              <w:spacing w:after="0"/>
              <w:rPr>
                <w:sz w:val="20"/>
                <w:szCs w:val="20"/>
                <w:color w:val="auto"/>
              </w:rPr>
            </w:pPr>
            <w:r>
              <w:rPr>
                <w:rFonts w:ascii="Arial" w:cs="Arial" w:eastAsia="Arial" w:hAnsi="Arial"/>
                <w:sz w:val="16"/>
                <w:szCs w:val="16"/>
                <w:color w:val="auto"/>
              </w:rPr>
              <w:t>Claremont / W Arrow</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89"/>
              </w:rPr>
              <w:t>3,325</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1720" w:type="dxa"/>
            <w:vAlign w:val="bottom"/>
          </w:tcPr>
          <w:p>
            <w:pPr>
              <w:ind w:left="60"/>
              <w:spacing w:after="0"/>
              <w:rPr>
                <w:sz w:val="20"/>
                <w:szCs w:val="20"/>
                <w:color w:val="auto"/>
              </w:rPr>
            </w:pPr>
            <w:r>
              <w:rPr>
                <w:rFonts w:ascii="Arial" w:cs="Arial" w:eastAsia="Arial" w:hAnsi="Arial"/>
                <w:sz w:val="16"/>
                <w:szCs w:val="16"/>
                <w:color w:val="auto"/>
              </w:rPr>
              <w:t>Hwy</w:t>
            </w: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0" w:type="dxa"/>
            <w:vAlign w:val="bottom"/>
          </w:tcPr>
          <w:p>
            <w:pPr>
              <w:jc w:val="center"/>
              <w:spacing w:after="0"/>
              <w:rPr>
                <w:sz w:val="20"/>
                <w:szCs w:val="20"/>
                <w:color w:val="auto"/>
              </w:rPr>
            </w:pPr>
            <w:r>
              <w:rPr>
                <w:rFonts w:ascii="Arial" w:cs="Arial" w:eastAsia="Arial" w:hAnsi="Arial"/>
                <w:sz w:val="16"/>
                <w:szCs w:val="16"/>
                <w:color w:val="auto"/>
                <w:w w:val="89"/>
              </w:rPr>
              <w:t>6/25/2007</w:t>
            </w:r>
          </w:p>
        </w:tc>
        <w:tc>
          <w:tcPr>
            <w:tcW w:w="1720" w:type="dxa"/>
            <w:vAlign w:val="bottom"/>
          </w:tcPr>
          <w:p>
            <w:pPr>
              <w:ind w:left="60"/>
              <w:spacing w:after="0"/>
              <w:rPr>
                <w:sz w:val="20"/>
                <w:szCs w:val="20"/>
                <w:color w:val="auto"/>
              </w:rPr>
            </w:pPr>
            <w:r>
              <w:rPr>
                <w:rFonts w:ascii="Arial" w:cs="Arial" w:eastAsia="Arial" w:hAnsi="Arial"/>
                <w:sz w:val="16"/>
                <w:szCs w:val="16"/>
                <w:color w:val="auto"/>
              </w:rPr>
              <w:t>Colma</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89"/>
              </w:rPr>
              <w:t>23,134</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9/1/2008</w:t>
            </w:r>
          </w:p>
        </w:tc>
        <w:tc>
          <w:tcPr>
            <w:tcW w:w="1720" w:type="dxa"/>
            <w:vAlign w:val="bottom"/>
          </w:tcPr>
          <w:p>
            <w:pPr>
              <w:ind w:left="60"/>
              <w:spacing w:after="0"/>
              <w:rPr>
                <w:sz w:val="20"/>
                <w:szCs w:val="20"/>
                <w:color w:val="auto"/>
              </w:rPr>
            </w:pPr>
            <w:r>
              <w:rPr>
                <w:rFonts w:ascii="Arial" w:cs="Arial" w:eastAsia="Arial" w:hAnsi="Arial"/>
                <w:sz w:val="16"/>
                <w:szCs w:val="16"/>
                <w:color w:val="auto"/>
              </w:rPr>
              <w:t>Compton</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8/29/2013</w:t>
            </w:r>
          </w:p>
        </w:tc>
        <w:tc>
          <w:tcPr>
            <w:tcW w:w="1720" w:type="dxa"/>
            <w:vAlign w:val="bottom"/>
          </w:tcPr>
          <w:p>
            <w:pPr>
              <w:ind w:left="60"/>
              <w:spacing w:after="0"/>
              <w:rPr>
                <w:sz w:val="20"/>
                <w:szCs w:val="20"/>
                <w:color w:val="auto"/>
              </w:rPr>
            </w:pPr>
            <w:r>
              <w:rPr>
                <w:rFonts w:ascii="Arial" w:cs="Arial" w:eastAsia="Arial" w:hAnsi="Arial"/>
                <w:sz w:val="16"/>
                <w:szCs w:val="16"/>
                <w:color w:val="auto"/>
              </w:rPr>
              <w:t>Concord</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89"/>
              </w:rPr>
              <w:t>5,089</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9/21/2009</w:t>
            </w:r>
          </w:p>
        </w:tc>
        <w:tc>
          <w:tcPr>
            <w:tcW w:w="1720" w:type="dxa"/>
            <w:vAlign w:val="bottom"/>
          </w:tcPr>
          <w:p>
            <w:pPr>
              <w:ind w:left="60"/>
              <w:spacing w:after="0"/>
              <w:rPr>
                <w:sz w:val="20"/>
                <w:szCs w:val="20"/>
                <w:color w:val="auto"/>
              </w:rPr>
            </w:pPr>
            <w:r>
              <w:rPr>
                <w:rFonts w:ascii="Arial" w:cs="Arial" w:eastAsia="Arial" w:hAnsi="Arial"/>
                <w:sz w:val="16"/>
                <w:szCs w:val="16"/>
                <w:color w:val="auto"/>
              </w:rPr>
              <w:t>El Cajon</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6/25/2007</w:t>
            </w:r>
          </w:p>
        </w:tc>
        <w:tc>
          <w:tcPr>
            <w:tcW w:w="1720" w:type="dxa"/>
            <w:vAlign w:val="bottom"/>
          </w:tcPr>
          <w:p>
            <w:pPr>
              <w:ind w:left="60"/>
              <w:spacing w:after="0"/>
              <w:rPr>
                <w:sz w:val="20"/>
                <w:szCs w:val="20"/>
                <w:color w:val="auto"/>
              </w:rPr>
            </w:pPr>
            <w:r>
              <w:rPr>
                <w:rFonts w:ascii="Arial" w:cs="Arial" w:eastAsia="Arial" w:hAnsi="Arial"/>
                <w:sz w:val="16"/>
                <w:szCs w:val="16"/>
                <w:color w:val="auto"/>
              </w:rPr>
              <w:t>El Sobrante</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12/2/2013</w:t>
            </w:r>
          </w:p>
        </w:tc>
        <w:tc>
          <w:tcPr>
            <w:tcW w:w="1720" w:type="dxa"/>
            <w:vAlign w:val="bottom"/>
          </w:tcPr>
          <w:p>
            <w:pPr>
              <w:ind w:left="60"/>
              <w:spacing w:after="0"/>
              <w:rPr>
                <w:sz w:val="20"/>
                <w:szCs w:val="20"/>
                <w:color w:val="auto"/>
              </w:rPr>
            </w:pPr>
            <w:r>
              <w:rPr>
                <w:rFonts w:ascii="Arial" w:cs="Arial" w:eastAsia="Arial" w:hAnsi="Arial"/>
                <w:sz w:val="16"/>
                <w:szCs w:val="16"/>
                <w:color w:val="auto"/>
              </w:rPr>
              <w:t>Elk Grove / Power Inn</w:t>
            </w:r>
          </w:p>
        </w:tc>
        <w:tc>
          <w:tcPr>
            <w:tcW w:w="480" w:type="dxa"/>
            <w:vAlign w:val="bottom"/>
            <w:vMerge w:val="restart"/>
          </w:tcPr>
          <w:p>
            <w:pPr>
              <w:ind w:left="120"/>
              <w:spacing w:after="0"/>
              <w:rPr>
                <w:sz w:val="20"/>
                <w:szCs w:val="20"/>
                <w:color w:val="auto"/>
              </w:rPr>
            </w:pPr>
            <w:r>
              <w:rPr>
                <w:rFonts w:ascii="Arial" w:cs="Arial" w:eastAsia="Arial" w:hAnsi="Arial"/>
                <w:sz w:val="16"/>
                <w:szCs w:val="16"/>
                <w:color w:val="auto"/>
              </w:rPr>
              <w:t>CA</w:t>
            </w: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w w:val="89"/>
              </w:rPr>
              <w:t>5,657</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720" w:type="dxa"/>
            <w:vAlign w:val="bottom"/>
            <w:vMerge w:val="restart"/>
          </w:tcPr>
          <w:p>
            <w:pPr>
              <w:ind w:left="60"/>
              <w:spacing w:after="0"/>
              <w:rPr>
                <w:sz w:val="20"/>
                <w:szCs w:val="20"/>
                <w:color w:val="auto"/>
              </w:rPr>
            </w:pPr>
            <w:r>
              <w:rPr>
                <w:rFonts w:ascii="Arial" w:cs="Arial" w:eastAsia="Arial" w:hAnsi="Arial"/>
                <w:sz w:val="16"/>
                <w:szCs w:val="16"/>
                <w:color w:val="auto"/>
              </w:rPr>
              <w:t>Rd</w:t>
            </w:r>
          </w:p>
        </w:tc>
        <w:tc>
          <w:tcPr>
            <w:tcW w:w="4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12/2/2013</w:t>
            </w:r>
          </w:p>
        </w:tc>
        <w:tc>
          <w:tcPr>
            <w:tcW w:w="1720" w:type="dxa"/>
            <w:vAlign w:val="bottom"/>
          </w:tcPr>
          <w:p>
            <w:pPr>
              <w:ind w:left="60"/>
              <w:spacing w:after="0"/>
              <w:rPr>
                <w:sz w:val="20"/>
                <w:szCs w:val="20"/>
                <w:color w:val="auto"/>
              </w:rPr>
            </w:pPr>
            <w:r>
              <w:rPr>
                <w:rFonts w:ascii="Arial" w:cs="Arial" w:eastAsia="Arial" w:hAnsi="Arial"/>
                <w:sz w:val="16"/>
                <w:szCs w:val="16"/>
                <w:color w:val="auto"/>
              </w:rPr>
              <w:t>Elk Grove / Stockton</w:t>
            </w:r>
          </w:p>
        </w:tc>
        <w:tc>
          <w:tcPr>
            <w:tcW w:w="480" w:type="dxa"/>
            <w:vAlign w:val="bottom"/>
            <w:vMerge w:val="restart"/>
          </w:tcPr>
          <w:p>
            <w:pPr>
              <w:ind w:left="120"/>
              <w:spacing w:after="0"/>
              <w:rPr>
                <w:sz w:val="20"/>
                <w:szCs w:val="20"/>
                <w:color w:val="auto"/>
              </w:rPr>
            </w:pPr>
            <w:r>
              <w:rPr>
                <w:rFonts w:ascii="Arial" w:cs="Arial" w:eastAsia="Arial" w:hAnsi="Arial"/>
                <w:sz w:val="16"/>
                <w:szCs w:val="16"/>
                <w:color w:val="auto"/>
              </w:rPr>
              <w:t>CA</w:t>
            </w: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w w:val="89"/>
              </w:rPr>
              <w:t>6,541</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720" w:type="dxa"/>
            <w:vAlign w:val="bottom"/>
            <w:vMerge w:val="restart"/>
          </w:tcPr>
          <w:p>
            <w:pPr>
              <w:ind w:left="60"/>
              <w:spacing w:after="0"/>
              <w:rPr>
                <w:sz w:val="20"/>
                <w:szCs w:val="20"/>
                <w:color w:val="auto"/>
              </w:rPr>
            </w:pPr>
            <w:r>
              <w:rPr>
                <w:rFonts w:ascii="Arial" w:cs="Arial" w:eastAsia="Arial" w:hAnsi="Arial"/>
                <w:sz w:val="16"/>
                <w:szCs w:val="16"/>
                <w:color w:val="auto"/>
              </w:rPr>
              <w:t>Blvd</w:t>
            </w:r>
          </w:p>
        </w:tc>
        <w:tc>
          <w:tcPr>
            <w:tcW w:w="4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5/1/2010</w:t>
            </w:r>
          </w:p>
        </w:tc>
        <w:tc>
          <w:tcPr>
            <w:tcW w:w="1720" w:type="dxa"/>
            <w:vAlign w:val="bottom"/>
          </w:tcPr>
          <w:p>
            <w:pPr>
              <w:ind w:left="60"/>
              <w:spacing w:after="0"/>
              <w:rPr>
                <w:sz w:val="20"/>
                <w:szCs w:val="20"/>
                <w:color w:val="auto"/>
              </w:rPr>
            </w:pPr>
            <w:r>
              <w:rPr>
                <w:rFonts w:ascii="Arial" w:cs="Arial" w:eastAsia="Arial" w:hAnsi="Arial"/>
                <w:sz w:val="16"/>
                <w:szCs w:val="16"/>
                <w:color w:val="auto"/>
              </w:rPr>
              <w:t>Emeryville</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12/2/2013</w:t>
            </w:r>
          </w:p>
        </w:tc>
        <w:tc>
          <w:tcPr>
            <w:tcW w:w="1720" w:type="dxa"/>
            <w:vAlign w:val="bottom"/>
          </w:tcPr>
          <w:p>
            <w:pPr>
              <w:ind w:left="60"/>
              <w:spacing w:after="0"/>
              <w:rPr>
                <w:sz w:val="20"/>
                <w:szCs w:val="20"/>
                <w:color w:val="auto"/>
              </w:rPr>
            </w:pPr>
            <w:r>
              <w:rPr>
                <w:rFonts w:ascii="Arial" w:cs="Arial" w:eastAsia="Arial" w:hAnsi="Arial"/>
                <w:sz w:val="16"/>
                <w:szCs w:val="16"/>
                <w:color w:val="auto"/>
              </w:rPr>
              <w:t>Fair Oaks</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89"/>
              </w:rPr>
              <w:t>4,141</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11/17/2016</w:t>
            </w:r>
          </w:p>
        </w:tc>
        <w:tc>
          <w:tcPr>
            <w:tcW w:w="1720" w:type="dxa"/>
            <w:vAlign w:val="bottom"/>
          </w:tcPr>
          <w:p>
            <w:pPr>
              <w:ind w:left="60"/>
              <w:spacing w:after="0"/>
              <w:rPr>
                <w:sz w:val="20"/>
                <w:szCs w:val="20"/>
                <w:color w:val="auto"/>
              </w:rPr>
            </w:pPr>
            <w:r>
              <w:rPr>
                <w:rFonts w:ascii="Arial" w:cs="Arial" w:eastAsia="Arial" w:hAnsi="Arial"/>
                <w:sz w:val="16"/>
                <w:szCs w:val="16"/>
                <w:color w:val="auto"/>
              </w:rPr>
              <w:t>Fallbrook</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10/19/2011</w:t>
            </w:r>
          </w:p>
        </w:tc>
        <w:tc>
          <w:tcPr>
            <w:tcW w:w="1720" w:type="dxa"/>
            <w:vAlign w:val="bottom"/>
          </w:tcPr>
          <w:p>
            <w:pPr>
              <w:ind w:left="60"/>
              <w:spacing w:after="0"/>
              <w:rPr>
                <w:sz w:val="20"/>
                <w:szCs w:val="20"/>
                <w:color w:val="auto"/>
              </w:rPr>
            </w:pPr>
            <w:r>
              <w:rPr>
                <w:rFonts w:ascii="Arial" w:cs="Arial" w:eastAsia="Arial" w:hAnsi="Arial"/>
                <w:sz w:val="16"/>
                <w:szCs w:val="16"/>
                <w:color w:val="auto"/>
                <w:w w:val="99"/>
              </w:rPr>
              <w:t>Fontana / Baseline Ave</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89"/>
              </w:rPr>
              <w:t>4,700</w:t>
            </w:r>
          </w:p>
        </w:tc>
        <w:tc>
          <w:tcPr>
            <w:tcW w:w="0" w:type="dxa"/>
            <w:vAlign w:val="bottom"/>
          </w:tcPr>
          <w:p>
            <w:pPr>
              <w:spacing w:after="0"/>
              <w:rPr>
                <w:sz w:val="1"/>
                <w:szCs w:val="1"/>
                <w:color w:val="auto"/>
              </w:rPr>
            </w:pPr>
          </w:p>
        </w:tc>
      </w:tr>
      <w:tr>
        <w:trPr>
          <w:trHeight w:val="31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10/19/2011</w:t>
            </w:r>
          </w:p>
        </w:tc>
        <w:tc>
          <w:tcPr>
            <w:tcW w:w="1720" w:type="dxa"/>
            <w:vAlign w:val="bottom"/>
          </w:tcPr>
          <w:p>
            <w:pPr>
              <w:ind w:left="60"/>
              <w:spacing w:after="0"/>
              <w:rPr>
                <w:sz w:val="20"/>
                <w:szCs w:val="20"/>
                <w:color w:val="auto"/>
              </w:rPr>
            </w:pPr>
            <w:r>
              <w:rPr>
                <w:rFonts w:ascii="Arial" w:cs="Arial" w:eastAsia="Arial" w:hAnsi="Arial"/>
                <w:sz w:val="16"/>
                <w:szCs w:val="16"/>
                <w:color w:val="auto"/>
              </w:rPr>
              <w:t>Fontana / Foothill Blvd</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1720" w:type="dxa"/>
            <w:vAlign w:val="bottom"/>
          </w:tcPr>
          <w:p>
            <w:pPr>
              <w:ind w:left="60"/>
              <w:spacing w:after="0"/>
              <w:rPr>
                <w:sz w:val="20"/>
                <w:szCs w:val="20"/>
                <w:color w:val="auto"/>
              </w:rPr>
            </w:pPr>
            <w:r>
              <w:rPr>
                <w:rFonts w:ascii="Arial" w:cs="Arial" w:eastAsia="Arial" w:hAnsi="Arial"/>
                <w:sz w:val="16"/>
                <w:szCs w:val="16"/>
                <w:color w:val="auto"/>
              </w:rPr>
              <w:t>1</w:t>
            </w: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10/19/2011</w:t>
            </w:r>
          </w:p>
        </w:tc>
        <w:tc>
          <w:tcPr>
            <w:tcW w:w="1720" w:type="dxa"/>
            <w:vAlign w:val="bottom"/>
          </w:tcPr>
          <w:p>
            <w:pPr>
              <w:ind w:left="60"/>
              <w:spacing w:after="0"/>
              <w:rPr>
                <w:sz w:val="20"/>
                <w:szCs w:val="20"/>
                <w:color w:val="auto"/>
              </w:rPr>
            </w:pPr>
            <w:r>
              <w:rPr>
                <w:rFonts w:ascii="Arial" w:cs="Arial" w:eastAsia="Arial" w:hAnsi="Arial"/>
                <w:sz w:val="16"/>
                <w:szCs w:val="16"/>
                <w:color w:val="auto"/>
              </w:rPr>
              <w:t>Fontana / Foothill Blvd</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1720" w:type="dxa"/>
            <w:vAlign w:val="bottom"/>
          </w:tcPr>
          <w:p>
            <w:pPr>
              <w:ind w:left="60"/>
              <w:spacing w:after="0"/>
              <w:rPr>
                <w:sz w:val="20"/>
                <w:szCs w:val="20"/>
                <w:color w:val="auto"/>
              </w:rPr>
            </w:pPr>
            <w:r>
              <w:rPr>
                <w:rFonts w:ascii="Arial" w:cs="Arial" w:eastAsia="Arial" w:hAnsi="Arial"/>
                <w:sz w:val="16"/>
                <w:szCs w:val="16"/>
                <w:color w:val="auto"/>
              </w:rPr>
              <w:t>2</w:t>
            </w: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0" w:type="dxa"/>
            <w:vAlign w:val="bottom"/>
          </w:tcPr>
          <w:p>
            <w:pPr>
              <w:jc w:val="center"/>
              <w:spacing w:after="0"/>
              <w:rPr>
                <w:sz w:val="20"/>
                <w:szCs w:val="20"/>
                <w:color w:val="auto"/>
              </w:rPr>
            </w:pPr>
            <w:r>
              <w:rPr>
                <w:rFonts w:ascii="Arial" w:cs="Arial" w:eastAsia="Arial" w:hAnsi="Arial"/>
                <w:sz w:val="16"/>
                <w:szCs w:val="16"/>
                <w:color w:val="auto"/>
                <w:w w:val="89"/>
              </w:rPr>
              <w:t>9/15/2002</w:t>
            </w:r>
          </w:p>
        </w:tc>
        <w:tc>
          <w:tcPr>
            <w:tcW w:w="1720" w:type="dxa"/>
            <w:vAlign w:val="bottom"/>
          </w:tcPr>
          <w:p>
            <w:pPr>
              <w:ind w:left="60"/>
              <w:spacing w:after="0"/>
              <w:rPr>
                <w:sz w:val="20"/>
                <w:szCs w:val="20"/>
                <w:color w:val="auto"/>
              </w:rPr>
            </w:pPr>
            <w:r>
              <w:rPr>
                <w:rFonts w:ascii="Arial" w:cs="Arial" w:eastAsia="Arial" w:hAnsi="Arial"/>
                <w:sz w:val="16"/>
                <w:szCs w:val="16"/>
                <w:color w:val="auto"/>
                <w:w w:val="99"/>
              </w:rPr>
              <w:t>Fontana / Valley Blvd 1</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89"/>
              </w:rPr>
              <w:t>2,997</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10/15/2003</w:t>
            </w:r>
          </w:p>
        </w:tc>
        <w:tc>
          <w:tcPr>
            <w:tcW w:w="1720" w:type="dxa"/>
            <w:vAlign w:val="bottom"/>
          </w:tcPr>
          <w:p>
            <w:pPr>
              <w:ind w:left="60"/>
              <w:spacing w:after="0"/>
              <w:rPr>
                <w:sz w:val="20"/>
                <w:szCs w:val="20"/>
                <w:color w:val="auto"/>
              </w:rPr>
            </w:pPr>
            <w:r>
              <w:rPr>
                <w:rFonts w:ascii="Arial" w:cs="Arial" w:eastAsia="Arial" w:hAnsi="Arial"/>
                <w:sz w:val="16"/>
                <w:szCs w:val="16"/>
                <w:color w:val="auto"/>
                <w:w w:val="99"/>
              </w:rPr>
              <w:t>Fontana / Valley Blvd 2</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89"/>
              </w:rPr>
              <w:t>5,372</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6/1/2004</w:t>
            </w:r>
          </w:p>
        </w:tc>
        <w:tc>
          <w:tcPr>
            <w:tcW w:w="1720" w:type="dxa"/>
            <w:vAlign w:val="bottom"/>
          </w:tcPr>
          <w:p>
            <w:pPr>
              <w:ind w:left="60"/>
              <w:spacing w:after="0"/>
              <w:rPr>
                <w:sz w:val="20"/>
                <w:szCs w:val="20"/>
                <w:color w:val="auto"/>
              </w:rPr>
            </w:pPr>
            <w:r>
              <w:rPr>
                <w:rFonts w:ascii="Arial" w:cs="Arial" w:eastAsia="Arial" w:hAnsi="Arial"/>
                <w:sz w:val="16"/>
                <w:szCs w:val="16"/>
                <w:color w:val="auto"/>
              </w:rPr>
              <w:t>Gardena</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720" w:type="dxa"/>
            <w:vAlign w:val="bottom"/>
          </w:tcPr>
          <w:p>
            <w:pPr>
              <w:ind w:left="60"/>
              <w:spacing w:after="0"/>
              <w:rPr>
                <w:sz w:val="20"/>
                <w:szCs w:val="20"/>
                <w:color w:val="auto"/>
              </w:rPr>
            </w:pPr>
            <w:r>
              <w:rPr>
                <w:rFonts w:ascii="Arial" w:cs="Arial" w:eastAsia="Arial" w:hAnsi="Arial"/>
                <w:sz w:val="16"/>
                <w:szCs w:val="16"/>
                <w:color w:val="auto"/>
              </w:rPr>
              <w:t>Gilroy</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89"/>
              </w:rPr>
              <w:t>8,222</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6/1/2004</w:t>
            </w:r>
          </w:p>
        </w:tc>
        <w:tc>
          <w:tcPr>
            <w:tcW w:w="1720" w:type="dxa"/>
            <w:vAlign w:val="bottom"/>
          </w:tcPr>
          <w:p>
            <w:pPr>
              <w:ind w:left="60"/>
              <w:spacing w:after="0"/>
              <w:rPr>
                <w:sz w:val="20"/>
                <w:szCs w:val="20"/>
                <w:color w:val="auto"/>
              </w:rPr>
            </w:pPr>
            <w:r>
              <w:rPr>
                <w:rFonts w:ascii="Arial" w:cs="Arial" w:eastAsia="Arial" w:hAnsi="Arial"/>
                <w:sz w:val="16"/>
                <w:szCs w:val="16"/>
                <w:color w:val="auto"/>
              </w:rPr>
              <w:t>Glendale / San</w:t>
            </w:r>
          </w:p>
        </w:tc>
        <w:tc>
          <w:tcPr>
            <w:tcW w:w="480" w:type="dxa"/>
            <w:vAlign w:val="bottom"/>
            <w:vMerge w:val="restart"/>
          </w:tcPr>
          <w:p>
            <w:pPr>
              <w:ind w:left="120"/>
              <w:spacing w:after="0"/>
              <w:rPr>
                <w:sz w:val="20"/>
                <w:szCs w:val="20"/>
                <w:color w:val="auto"/>
              </w:rPr>
            </w:pPr>
            <w:r>
              <w:rPr>
                <w:rFonts w:ascii="Arial" w:cs="Arial" w:eastAsia="Arial" w:hAnsi="Arial"/>
                <w:sz w:val="16"/>
                <w:szCs w:val="16"/>
                <w:color w:val="auto"/>
              </w:rPr>
              <w:t>CA</w:t>
            </w: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720" w:type="dxa"/>
            <w:vAlign w:val="bottom"/>
            <w:vMerge w:val="restart"/>
          </w:tcPr>
          <w:p>
            <w:pPr>
              <w:ind w:left="60"/>
              <w:spacing w:after="0"/>
              <w:rPr>
                <w:sz w:val="20"/>
                <w:szCs w:val="20"/>
                <w:color w:val="auto"/>
              </w:rPr>
            </w:pPr>
            <w:r>
              <w:rPr>
                <w:rFonts w:ascii="Arial" w:cs="Arial" w:eastAsia="Arial" w:hAnsi="Arial"/>
                <w:sz w:val="16"/>
                <w:szCs w:val="16"/>
                <w:color w:val="auto"/>
              </w:rPr>
              <w:t>Fernando Rd 1</w:t>
            </w:r>
          </w:p>
        </w:tc>
        <w:tc>
          <w:tcPr>
            <w:tcW w:w="4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9/21/2016</w:t>
            </w:r>
          </w:p>
        </w:tc>
        <w:tc>
          <w:tcPr>
            <w:tcW w:w="1720" w:type="dxa"/>
            <w:vAlign w:val="bottom"/>
          </w:tcPr>
          <w:p>
            <w:pPr>
              <w:ind w:left="60"/>
              <w:spacing w:after="0"/>
              <w:rPr>
                <w:sz w:val="20"/>
                <w:szCs w:val="20"/>
                <w:color w:val="auto"/>
              </w:rPr>
            </w:pPr>
            <w:r>
              <w:rPr>
                <w:rFonts w:ascii="Arial" w:cs="Arial" w:eastAsia="Arial" w:hAnsi="Arial"/>
                <w:sz w:val="16"/>
                <w:szCs w:val="16"/>
                <w:color w:val="auto"/>
              </w:rPr>
              <w:t>Glendale / San</w:t>
            </w:r>
          </w:p>
        </w:tc>
        <w:tc>
          <w:tcPr>
            <w:tcW w:w="480" w:type="dxa"/>
            <w:vAlign w:val="bottom"/>
            <w:vMerge w:val="restart"/>
          </w:tcPr>
          <w:p>
            <w:pPr>
              <w:ind w:left="120"/>
              <w:spacing w:after="0"/>
              <w:rPr>
                <w:sz w:val="20"/>
                <w:szCs w:val="20"/>
                <w:color w:val="auto"/>
              </w:rPr>
            </w:pPr>
            <w:r>
              <w:rPr>
                <w:rFonts w:ascii="Arial" w:cs="Arial" w:eastAsia="Arial" w:hAnsi="Arial"/>
                <w:sz w:val="16"/>
                <w:szCs w:val="16"/>
                <w:color w:val="auto"/>
              </w:rPr>
              <w:t>CA</w:t>
            </w: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720" w:type="dxa"/>
            <w:vAlign w:val="bottom"/>
            <w:vMerge w:val="restart"/>
          </w:tcPr>
          <w:p>
            <w:pPr>
              <w:ind w:left="60"/>
              <w:spacing w:after="0"/>
              <w:rPr>
                <w:sz w:val="20"/>
                <w:szCs w:val="20"/>
                <w:color w:val="auto"/>
              </w:rPr>
            </w:pPr>
            <w:r>
              <w:rPr>
                <w:rFonts w:ascii="Arial" w:cs="Arial" w:eastAsia="Arial" w:hAnsi="Arial"/>
                <w:sz w:val="16"/>
                <w:szCs w:val="16"/>
                <w:color w:val="auto"/>
              </w:rPr>
              <w:t>Fernando Rd 2</w:t>
            </w:r>
          </w:p>
        </w:tc>
        <w:tc>
          <w:tcPr>
            <w:tcW w:w="4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7/2/2012</w:t>
            </w:r>
          </w:p>
        </w:tc>
        <w:tc>
          <w:tcPr>
            <w:tcW w:w="1720" w:type="dxa"/>
            <w:vAlign w:val="bottom"/>
          </w:tcPr>
          <w:p>
            <w:pPr>
              <w:ind w:left="60"/>
              <w:spacing w:after="0"/>
              <w:rPr>
                <w:sz w:val="20"/>
                <w:szCs w:val="20"/>
                <w:color w:val="auto"/>
              </w:rPr>
            </w:pPr>
            <w:r>
              <w:rPr>
                <w:rFonts w:ascii="Arial" w:cs="Arial" w:eastAsia="Arial" w:hAnsi="Arial"/>
                <w:sz w:val="16"/>
                <w:szCs w:val="16"/>
                <w:color w:val="auto"/>
              </w:rPr>
              <w:t>Hawaiian Gardens</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89"/>
              </w:rPr>
              <w:t>9,994</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720" w:type="dxa"/>
            <w:vAlign w:val="bottom"/>
          </w:tcPr>
          <w:p>
            <w:pPr>
              <w:ind w:left="60"/>
              <w:spacing w:after="0"/>
              <w:rPr>
                <w:sz w:val="20"/>
                <w:szCs w:val="20"/>
                <w:color w:val="auto"/>
              </w:rPr>
            </w:pPr>
            <w:r>
              <w:rPr>
                <w:rFonts w:ascii="Arial" w:cs="Arial" w:eastAsia="Arial" w:hAnsi="Arial"/>
                <w:sz w:val="16"/>
                <w:szCs w:val="16"/>
                <w:color w:val="auto"/>
              </w:rPr>
              <w:t>Hawthorne / La</w:t>
            </w:r>
          </w:p>
        </w:tc>
        <w:tc>
          <w:tcPr>
            <w:tcW w:w="480" w:type="dxa"/>
            <w:vAlign w:val="bottom"/>
            <w:vMerge w:val="restart"/>
          </w:tcPr>
          <w:p>
            <w:pPr>
              <w:ind w:left="120"/>
              <w:spacing w:after="0"/>
              <w:rPr>
                <w:sz w:val="20"/>
                <w:szCs w:val="20"/>
                <w:color w:val="auto"/>
              </w:rPr>
            </w:pPr>
            <w:r>
              <w:rPr>
                <w:rFonts w:ascii="Arial" w:cs="Arial" w:eastAsia="Arial" w:hAnsi="Arial"/>
                <w:sz w:val="16"/>
                <w:szCs w:val="16"/>
                <w:color w:val="auto"/>
              </w:rPr>
              <w:t>CA</w:t>
            </w: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w w:val="89"/>
              </w:rPr>
              <w:t>12,075</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720" w:type="dxa"/>
            <w:vAlign w:val="bottom"/>
            <w:vMerge w:val="restart"/>
          </w:tcPr>
          <w:p>
            <w:pPr>
              <w:ind w:left="60"/>
              <w:spacing w:after="0"/>
              <w:rPr>
                <w:sz w:val="20"/>
                <w:szCs w:val="20"/>
                <w:color w:val="auto"/>
              </w:rPr>
            </w:pPr>
            <w:r>
              <w:rPr>
                <w:rFonts w:ascii="Arial" w:cs="Arial" w:eastAsia="Arial" w:hAnsi="Arial"/>
                <w:sz w:val="16"/>
                <w:szCs w:val="16"/>
                <w:color w:val="auto"/>
              </w:rPr>
              <w:t>Cienega Blvd</w:t>
            </w:r>
          </w:p>
        </w:tc>
        <w:tc>
          <w:tcPr>
            <w:tcW w:w="4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6/1/2004</w:t>
            </w:r>
          </w:p>
        </w:tc>
        <w:tc>
          <w:tcPr>
            <w:tcW w:w="1720" w:type="dxa"/>
            <w:vAlign w:val="bottom"/>
          </w:tcPr>
          <w:p>
            <w:pPr>
              <w:ind w:left="60"/>
              <w:spacing w:after="0"/>
              <w:rPr>
                <w:sz w:val="20"/>
                <w:szCs w:val="20"/>
                <w:color w:val="auto"/>
              </w:rPr>
            </w:pPr>
            <w:r>
              <w:rPr>
                <w:rFonts w:ascii="Arial" w:cs="Arial" w:eastAsia="Arial" w:hAnsi="Arial"/>
                <w:sz w:val="16"/>
                <w:szCs w:val="16"/>
                <w:color w:val="auto"/>
              </w:rPr>
              <w:t>Hawthorne / Rosselle</w:t>
            </w:r>
          </w:p>
        </w:tc>
        <w:tc>
          <w:tcPr>
            <w:tcW w:w="480" w:type="dxa"/>
            <w:vAlign w:val="bottom"/>
            <w:vMerge w:val="restart"/>
          </w:tcPr>
          <w:p>
            <w:pPr>
              <w:ind w:left="120"/>
              <w:spacing w:after="0"/>
              <w:rPr>
                <w:sz w:val="20"/>
                <w:szCs w:val="20"/>
                <w:color w:val="auto"/>
              </w:rPr>
            </w:pPr>
            <w:r>
              <w:rPr>
                <w:rFonts w:ascii="Arial" w:cs="Arial" w:eastAsia="Arial" w:hAnsi="Arial"/>
                <w:sz w:val="16"/>
                <w:szCs w:val="16"/>
                <w:color w:val="auto"/>
              </w:rPr>
              <w:t>CA</w:t>
            </w: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w w:val="89"/>
              </w:rPr>
              <w:t>3,681</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720" w:type="dxa"/>
            <w:vAlign w:val="bottom"/>
            <w:vMerge w:val="restart"/>
          </w:tcPr>
          <w:p>
            <w:pPr>
              <w:ind w:left="60"/>
              <w:spacing w:after="0"/>
              <w:rPr>
                <w:sz w:val="20"/>
                <w:szCs w:val="20"/>
                <w:color w:val="auto"/>
              </w:rPr>
            </w:pPr>
            <w:r>
              <w:rPr>
                <w:rFonts w:ascii="Arial" w:cs="Arial" w:eastAsia="Arial" w:hAnsi="Arial"/>
                <w:sz w:val="16"/>
                <w:szCs w:val="16"/>
                <w:color w:val="auto"/>
              </w:rPr>
              <w:t>Ave</w:t>
            </w:r>
          </w:p>
        </w:tc>
        <w:tc>
          <w:tcPr>
            <w:tcW w:w="4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6/26/2007</w:t>
            </w:r>
          </w:p>
        </w:tc>
        <w:tc>
          <w:tcPr>
            <w:tcW w:w="1720" w:type="dxa"/>
            <w:vAlign w:val="bottom"/>
          </w:tcPr>
          <w:p>
            <w:pPr>
              <w:ind w:left="60"/>
              <w:spacing w:after="0"/>
              <w:rPr>
                <w:sz w:val="20"/>
                <w:szCs w:val="20"/>
                <w:color w:val="auto"/>
              </w:rPr>
            </w:pPr>
            <w:r>
              <w:rPr>
                <w:rFonts w:ascii="Arial" w:cs="Arial" w:eastAsia="Arial" w:hAnsi="Arial"/>
                <w:sz w:val="16"/>
                <w:szCs w:val="16"/>
                <w:color w:val="auto"/>
              </w:rPr>
              <w:t>Hayward</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89"/>
              </w:rPr>
              <w:t>8,191</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8/31/2016</w:t>
            </w:r>
          </w:p>
        </w:tc>
        <w:tc>
          <w:tcPr>
            <w:tcW w:w="1720" w:type="dxa"/>
            <w:vAlign w:val="bottom"/>
          </w:tcPr>
          <w:p>
            <w:pPr>
              <w:ind w:left="60"/>
              <w:spacing w:after="0"/>
              <w:rPr>
                <w:sz w:val="20"/>
                <w:szCs w:val="20"/>
                <w:color w:val="auto"/>
              </w:rPr>
            </w:pPr>
            <w:r>
              <w:rPr>
                <w:rFonts w:ascii="Arial" w:cs="Arial" w:eastAsia="Arial" w:hAnsi="Arial"/>
                <w:sz w:val="16"/>
                <w:szCs w:val="16"/>
                <w:color w:val="auto"/>
              </w:rPr>
              <w:t>Hemet / Acacia Ave</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7/1/2005</w:t>
            </w:r>
          </w:p>
        </w:tc>
        <w:tc>
          <w:tcPr>
            <w:tcW w:w="1720" w:type="dxa"/>
            <w:vAlign w:val="bottom"/>
          </w:tcPr>
          <w:p>
            <w:pPr>
              <w:ind w:left="60"/>
              <w:spacing w:after="0"/>
              <w:rPr>
                <w:sz w:val="20"/>
                <w:szCs w:val="20"/>
                <w:color w:val="auto"/>
              </w:rPr>
            </w:pPr>
            <w:r>
              <w:rPr>
                <w:rFonts w:ascii="Arial" w:cs="Arial" w:eastAsia="Arial" w:hAnsi="Arial"/>
                <w:sz w:val="16"/>
                <w:szCs w:val="16"/>
                <w:color w:val="auto"/>
              </w:rPr>
              <w:t>Hemet / S Sanderson</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89"/>
              </w:rPr>
              <w:t>3,085</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10/19/2011</w:t>
            </w:r>
          </w:p>
        </w:tc>
        <w:tc>
          <w:tcPr>
            <w:tcW w:w="1720" w:type="dxa"/>
            <w:vAlign w:val="bottom"/>
          </w:tcPr>
          <w:p>
            <w:pPr>
              <w:ind w:left="60"/>
              <w:spacing w:after="0"/>
              <w:rPr>
                <w:sz w:val="20"/>
                <w:szCs w:val="20"/>
                <w:color w:val="auto"/>
              </w:rPr>
            </w:pPr>
            <w:r>
              <w:rPr>
                <w:rFonts w:ascii="Arial" w:cs="Arial" w:eastAsia="Arial" w:hAnsi="Arial"/>
                <w:sz w:val="16"/>
                <w:szCs w:val="16"/>
                <w:color w:val="auto"/>
              </w:rPr>
              <w:t>Hesperia</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7/2/2012</w:t>
            </w:r>
          </w:p>
        </w:tc>
        <w:tc>
          <w:tcPr>
            <w:tcW w:w="1720" w:type="dxa"/>
            <w:vAlign w:val="bottom"/>
          </w:tcPr>
          <w:p>
            <w:pPr>
              <w:ind w:left="60"/>
              <w:spacing w:after="0"/>
              <w:rPr>
                <w:sz w:val="20"/>
                <w:szCs w:val="20"/>
                <w:color w:val="auto"/>
              </w:rPr>
            </w:pPr>
            <w:r>
              <w:rPr>
                <w:rFonts w:ascii="Arial" w:cs="Arial" w:eastAsia="Arial" w:hAnsi="Arial"/>
                <w:sz w:val="16"/>
                <w:szCs w:val="16"/>
                <w:color w:val="auto"/>
              </w:rPr>
              <w:t>Hollywood</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8/10/2000</w:t>
            </w:r>
          </w:p>
        </w:tc>
        <w:tc>
          <w:tcPr>
            <w:tcW w:w="1720" w:type="dxa"/>
            <w:vAlign w:val="bottom"/>
          </w:tcPr>
          <w:p>
            <w:pPr>
              <w:ind w:left="60"/>
              <w:spacing w:after="0"/>
              <w:rPr>
                <w:sz w:val="20"/>
                <w:szCs w:val="20"/>
                <w:color w:val="auto"/>
              </w:rPr>
            </w:pPr>
            <w:r>
              <w:rPr>
                <w:rFonts w:ascii="Arial" w:cs="Arial" w:eastAsia="Arial" w:hAnsi="Arial"/>
                <w:sz w:val="16"/>
                <w:szCs w:val="16"/>
                <w:color w:val="auto"/>
              </w:rPr>
              <w:t>Inglewood</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89"/>
              </w:rPr>
              <w:t>5,482</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10/19/2011</w:t>
            </w:r>
          </w:p>
        </w:tc>
        <w:tc>
          <w:tcPr>
            <w:tcW w:w="1720" w:type="dxa"/>
            <w:vAlign w:val="bottom"/>
          </w:tcPr>
          <w:p>
            <w:pPr>
              <w:ind w:left="60"/>
              <w:spacing w:after="0"/>
              <w:rPr>
                <w:sz w:val="20"/>
                <w:szCs w:val="20"/>
                <w:color w:val="auto"/>
              </w:rPr>
            </w:pPr>
            <w:r>
              <w:rPr>
                <w:rFonts w:ascii="Arial" w:cs="Arial" w:eastAsia="Arial" w:hAnsi="Arial"/>
                <w:sz w:val="16"/>
                <w:szCs w:val="16"/>
                <w:color w:val="auto"/>
              </w:rPr>
              <w:t>Irvine</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89"/>
              </w:rPr>
              <w:t>9,034</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5/28/2014</w:t>
            </w:r>
          </w:p>
        </w:tc>
        <w:tc>
          <w:tcPr>
            <w:tcW w:w="1720" w:type="dxa"/>
            <w:vAlign w:val="bottom"/>
          </w:tcPr>
          <w:p>
            <w:pPr>
              <w:ind w:left="60"/>
              <w:spacing w:after="0"/>
              <w:rPr>
                <w:sz w:val="20"/>
                <w:szCs w:val="20"/>
                <w:color w:val="auto"/>
              </w:rPr>
            </w:pPr>
            <w:r>
              <w:rPr>
                <w:rFonts w:ascii="Arial" w:cs="Arial" w:eastAsia="Arial" w:hAnsi="Arial"/>
                <w:sz w:val="16"/>
                <w:szCs w:val="16"/>
                <w:color w:val="auto"/>
              </w:rPr>
              <w:t>La Quinta</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89"/>
              </w:rPr>
              <w:t>10,938</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720" w:type="dxa"/>
            <w:vAlign w:val="bottom"/>
          </w:tcPr>
          <w:p>
            <w:pPr>
              <w:ind w:left="60"/>
              <w:spacing w:after="0"/>
              <w:rPr>
                <w:sz w:val="20"/>
                <w:szCs w:val="20"/>
                <w:color w:val="auto"/>
              </w:rPr>
            </w:pPr>
            <w:r>
              <w:rPr>
                <w:rFonts w:ascii="Arial" w:cs="Arial" w:eastAsia="Arial" w:hAnsi="Arial"/>
                <w:sz w:val="16"/>
                <w:szCs w:val="16"/>
                <w:color w:val="auto"/>
              </w:rPr>
              <w:t>Ladera Ranch</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10/19/2011</w:t>
            </w:r>
          </w:p>
        </w:tc>
        <w:tc>
          <w:tcPr>
            <w:tcW w:w="1720" w:type="dxa"/>
            <w:vAlign w:val="bottom"/>
          </w:tcPr>
          <w:p>
            <w:pPr>
              <w:ind w:left="60"/>
              <w:spacing w:after="0"/>
              <w:rPr>
                <w:sz w:val="20"/>
                <w:szCs w:val="20"/>
                <w:color w:val="auto"/>
              </w:rPr>
            </w:pPr>
            <w:r>
              <w:rPr>
                <w:rFonts w:ascii="Arial" w:cs="Arial" w:eastAsia="Arial" w:hAnsi="Arial"/>
                <w:sz w:val="16"/>
                <w:szCs w:val="16"/>
                <w:color w:val="auto"/>
              </w:rPr>
              <w:t>Lake Elsinore / Central</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1720" w:type="dxa"/>
            <w:vAlign w:val="bottom"/>
          </w:tcPr>
          <w:p>
            <w:pPr>
              <w:ind w:left="60"/>
              <w:spacing w:after="0"/>
              <w:rPr>
                <w:sz w:val="20"/>
                <w:szCs w:val="20"/>
                <w:color w:val="auto"/>
              </w:rPr>
            </w:pPr>
            <w:r>
              <w:rPr>
                <w:rFonts w:ascii="Arial" w:cs="Arial" w:eastAsia="Arial" w:hAnsi="Arial"/>
                <w:sz w:val="16"/>
                <w:szCs w:val="16"/>
                <w:color w:val="auto"/>
              </w:rPr>
              <w:t>Ave</w:t>
            </w: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10/19/2011</w:t>
            </w:r>
          </w:p>
        </w:tc>
        <w:tc>
          <w:tcPr>
            <w:tcW w:w="1720" w:type="dxa"/>
            <w:vAlign w:val="bottom"/>
          </w:tcPr>
          <w:p>
            <w:pPr>
              <w:ind w:left="60"/>
              <w:spacing w:after="0"/>
              <w:rPr>
                <w:sz w:val="20"/>
                <w:szCs w:val="20"/>
                <w:color w:val="auto"/>
              </w:rPr>
            </w:pPr>
            <w:r>
              <w:rPr>
                <w:rFonts w:ascii="Arial" w:cs="Arial" w:eastAsia="Arial" w:hAnsi="Arial"/>
                <w:sz w:val="16"/>
                <w:szCs w:val="16"/>
                <w:color w:val="auto"/>
              </w:rPr>
              <w:t>Lake Elsinore / Collier</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1720" w:type="dxa"/>
            <w:vAlign w:val="bottom"/>
          </w:tcPr>
          <w:p>
            <w:pPr>
              <w:ind w:left="60"/>
              <w:spacing w:after="0"/>
              <w:rPr>
                <w:sz w:val="20"/>
                <w:szCs w:val="20"/>
                <w:color w:val="auto"/>
              </w:rPr>
            </w:pPr>
            <w:r>
              <w:rPr>
                <w:rFonts w:ascii="Arial" w:cs="Arial" w:eastAsia="Arial" w:hAnsi="Arial"/>
                <w:sz w:val="16"/>
                <w:szCs w:val="16"/>
                <w:color w:val="auto"/>
              </w:rPr>
              <w:t>Ave</w:t>
            </w: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720" w:type="dxa"/>
            <w:vAlign w:val="bottom"/>
          </w:tcPr>
          <w:p>
            <w:pPr>
              <w:ind w:left="60"/>
              <w:spacing w:after="0"/>
              <w:rPr>
                <w:sz w:val="20"/>
                <w:szCs w:val="20"/>
                <w:color w:val="auto"/>
              </w:rPr>
            </w:pPr>
            <w:r>
              <w:rPr>
                <w:rFonts w:ascii="Arial" w:cs="Arial" w:eastAsia="Arial" w:hAnsi="Arial"/>
                <w:sz w:val="16"/>
                <w:szCs w:val="16"/>
                <w:color w:val="auto"/>
              </w:rPr>
              <w:t>Lake Forest</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89"/>
              </w:rPr>
              <w:t>18,122</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10/17/2009</w:t>
            </w:r>
          </w:p>
        </w:tc>
        <w:tc>
          <w:tcPr>
            <w:tcW w:w="1720" w:type="dxa"/>
            <w:vAlign w:val="bottom"/>
          </w:tcPr>
          <w:p>
            <w:pPr>
              <w:ind w:left="60"/>
              <w:spacing w:after="0"/>
              <w:rPr>
                <w:sz w:val="20"/>
                <w:szCs w:val="20"/>
                <w:color w:val="auto"/>
              </w:rPr>
            </w:pPr>
            <w:r>
              <w:rPr>
                <w:rFonts w:ascii="Arial" w:cs="Arial" w:eastAsia="Arial" w:hAnsi="Arial"/>
                <w:sz w:val="16"/>
                <w:szCs w:val="16"/>
                <w:color w:val="auto"/>
              </w:rPr>
              <w:t>Lancaster / 23rd St W</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7/28/2006</w:t>
            </w:r>
          </w:p>
        </w:tc>
        <w:tc>
          <w:tcPr>
            <w:tcW w:w="1720" w:type="dxa"/>
            <w:vAlign w:val="bottom"/>
          </w:tcPr>
          <w:p>
            <w:pPr>
              <w:ind w:left="60"/>
              <w:spacing w:after="0"/>
              <w:rPr>
                <w:sz w:val="20"/>
                <w:szCs w:val="20"/>
                <w:color w:val="auto"/>
              </w:rPr>
            </w:pPr>
            <w:r>
              <w:rPr>
                <w:rFonts w:ascii="Arial" w:cs="Arial" w:eastAsia="Arial" w:hAnsi="Arial"/>
                <w:sz w:val="16"/>
                <w:szCs w:val="16"/>
                <w:color w:val="auto"/>
              </w:rPr>
              <w:t>Lancaster / West Ave</w:t>
            </w:r>
          </w:p>
        </w:tc>
        <w:tc>
          <w:tcPr>
            <w:tcW w:w="480" w:type="dxa"/>
            <w:vAlign w:val="bottom"/>
            <w:vMerge w:val="restart"/>
          </w:tcPr>
          <w:p>
            <w:pPr>
              <w:ind w:left="120"/>
              <w:spacing w:after="0"/>
              <w:rPr>
                <w:sz w:val="20"/>
                <w:szCs w:val="20"/>
                <w:color w:val="auto"/>
              </w:rPr>
            </w:pPr>
            <w:r>
              <w:rPr>
                <w:rFonts w:ascii="Arial" w:cs="Arial" w:eastAsia="Arial" w:hAnsi="Arial"/>
                <w:sz w:val="16"/>
                <w:szCs w:val="16"/>
                <w:color w:val="auto"/>
              </w:rPr>
              <w:t>CA</w:t>
            </w: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w w:val="89"/>
              </w:rPr>
              <w:t>4,466</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720" w:type="dxa"/>
            <w:vAlign w:val="bottom"/>
            <w:vMerge w:val="restart"/>
          </w:tcPr>
          <w:p>
            <w:pPr>
              <w:ind w:left="60"/>
              <w:spacing w:after="0"/>
              <w:rPr>
                <w:sz w:val="20"/>
                <w:szCs w:val="20"/>
                <w:color w:val="auto"/>
              </w:rPr>
            </w:pPr>
            <w:r>
              <w:rPr>
                <w:rFonts w:ascii="Arial" w:cs="Arial" w:eastAsia="Arial" w:hAnsi="Arial"/>
                <w:sz w:val="16"/>
                <w:szCs w:val="16"/>
                <w:color w:val="auto"/>
              </w:rPr>
              <w:t>J/8</w:t>
            </w:r>
          </w:p>
        </w:tc>
        <w:tc>
          <w:tcPr>
            <w:tcW w:w="4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6/1/2004</w:t>
            </w:r>
          </w:p>
        </w:tc>
        <w:tc>
          <w:tcPr>
            <w:tcW w:w="1720" w:type="dxa"/>
            <w:vAlign w:val="bottom"/>
          </w:tcPr>
          <w:p>
            <w:pPr>
              <w:ind w:left="60"/>
              <w:spacing w:after="0"/>
              <w:rPr>
                <w:sz w:val="20"/>
                <w:szCs w:val="20"/>
                <w:color w:val="auto"/>
              </w:rPr>
            </w:pPr>
            <w:r>
              <w:rPr>
                <w:rFonts w:ascii="Arial" w:cs="Arial" w:eastAsia="Arial" w:hAnsi="Arial"/>
                <w:sz w:val="16"/>
                <w:szCs w:val="16"/>
                <w:color w:val="auto"/>
              </w:rPr>
              <w:t>Livermore</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10/19/2011</w:t>
            </w:r>
          </w:p>
        </w:tc>
        <w:tc>
          <w:tcPr>
            <w:tcW w:w="1720" w:type="dxa"/>
            <w:vAlign w:val="bottom"/>
          </w:tcPr>
          <w:p>
            <w:pPr>
              <w:ind w:left="60"/>
              <w:spacing w:after="0"/>
              <w:rPr>
                <w:sz w:val="20"/>
                <w:szCs w:val="20"/>
                <w:color w:val="auto"/>
              </w:rPr>
            </w:pPr>
            <w:r>
              <w:rPr>
                <w:rFonts w:ascii="Arial" w:cs="Arial" w:eastAsia="Arial" w:hAnsi="Arial"/>
                <w:sz w:val="16"/>
                <w:szCs w:val="16"/>
                <w:color w:val="auto"/>
              </w:rPr>
              <w:t>Long Beach / E Artesia</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1720" w:type="dxa"/>
            <w:vAlign w:val="bottom"/>
          </w:tcPr>
          <w:p>
            <w:pPr>
              <w:ind w:left="60"/>
              <w:spacing w:after="0"/>
              <w:rPr>
                <w:sz w:val="20"/>
                <w:szCs w:val="20"/>
                <w:color w:val="auto"/>
              </w:rPr>
            </w:pPr>
            <w:r>
              <w:rPr>
                <w:rFonts w:ascii="Arial" w:cs="Arial" w:eastAsia="Arial" w:hAnsi="Arial"/>
                <w:sz w:val="16"/>
                <w:szCs w:val="16"/>
                <w:color w:val="auto"/>
              </w:rPr>
              <w:t>Blvd</w:t>
            </w: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720" w:type="dxa"/>
            <w:vAlign w:val="bottom"/>
          </w:tcPr>
          <w:p>
            <w:pPr>
              <w:ind w:left="60"/>
              <w:spacing w:after="0"/>
              <w:rPr>
                <w:sz w:val="20"/>
                <w:szCs w:val="20"/>
                <w:color w:val="auto"/>
              </w:rPr>
            </w:pPr>
            <w:r>
              <w:rPr>
                <w:rFonts w:ascii="Arial" w:cs="Arial" w:eastAsia="Arial" w:hAnsi="Arial"/>
                <w:sz w:val="16"/>
                <w:szCs w:val="16"/>
                <w:color w:val="auto"/>
              </w:rPr>
              <w:t>Long Beach / E</w:t>
            </w:r>
          </w:p>
        </w:tc>
        <w:tc>
          <w:tcPr>
            <w:tcW w:w="480" w:type="dxa"/>
            <w:vAlign w:val="bottom"/>
          </w:tcPr>
          <w:p>
            <w:pPr>
              <w:ind w:left="120"/>
              <w:spacing w:after="0"/>
              <w:rPr>
                <w:sz w:val="20"/>
                <w:szCs w:val="20"/>
                <w:color w:val="auto"/>
              </w:rPr>
            </w:pPr>
            <w:r>
              <w:rPr>
                <w:rFonts w:ascii="Arial" w:cs="Arial" w:eastAsia="Arial" w:hAnsi="Arial"/>
                <w:sz w:val="16"/>
                <w:szCs w:val="16"/>
                <w:color w:val="auto"/>
              </w:rPr>
              <w:t>CA</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89"/>
              </w:rPr>
              <w:t>13,274</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1720" w:type="dxa"/>
            <w:vAlign w:val="bottom"/>
          </w:tcPr>
          <w:p>
            <w:pPr>
              <w:ind w:left="60"/>
              <w:spacing w:after="0"/>
              <w:rPr>
                <w:sz w:val="20"/>
                <w:szCs w:val="20"/>
                <w:color w:val="auto"/>
              </w:rPr>
            </w:pPr>
            <w:r>
              <w:rPr>
                <w:rFonts w:ascii="Arial" w:cs="Arial" w:eastAsia="Arial" w:hAnsi="Arial"/>
                <w:sz w:val="16"/>
                <w:szCs w:val="16"/>
                <w:color w:val="auto"/>
              </w:rPr>
              <w:t>Wardlow Rd</w:t>
            </w: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647</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1,303</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202</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647</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1,505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2,152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266</w:t>
            </w:r>
          </w:p>
        </w:tc>
      </w:tr>
      <w:tr>
        <w:trPr>
          <w:trHeight w:val="553"/>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4,061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5,318</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299</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4,061</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5,617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9,678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538</w:t>
            </w:r>
          </w:p>
        </w:tc>
      </w:tr>
      <w:tr>
        <w:trPr>
          <w:trHeight w:val="459"/>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3,199</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5,082</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84"/>
              </w:rPr>
              <w:t>2,111</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3,617</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6,775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10,392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2,891</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2,211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5,829</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151</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2,211</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5,980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8,191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921</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9,709</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82"/>
              </w:rPr>
              <w:t>116</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9,825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9,825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1,474</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6,346</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500</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6,846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6,846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1,684</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8,728</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15,895</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4"/>
              </w:rPr>
              <w:t>2,737</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8,728</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18,632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27,360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2,589</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9,922</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7,599</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559</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9,922</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8,158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18,080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1,558</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1,472</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2,012</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284</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1,472</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2,296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3,768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835</w:t>
            </w:r>
          </w:p>
        </w:tc>
      </w:tr>
      <w:tr>
        <w:trPr>
          <w:trHeight w:val="459"/>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1,375</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1,434</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233</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1,375</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1,667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3,042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264</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3,947</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22,002</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4"/>
              </w:rPr>
              <w:t>2,781</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3,947</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24,783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28,730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6,742</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1,426</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7,582</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188</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1,426</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7,770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9,196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1,645</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3,082</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2,822</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328</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3,082</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3,150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6,232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299</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1,100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6,380</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128</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1,100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6,508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7,608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1,232</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1,209</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4,018</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4"/>
              </w:rPr>
              <w:t>1,598</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1,209</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5,616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6,825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1,782</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894</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6,949</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82"/>
              </w:rPr>
              <w:t>119</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894</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7,068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7,962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562</w:t>
            </w:r>
          </w:p>
        </w:tc>
      </w:tr>
      <w:tr>
        <w:trPr>
          <w:trHeight w:val="459"/>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640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8,640</w:t>
            </w:r>
          </w:p>
        </w:tc>
        <w:tc>
          <w:tcPr>
            <w:tcW w:w="1280" w:type="dxa"/>
            <w:vAlign w:val="bottom"/>
          </w:tcPr>
          <w:p>
            <w:pPr>
              <w:jc w:val="center"/>
              <w:ind w:right="119"/>
              <w:spacing w:after="0"/>
              <w:rPr>
                <w:sz w:val="20"/>
                <w:szCs w:val="20"/>
                <w:color w:val="auto"/>
              </w:rPr>
            </w:pPr>
            <w:r>
              <w:rPr>
                <w:rFonts w:ascii="Arial" w:cs="Arial" w:eastAsia="Arial" w:hAnsi="Arial"/>
                <w:sz w:val="16"/>
                <w:szCs w:val="16"/>
                <w:color w:val="auto"/>
                <w:w w:val="89"/>
              </w:rPr>
              <w:t>76</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640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8,716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9,356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687</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3,024</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11,321</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337</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3,024</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11,658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14,682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1,980</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644</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11,287</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150</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644</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11,437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12,081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892</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1,638</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7,361</w:t>
            </w:r>
          </w:p>
        </w:tc>
        <w:tc>
          <w:tcPr>
            <w:tcW w:w="1280" w:type="dxa"/>
            <w:vAlign w:val="bottom"/>
          </w:tcPr>
          <w:p>
            <w:pPr>
              <w:jc w:val="center"/>
              <w:ind w:right="119"/>
              <w:spacing w:after="0"/>
              <w:rPr>
                <w:sz w:val="20"/>
                <w:szCs w:val="20"/>
                <w:color w:val="auto"/>
              </w:rPr>
            </w:pPr>
            <w:r>
              <w:rPr>
                <w:rFonts w:ascii="Arial" w:cs="Arial" w:eastAsia="Arial" w:hAnsi="Arial"/>
                <w:sz w:val="16"/>
                <w:szCs w:val="16"/>
                <w:color w:val="auto"/>
                <w:w w:val="99"/>
              </w:rPr>
              <w:t>—</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1,638</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7,361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8,999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31</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778</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4,723</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134</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777</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4,858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5,635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710</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768</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4,208</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236</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768</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4,444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5,212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652</w:t>
            </w:r>
          </w:p>
        </w:tc>
      </w:tr>
      <w:tr>
        <w:trPr>
          <w:trHeight w:val="459"/>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684</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3,951</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275</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684</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4,226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4,910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614</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961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3,846</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475</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1,000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4,282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5,282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1,635</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1,246</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3,356</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553</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1,300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3,855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5,155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1,363</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3,710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6,271</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4"/>
              </w:rPr>
              <w:t>2,314</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4,110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8,185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12,295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2,654</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1,140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14,265</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295</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1,140</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14,560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15,700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489</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6,084</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253</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6,337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6,337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2,152</w:t>
            </w:r>
          </w:p>
        </w:tc>
      </w:tr>
      <w:tr>
        <w:trPr>
          <w:trHeight w:val="459"/>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4,416</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9,672</w:t>
            </w:r>
          </w:p>
        </w:tc>
        <w:tc>
          <w:tcPr>
            <w:tcW w:w="1280" w:type="dxa"/>
            <w:vAlign w:val="bottom"/>
          </w:tcPr>
          <w:p>
            <w:pPr>
              <w:jc w:val="center"/>
              <w:ind w:right="119"/>
              <w:spacing w:after="0"/>
              <w:rPr>
                <w:sz w:val="20"/>
                <w:szCs w:val="20"/>
                <w:color w:val="auto"/>
              </w:rPr>
            </w:pPr>
            <w:r>
              <w:rPr>
                <w:rFonts w:ascii="Arial" w:cs="Arial" w:eastAsia="Arial" w:hAnsi="Arial"/>
                <w:sz w:val="16"/>
                <w:szCs w:val="16"/>
                <w:color w:val="auto"/>
                <w:w w:val="89"/>
              </w:rPr>
              <w:t>36</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4,416</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9,708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14,124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83</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2,964</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12,478</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276</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2,964</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12,754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15,718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1,559</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2,500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18,562</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289</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2,500</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18,851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21,351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611</w:t>
            </w:r>
          </w:p>
        </w:tc>
      </w:tr>
      <w:tr>
        <w:trPr>
          <w:trHeight w:val="459"/>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1,532</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3,871</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327</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1,532</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4,198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5,730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1,458</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3,149</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8,006</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4"/>
              </w:rPr>
              <w:t>3,471</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3,148</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11,478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14,626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3,462</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301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3,609</w:t>
            </w:r>
          </w:p>
        </w:tc>
        <w:tc>
          <w:tcPr>
            <w:tcW w:w="1280" w:type="dxa"/>
            <w:vAlign w:val="bottom"/>
          </w:tcPr>
          <w:p>
            <w:pPr>
              <w:jc w:val="center"/>
              <w:ind w:right="119"/>
              <w:spacing w:after="0"/>
              <w:rPr>
                <w:sz w:val="20"/>
                <w:szCs w:val="20"/>
                <w:color w:val="auto"/>
              </w:rPr>
            </w:pPr>
            <w:r>
              <w:rPr>
                <w:rFonts w:ascii="Arial" w:cs="Arial" w:eastAsia="Arial" w:hAnsi="Arial"/>
                <w:sz w:val="16"/>
                <w:szCs w:val="16"/>
                <w:color w:val="auto"/>
                <w:w w:val="89"/>
              </w:rPr>
              <w:t>16</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301</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3,625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3,926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39</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1,146</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6,369</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408</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1,146</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6,777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7,923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2,130</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156</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430</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188</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156</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618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774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147</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4,555</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10,590</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162</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4,555</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10,752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15,307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1,253</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1,379</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3,343</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975</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1,530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4,167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5,697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1,922</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3,821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3,999</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182</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3,821</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4,181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8,002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595</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4,706</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12,604</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152</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4,706</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12,756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17,462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890</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6,440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24,500</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4"/>
              </w:rPr>
              <w:t>8,705</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6,440</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33,205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39,645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850</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587</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4,219</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229</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587</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4,448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5,035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647</w:t>
            </w:r>
          </w:p>
        </w:tc>
      </w:tr>
      <w:tr>
        <w:trPr>
          <w:trHeight w:val="459"/>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294</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2,105</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263</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294</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2,368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2,662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334</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15,093</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18,895</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273</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15,090</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19,171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34,261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621</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1,425</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5,855</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107</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1,425</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5,962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7,387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1,108</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1,347</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5,827</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324</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1,348</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6,150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7,498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1,771</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1,134</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4,615</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357</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1,134</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4,972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6,106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1,686</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1,772</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2,539</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430</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1,772</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2,969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4,741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431</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6,340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17,050</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331</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6,340</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17,381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23,721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563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-10386060</wp:posOffset>
            </wp:positionV>
            <wp:extent cx="7246620" cy="274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-9820910</wp:posOffset>
            </wp:positionV>
            <wp:extent cx="7246620" cy="291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-9357995</wp:posOffset>
            </wp:positionV>
            <wp:extent cx="72466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-9015730</wp:posOffset>
            </wp:positionV>
            <wp:extent cx="72466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-8672830</wp:posOffset>
            </wp:positionV>
            <wp:extent cx="7246620" cy="291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-8090535</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-7747635</wp:posOffset>
            </wp:positionV>
            <wp:extent cx="72466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-7405370</wp:posOffset>
            </wp:positionV>
            <wp:extent cx="72466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-6942455</wp:posOffset>
            </wp:positionV>
            <wp:extent cx="7246620" cy="291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-6480175</wp:posOffset>
            </wp:positionV>
            <wp:extent cx="72466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-6137275</wp:posOffset>
            </wp:positionV>
            <wp:extent cx="72466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-5674995</wp:posOffset>
            </wp:positionV>
            <wp:extent cx="7246620" cy="291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-5212080</wp:posOffset>
            </wp:positionV>
            <wp:extent cx="72466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-4869815</wp:posOffset>
            </wp:positionV>
            <wp:extent cx="72466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-4406900</wp:posOffset>
            </wp:positionV>
            <wp:extent cx="7246620" cy="291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-3944620</wp:posOffset>
            </wp:positionV>
            <wp:extent cx="7246620" cy="291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-3361690</wp:posOffset>
            </wp:positionV>
            <wp:extent cx="72466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-3019425</wp:posOffset>
            </wp:positionV>
            <wp:extent cx="72466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-2676525</wp:posOffset>
            </wp:positionV>
            <wp:extent cx="72466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-2334260</wp:posOffset>
            </wp:positionV>
            <wp:extent cx="72466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-1991360</wp:posOffset>
            </wp:positionV>
            <wp:extent cx="72466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-1529080</wp:posOffset>
            </wp:positionV>
            <wp:extent cx="7246620" cy="291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-1066165</wp:posOffset>
            </wp:positionV>
            <wp:extent cx="72466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-603885</wp:posOffset>
            </wp:positionV>
            <wp:extent cx="72466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-140970</wp:posOffset>
            </wp:positionV>
            <wp:extent cx="7246620" cy="270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270510"/>
                    </a:xfrm>
                    <a:prstGeom prst="rect">
                      <a:avLst/>
                    </a:prstGeom>
                    <a:noFill/>
                  </pic:spPr>
                </pic:pic>
              </a:graphicData>
            </a:graphic>
          </wp:anchor>
        </w:drawing>
      </w:r>
    </w:p>
    <w:p>
      <w:pPr>
        <w:sectPr>
          <w:pgSz w:w="11900" w:h="16899" w:orient="portrait"/>
          <w:cols w:equalWidth="0" w:num="2">
            <w:col w:w="3580" w:space="340"/>
            <w:col w:w="7080"/>
          </w:cols>
          <w:pgMar w:left="360" w:top="130" w:right="539" w:bottom="0" w:gutter="0" w:footer="0" w:header="0"/>
        </w:sectPr>
      </w:pPr>
    </w:p>
    <w:bookmarkStart w:id="95" w:name="page96"/>
    <w:bookmarkEnd w:id="95"/>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11/1/2013</w:t>
            </w:r>
          </w:p>
        </w:tc>
        <w:tc>
          <w:tcPr>
            <w:tcW w:w="1600" w:type="dxa"/>
            <w:vAlign w:val="bottom"/>
          </w:tcPr>
          <w:p>
            <w:pPr>
              <w:ind w:left="60"/>
              <w:spacing w:after="0"/>
              <w:rPr>
                <w:sz w:val="20"/>
                <w:szCs w:val="20"/>
                <w:color w:val="auto"/>
              </w:rPr>
            </w:pPr>
            <w:r>
              <w:rPr>
                <w:rFonts w:ascii="Arial" w:cs="Arial" w:eastAsia="Arial" w:hAnsi="Arial"/>
                <w:sz w:val="16"/>
                <w:szCs w:val="16"/>
                <w:color w:val="auto"/>
              </w:rPr>
              <w:t>Long Beach / W</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00" w:type="dxa"/>
            <w:vAlign w:val="bottom"/>
            <w:vMerge w:val="restart"/>
          </w:tcPr>
          <w:p>
            <w:pPr>
              <w:ind w:left="60"/>
              <w:spacing w:after="0"/>
              <w:rPr>
                <w:sz w:val="20"/>
                <w:szCs w:val="20"/>
                <w:color w:val="auto"/>
              </w:rPr>
            </w:pPr>
            <w:r>
              <w:rPr>
                <w:rFonts w:ascii="Arial" w:cs="Arial" w:eastAsia="Arial" w:hAnsi="Arial"/>
                <w:sz w:val="16"/>
                <w:szCs w:val="16"/>
                <w:color w:val="auto"/>
              </w:rPr>
              <w:t>Wardlow Rd</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11/17/2016</w:t>
            </w:r>
          </w:p>
        </w:tc>
        <w:tc>
          <w:tcPr>
            <w:tcW w:w="1600" w:type="dxa"/>
            <w:vAlign w:val="bottom"/>
          </w:tcPr>
          <w:p>
            <w:pPr>
              <w:ind w:left="60"/>
              <w:spacing w:after="0"/>
              <w:rPr>
                <w:sz w:val="20"/>
                <w:szCs w:val="20"/>
                <w:color w:val="auto"/>
              </w:rPr>
            </w:pPr>
            <w:r>
              <w:rPr>
                <w:rFonts w:ascii="Arial" w:cs="Arial" w:eastAsia="Arial" w:hAnsi="Arial"/>
                <w:sz w:val="16"/>
                <w:szCs w:val="16"/>
                <w:color w:val="auto"/>
              </w:rPr>
              <w:t>Los Alamitos</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3/23/2000</w:t>
            </w:r>
          </w:p>
        </w:tc>
        <w:tc>
          <w:tcPr>
            <w:tcW w:w="1600" w:type="dxa"/>
            <w:vAlign w:val="bottom"/>
          </w:tcPr>
          <w:p>
            <w:pPr>
              <w:ind w:left="60"/>
              <w:spacing w:after="0"/>
              <w:rPr>
                <w:sz w:val="20"/>
                <w:szCs w:val="20"/>
                <w:color w:val="auto"/>
              </w:rPr>
            </w:pPr>
            <w:r>
              <w:rPr>
                <w:rFonts w:ascii="Arial" w:cs="Arial" w:eastAsia="Arial" w:hAnsi="Arial"/>
                <w:sz w:val="16"/>
                <w:szCs w:val="16"/>
                <w:color w:val="auto"/>
                <w:w w:val="98"/>
              </w:rPr>
              <w:t>Los Angeles / Casitas</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00" w:type="dxa"/>
            <w:vAlign w:val="bottom"/>
            <w:vMerge w:val="restart"/>
          </w:tcPr>
          <w:p>
            <w:pPr>
              <w:ind w:left="60"/>
              <w:spacing w:after="0"/>
              <w:rPr>
                <w:sz w:val="20"/>
                <w:szCs w:val="20"/>
                <w:color w:val="auto"/>
              </w:rPr>
            </w:pPr>
            <w:r>
              <w:rPr>
                <w:rFonts w:ascii="Arial" w:cs="Arial" w:eastAsia="Arial" w:hAnsi="Arial"/>
                <w:sz w:val="16"/>
                <w:szCs w:val="16"/>
                <w:color w:val="auto"/>
              </w:rPr>
              <w:t>Ave</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7/2/2012</w:t>
            </w:r>
          </w:p>
        </w:tc>
        <w:tc>
          <w:tcPr>
            <w:tcW w:w="1600" w:type="dxa"/>
            <w:vAlign w:val="bottom"/>
          </w:tcPr>
          <w:p>
            <w:pPr>
              <w:ind w:left="60"/>
              <w:spacing w:after="0"/>
              <w:rPr>
                <w:sz w:val="20"/>
                <w:szCs w:val="20"/>
                <w:color w:val="auto"/>
              </w:rPr>
            </w:pPr>
            <w:r>
              <w:rPr>
                <w:rFonts w:ascii="Arial" w:cs="Arial" w:eastAsia="Arial" w:hAnsi="Arial"/>
                <w:sz w:val="16"/>
                <w:szCs w:val="16"/>
                <w:color w:val="auto"/>
                <w:w w:val="92"/>
              </w:rPr>
              <w:t>Los Angeles / Fountain</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00" w:type="dxa"/>
            <w:vAlign w:val="bottom"/>
            <w:vMerge w:val="restart"/>
          </w:tcPr>
          <w:p>
            <w:pPr>
              <w:ind w:left="60"/>
              <w:spacing w:after="0"/>
              <w:rPr>
                <w:sz w:val="20"/>
                <w:szCs w:val="20"/>
                <w:color w:val="auto"/>
              </w:rPr>
            </w:pPr>
            <w:r>
              <w:rPr>
                <w:rFonts w:ascii="Arial" w:cs="Arial" w:eastAsia="Arial" w:hAnsi="Arial"/>
                <w:sz w:val="16"/>
                <w:szCs w:val="16"/>
                <w:color w:val="auto"/>
              </w:rPr>
              <w:t>Ave</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800" w:type="dxa"/>
            <w:vAlign w:val="bottom"/>
          </w:tcPr>
          <w:p>
            <w:pPr>
              <w:jc w:val="center"/>
              <w:spacing w:after="0"/>
              <w:rPr>
                <w:sz w:val="20"/>
                <w:szCs w:val="20"/>
                <w:color w:val="auto"/>
              </w:rPr>
            </w:pPr>
            <w:r>
              <w:rPr>
                <w:rFonts w:ascii="Arial" w:cs="Arial" w:eastAsia="Arial" w:hAnsi="Arial"/>
                <w:sz w:val="16"/>
                <w:szCs w:val="16"/>
                <w:color w:val="auto"/>
                <w:w w:val="89"/>
              </w:rPr>
              <w:t>12/31/2007</w:t>
            </w:r>
          </w:p>
        </w:tc>
        <w:tc>
          <w:tcPr>
            <w:tcW w:w="1600" w:type="dxa"/>
            <w:vAlign w:val="bottom"/>
          </w:tcPr>
          <w:p>
            <w:pPr>
              <w:ind w:left="60"/>
              <w:spacing w:after="0"/>
              <w:rPr>
                <w:sz w:val="20"/>
                <w:szCs w:val="20"/>
                <w:color w:val="auto"/>
              </w:rPr>
            </w:pPr>
            <w:r>
              <w:rPr>
                <w:rFonts w:ascii="Arial" w:cs="Arial" w:eastAsia="Arial" w:hAnsi="Arial"/>
                <w:sz w:val="16"/>
                <w:szCs w:val="16"/>
                <w:color w:val="auto"/>
              </w:rPr>
              <w:t>Los Angeles / La</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1600" w:type="dxa"/>
            <w:vAlign w:val="bottom"/>
          </w:tcPr>
          <w:p>
            <w:pPr>
              <w:ind w:left="60"/>
              <w:spacing w:after="0"/>
              <w:rPr>
                <w:sz w:val="20"/>
                <w:szCs w:val="20"/>
                <w:color w:val="auto"/>
              </w:rPr>
            </w:pPr>
            <w:r>
              <w:rPr>
                <w:rFonts w:ascii="Arial" w:cs="Arial" w:eastAsia="Arial" w:hAnsi="Arial"/>
                <w:sz w:val="16"/>
                <w:szCs w:val="16"/>
                <w:color w:val="auto"/>
              </w:rPr>
              <w:t>Cienega</w:t>
            </w:r>
          </w:p>
        </w:tc>
        <w:tc>
          <w:tcPr>
            <w:tcW w:w="0" w:type="dxa"/>
            <w:vAlign w:val="bottom"/>
          </w:tcPr>
          <w:p>
            <w:pPr>
              <w:spacing w:after="0"/>
              <w:rPr>
                <w:sz w:val="1"/>
                <w:szCs w:val="1"/>
                <w:color w:val="auto"/>
              </w:rPr>
            </w:pPr>
          </w:p>
        </w:tc>
      </w:tr>
      <w:tr>
        <w:trPr>
          <w:trHeight w:val="20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9/1/2008</w:t>
            </w:r>
          </w:p>
        </w:tc>
        <w:tc>
          <w:tcPr>
            <w:tcW w:w="1600" w:type="dxa"/>
            <w:vAlign w:val="bottom"/>
          </w:tcPr>
          <w:p>
            <w:pPr>
              <w:ind w:left="60"/>
              <w:spacing w:after="0"/>
              <w:rPr>
                <w:sz w:val="20"/>
                <w:szCs w:val="20"/>
                <w:color w:val="auto"/>
              </w:rPr>
            </w:pPr>
            <w:r>
              <w:rPr>
                <w:rFonts w:ascii="Arial" w:cs="Arial" w:eastAsia="Arial" w:hAnsi="Arial"/>
                <w:sz w:val="16"/>
                <w:szCs w:val="16"/>
                <w:color w:val="auto"/>
                <w:w w:val="90"/>
              </w:rPr>
              <w:t>Los Angeles / S Central</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00" w:type="dxa"/>
            <w:vAlign w:val="bottom"/>
            <w:vMerge w:val="restart"/>
          </w:tcPr>
          <w:p>
            <w:pPr>
              <w:ind w:left="60"/>
              <w:spacing w:after="0"/>
              <w:rPr>
                <w:sz w:val="20"/>
                <w:szCs w:val="20"/>
                <w:color w:val="auto"/>
              </w:rPr>
            </w:pPr>
            <w:r>
              <w:rPr>
                <w:rFonts w:ascii="Arial" w:cs="Arial" w:eastAsia="Arial" w:hAnsi="Arial"/>
                <w:sz w:val="16"/>
                <w:szCs w:val="16"/>
                <w:color w:val="auto"/>
              </w:rPr>
              <w:t>Ave</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12/2/2013</w:t>
            </w:r>
          </w:p>
        </w:tc>
        <w:tc>
          <w:tcPr>
            <w:tcW w:w="1600" w:type="dxa"/>
            <w:vAlign w:val="bottom"/>
          </w:tcPr>
          <w:p>
            <w:pPr>
              <w:ind w:left="60"/>
              <w:spacing w:after="0"/>
              <w:rPr>
                <w:sz w:val="20"/>
                <w:szCs w:val="20"/>
                <w:color w:val="auto"/>
              </w:rPr>
            </w:pPr>
            <w:r>
              <w:rPr>
                <w:rFonts w:ascii="Arial" w:cs="Arial" w:eastAsia="Arial" w:hAnsi="Arial"/>
                <w:sz w:val="16"/>
                <w:szCs w:val="16"/>
                <w:color w:val="auto"/>
              </w:rPr>
              <w:t>Los Angeles / S</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00" w:type="dxa"/>
            <w:vAlign w:val="bottom"/>
            <w:vMerge w:val="restart"/>
          </w:tcPr>
          <w:p>
            <w:pPr>
              <w:ind w:left="60"/>
              <w:spacing w:after="0"/>
              <w:rPr>
                <w:sz w:val="20"/>
                <w:szCs w:val="20"/>
                <w:color w:val="auto"/>
              </w:rPr>
            </w:pPr>
            <w:r>
              <w:rPr>
                <w:rFonts w:ascii="Arial" w:cs="Arial" w:eastAsia="Arial" w:hAnsi="Arial"/>
                <w:sz w:val="16"/>
                <w:szCs w:val="16"/>
                <w:color w:val="auto"/>
              </w:rPr>
              <w:t>Western Ave</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4/25/2014</w:t>
            </w:r>
          </w:p>
        </w:tc>
        <w:tc>
          <w:tcPr>
            <w:tcW w:w="1600" w:type="dxa"/>
            <w:vAlign w:val="bottom"/>
          </w:tcPr>
          <w:p>
            <w:pPr>
              <w:ind w:left="60"/>
              <w:spacing w:after="0"/>
              <w:rPr>
                <w:sz w:val="20"/>
                <w:szCs w:val="20"/>
                <w:color w:val="auto"/>
              </w:rPr>
            </w:pPr>
            <w:r>
              <w:rPr>
                <w:rFonts w:ascii="Arial" w:cs="Arial" w:eastAsia="Arial" w:hAnsi="Arial"/>
                <w:sz w:val="16"/>
                <w:szCs w:val="16"/>
                <w:color w:val="auto"/>
                <w:w w:val="95"/>
              </w:rPr>
              <w:t>Los Angeles / Slauson</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00" w:type="dxa"/>
            <w:vAlign w:val="bottom"/>
            <w:vMerge w:val="restart"/>
          </w:tcPr>
          <w:p>
            <w:pPr>
              <w:ind w:left="60"/>
              <w:spacing w:after="0"/>
              <w:rPr>
                <w:sz w:val="20"/>
                <w:szCs w:val="20"/>
                <w:color w:val="auto"/>
              </w:rPr>
            </w:pPr>
            <w:r>
              <w:rPr>
                <w:rFonts w:ascii="Arial" w:cs="Arial" w:eastAsia="Arial" w:hAnsi="Arial"/>
                <w:sz w:val="16"/>
                <w:szCs w:val="16"/>
                <w:color w:val="auto"/>
              </w:rPr>
              <w:t>Ave</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7/17/2012</w:t>
            </w:r>
          </w:p>
        </w:tc>
        <w:tc>
          <w:tcPr>
            <w:tcW w:w="1600" w:type="dxa"/>
            <w:vAlign w:val="bottom"/>
          </w:tcPr>
          <w:p>
            <w:pPr>
              <w:ind w:left="60"/>
              <w:spacing w:after="0"/>
              <w:rPr>
                <w:sz w:val="20"/>
                <w:szCs w:val="20"/>
                <w:color w:val="auto"/>
              </w:rPr>
            </w:pPr>
            <w:r>
              <w:rPr>
                <w:rFonts w:ascii="Arial" w:cs="Arial" w:eastAsia="Arial" w:hAnsi="Arial"/>
                <w:sz w:val="16"/>
                <w:szCs w:val="16"/>
                <w:color w:val="auto"/>
              </w:rPr>
              <w:t>Los Gatos</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1/1/2004</w:t>
            </w:r>
          </w:p>
        </w:tc>
        <w:tc>
          <w:tcPr>
            <w:tcW w:w="1600" w:type="dxa"/>
            <w:vAlign w:val="bottom"/>
          </w:tcPr>
          <w:p>
            <w:pPr>
              <w:ind w:left="60"/>
              <w:spacing w:after="0"/>
              <w:rPr>
                <w:sz w:val="20"/>
                <w:szCs w:val="20"/>
                <w:color w:val="auto"/>
              </w:rPr>
            </w:pPr>
            <w:r>
              <w:rPr>
                <w:rFonts w:ascii="Arial" w:cs="Arial" w:eastAsia="Arial" w:hAnsi="Arial"/>
                <w:sz w:val="16"/>
                <w:szCs w:val="16"/>
                <w:color w:val="auto"/>
              </w:rPr>
              <w:t>Manteca</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11/1/2013</w:t>
            </w:r>
          </w:p>
        </w:tc>
        <w:tc>
          <w:tcPr>
            <w:tcW w:w="1600" w:type="dxa"/>
            <w:vAlign w:val="bottom"/>
          </w:tcPr>
          <w:p>
            <w:pPr>
              <w:ind w:left="60"/>
              <w:spacing w:after="0"/>
              <w:rPr>
                <w:sz w:val="20"/>
                <w:szCs w:val="20"/>
                <w:color w:val="auto"/>
              </w:rPr>
            </w:pPr>
            <w:r>
              <w:rPr>
                <w:rFonts w:ascii="Arial" w:cs="Arial" w:eastAsia="Arial" w:hAnsi="Arial"/>
                <w:sz w:val="16"/>
                <w:szCs w:val="16"/>
                <w:color w:val="auto"/>
              </w:rPr>
              <w:t>Marina Del Rey</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8/29/2013</w:t>
            </w:r>
          </w:p>
        </w:tc>
        <w:tc>
          <w:tcPr>
            <w:tcW w:w="1600" w:type="dxa"/>
            <w:vAlign w:val="bottom"/>
          </w:tcPr>
          <w:p>
            <w:pPr>
              <w:ind w:left="60"/>
              <w:spacing w:after="0"/>
              <w:rPr>
                <w:sz w:val="20"/>
                <w:szCs w:val="20"/>
                <w:color w:val="auto"/>
              </w:rPr>
            </w:pPr>
            <w:r>
              <w:rPr>
                <w:rFonts w:ascii="Arial" w:cs="Arial" w:eastAsia="Arial" w:hAnsi="Arial"/>
                <w:sz w:val="16"/>
                <w:szCs w:val="16"/>
                <w:color w:val="auto"/>
              </w:rPr>
              <w:t>Menlo Park</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6/1/2007</w:t>
            </w:r>
          </w:p>
        </w:tc>
        <w:tc>
          <w:tcPr>
            <w:tcW w:w="1600" w:type="dxa"/>
            <w:vAlign w:val="bottom"/>
          </w:tcPr>
          <w:p>
            <w:pPr>
              <w:ind w:left="60"/>
              <w:spacing w:after="0"/>
              <w:rPr>
                <w:sz w:val="20"/>
                <w:szCs w:val="20"/>
                <w:color w:val="auto"/>
              </w:rPr>
            </w:pPr>
            <w:r>
              <w:rPr>
                <w:rFonts w:ascii="Arial" w:cs="Arial" w:eastAsia="Arial" w:hAnsi="Arial"/>
                <w:sz w:val="16"/>
                <w:szCs w:val="16"/>
                <w:color w:val="auto"/>
              </w:rPr>
              <w:t>Modesto / Crows</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00" w:type="dxa"/>
            <w:vAlign w:val="bottom"/>
            <w:vMerge w:val="restart"/>
          </w:tcPr>
          <w:p>
            <w:pPr>
              <w:ind w:left="60"/>
              <w:spacing w:after="0"/>
              <w:rPr>
                <w:sz w:val="20"/>
                <w:szCs w:val="20"/>
                <w:color w:val="auto"/>
              </w:rPr>
            </w:pPr>
            <w:r>
              <w:rPr>
                <w:rFonts w:ascii="Arial" w:cs="Arial" w:eastAsia="Arial" w:hAnsi="Arial"/>
                <w:sz w:val="16"/>
                <w:szCs w:val="16"/>
                <w:color w:val="auto"/>
              </w:rPr>
              <w:t>Landing</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8/29/2013</w:t>
            </w:r>
          </w:p>
        </w:tc>
        <w:tc>
          <w:tcPr>
            <w:tcW w:w="1600" w:type="dxa"/>
            <w:vAlign w:val="bottom"/>
          </w:tcPr>
          <w:p>
            <w:pPr>
              <w:ind w:left="60"/>
              <w:spacing w:after="0"/>
              <w:rPr>
                <w:sz w:val="20"/>
                <w:szCs w:val="20"/>
                <w:color w:val="auto"/>
              </w:rPr>
            </w:pPr>
            <w:r>
              <w:rPr>
                <w:rFonts w:ascii="Arial" w:cs="Arial" w:eastAsia="Arial" w:hAnsi="Arial"/>
                <w:sz w:val="16"/>
                <w:szCs w:val="16"/>
                <w:color w:val="auto"/>
                <w:w w:val="98"/>
              </w:rPr>
              <w:t>Modesto / Sylvan Ave</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7/2/2012</w:t>
            </w:r>
          </w:p>
        </w:tc>
        <w:tc>
          <w:tcPr>
            <w:tcW w:w="1600" w:type="dxa"/>
            <w:vAlign w:val="bottom"/>
          </w:tcPr>
          <w:p>
            <w:pPr>
              <w:ind w:left="60"/>
              <w:spacing w:after="0"/>
              <w:rPr>
                <w:sz w:val="20"/>
                <w:szCs w:val="20"/>
                <w:color w:val="auto"/>
              </w:rPr>
            </w:pPr>
            <w:r>
              <w:rPr>
                <w:rFonts w:ascii="Arial" w:cs="Arial" w:eastAsia="Arial" w:hAnsi="Arial"/>
                <w:sz w:val="16"/>
                <w:szCs w:val="16"/>
                <w:color w:val="auto"/>
              </w:rPr>
              <w:t>Moreno Valley</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600" w:type="dxa"/>
            <w:vAlign w:val="bottom"/>
          </w:tcPr>
          <w:p>
            <w:pPr>
              <w:ind w:left="60"/>
              <w:spacing w:after="0"/>
              <w:rPr>
                <w:sz w:val="20"/>
                <w:szCs w:val="20"/>
                <w:color w:val="auto"/>
              </w:rPr>
            </w:pPr>
            <w:r>
              <w:rPr>
                <w:rFonts w:ascii="Arial" w:cs="Arial" w:eastAsia="Arial" w:hAnsi="Arial"/>
                <w:sz w:val="16"/>
                <w:szCs w:val="16"/>
                <w:color w:val="auto"/>
              </w:rPr>
              <w:t>Morgan Hill</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11/1/2013</w:t>
            </w:r>
          </w:p>
        </w:tc>
        <w:tc>
          <w:tcPr>
            <w:tcW w:w="1600" w:type="dxa"/>
            <w:vAlign w:val="bottom"/>
          </w:tcPr>
          <w:p>
            <w:pPr>
              <w:ind w:left="60"/>
              <w:spacing w:after="0"/>
              <w:rPr>
                <w:sz w:val="20"/>
                <w:szCs w:val="20"/>
                <w:color w:val="auto"/>
              </w:rPr>
            </w:pPr>
            <w:r>
              <w:rPr>
                <w:rFonts w:ascii="Arial" w:cs="Arial" w:eastAsia="Arial" w:hAnsi="Arial"/>
                <w:sz w:val="16"/>
                <w:szCs w:val="16"/>
                <w:color w:val="auto"/>
              </w:rPr>
              <w:t>North Highlands</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8/29/2013</w:t>
            </w:r>
          </w:p>
        </w:tc>
        <w:tc>
          <w:tcPr>
            <w:tcW w:w="1600" w:type="dxa"/>
            <w:vAlign w:val="bottom"/>
          </w:tcPr>
          <w:p>
            <w:pPr>
              <w:ind w:left="60"/>
              <w:spacing w:after="0"/>
              <w:rPr>
                <w:sz w:val="20"/>
                <w:szCs w:val="20"/>
                <w:color w:val="auto"/>
              </w:rPr>
            </w:pPr>
            <w:r>
              <w:rPr>
                <w:rFonts w:ascii="Arial" w:cs="Arial" w:eastAsia="Arial" w:hAnsi="Arial"/>
                <w:sz w:val="16"/>
                <w:szCs w:val="16"/>
                <w:color w:val="auto"/>
              </w:rPr>
              <w:t>North Hollywood /</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00" w:type="dxa"/>
            <w:vAlign w:val="bottom"/>
            <w:vMerge w:val="restart"/>
          </w:tcPr>
          <w:p>
            <w:pPr>
              <w:ind w:left="60"/>
              <w:spacing w:after="0"/>
              <w:rPr>
                <w:sz w:val="20"/>
                <w:szCs w:val="20"/>
                <w:color w:val="auto"/>
              </w:rPr>
            </w:pPr>
            <w:r>
              <w:rPr>
                <w:rFonts w:ascii="Arial" w:cs="Arial" w:eastAsia="Arial" w:hAnsi="Arial"/>
                <w:sz w:val="16"/>
                <w:szCs w:val="16"/>
                <w:color w:val="auto"/>
              </w:rPr>
              <w:t>Coldwater Canyon</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5/1/2006</w:t>
            </w:r>
          </w:p>
        </w:tc>
        <w:tc>
          <w:tcPr>
            <w:tcW w:w="1600" w:type="dxa"/>
            <w:vAlign w:val="bottom"/>
          </w:tcPr>
          <w:p>
            <w:pPr>
              <w:ind w:left="60"/>
              <w:spacing w:after="0"/>
              <w:rPr>
                <w:sz w:val="20"/>
                <w:szCs w:val="20"/>
                <w:color w:val="auto"/>
              </w:rPr>
            </w:pPr>
            <w:r>
              <w:rPr>
                <w:rFonts w:ascii="Arial" w:cs="Arial" w:eastAsia="Arial" w:hAnsi="Arial"/>
                <w:sz w:val="16"/>
                <w:szCs w:val="16"/>
                <w:color w:val="auto"/>
                <w:w w:val="95"/>
              </w:rPr>
              <w:t>North Hollywood / Van</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00" w:type="dxa"/>
            <w:vAlign w:val="bottom"/>
            <w:vMerge w:val="restart"/>
          </w:tcPr>
          <w:p>
            <w:pPr>
              <w:ind w:left="60"/>
              <w:spacing w:after="0"/>
              <w:rPr>
                <w:sz w:val="20"/>
                <w:szCs w:val="20"/>
                <w:color w:val="auto"/>
              </w:rPr>
            </w:pPr>
            <w:r>
              <w:rPr>
                <w:rFonts w:ascii="Arial" w:cs="Arial" w:eastAsia="Arial" w:hAnsi="Arial"/>
                <w:sz w:val="16"/>
                <w:szCs w:val="16"/>
                <w:color w:val="auto"/>
              </w:rPr>
              <w:t>Owen</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8/29/2013</w:t>
            </w:r>
          </w:p>
        </w:tc>
        <w:tc>
          <w:tcPr>
            <w:tcW w:w="1600" w:type="dxa"/>
            <w:vAlign w:val="bottom"/>
          </w:tcPr>
          <w:p>
            <w:pPr>
              <w:ind w:left="60"/>
              <w:spacing w:after="0"/>
              <w:rPr>
                <w:sz w:val="20"/>
                <w:szCs w:val="20"/>
                <w:color w:val="auto"/>
              </w:rPr>
            </w:pPr>
            <w:r>
              <w:rPr>
                <w:rFonts w:ascii="Arial" w:cs="Arial" w:eastAsia="Arial" w:hAnsi="Arial"/>
                <w:sz w:val="16"/>
                <w:szCs w:val="16"/>
                <w:color w:val="auto"/>
              </w:rPr>
              <w:t>Northridge</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8/29/2013</w:t>
            </w:r>
          </w:p>
        </w:tc>
        <w:tc>
          <w:tcPr>
            <w:tcW w:w="1600" w:type="dxa"/>
            <w:vAlign w:val="bottom"/>
          </w:tcPr>
          <w:p>
            <w:pPr>
              <w:ind w:left="60"/>
              <w:spacing w:after="0"/>
              <w:rPr>
                <w:sz w:val="20"/>
                <w:szCs w:val="20"/>
                <w:color w:val="auto"/>
              </w:rPr>
            </w:pPr>
            <w:r>
              <w:rPr>
                <w:rFonts w:ascii="Arial" w:cs="Arial" w:eastAsia="Arial" w:hAnsi="Arial"/>
                <w:sz w:val="16"/>
                <w:szCs w:val="16"/>
                <w:color w:val="auto"/>
              </w:rPr>
              <w:t>Oakland / 29th Ave</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4/24/2000</w:t>
            </w:r>
          </w:p>
        </w:tc>
        <w:tc>
          <w:tcPr>
            <w:tcW w:w="1600" w:type="dxa"/>
            <w:vAlign w:val="bottom"/>
          </w:tcPr>
          <w:p>
            <w:pPr>
              <w:ind w:left="60"/>
              <w:spacing w:after="0"/>
              <w:rPr>
                <w:sz w:val="20"/>
                <w:szCs w:val="20"/>
                <w:color w:val="auto"/>
              </w:rPr>
            </w:pPr>
            <w:r>
              <w:rPr>
                <w:rFonts w:ascii="Arial" w:cs="Arial" w:eastAsia="Arial" w:hAnsi="Arial"/>
                <w:sz w:val="16"/>
                <w:szCs w:val="16"/>
                <w:color w:val="auto"/>
              </w:rPr>
              <w:t>Oakland / Fallon St</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12/2/2013</w:t>
            </w:r>
          </w:p>
        </w:tc>
        <w:tc>
          <w:tcPr>
            <w:tcW w:w="1600" w:type="dxa"/>
            <w:vAlign w:val="bottom"/>
          </w:tcPr>
          <w:p>
            <w:pPr>
              <w:ind w:left="60"/>
              <w:spacing w:after="0"/>
              <w:rPr>
                <w:sz w:val="20"/>
                <w:szCs w:val="20"/>
                <w:color w:val="auto"/>
              </w:rPr>
            </w:pPr>
            <w:r>
              <w:rPr>
                <w:rFonts w:ascii="Arial" w:cs="Arial" w:eastAsia="Arial" w:hAnsi="Arial"/>
                <w:sz w:val="16"/>
                <w:szCs w:val="16"/>
                <w:color w:val="auto"/>
                <w:w w:val="92"/>
              </w:rPr>
              <w:t>Oakland / San Leandro</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00" w:type="dxa"/>
            <w:vAlign w:val="bottom"/>
            <w:vMerge w:val="restart"/>
          </w:tcPr>
          <w:p>
            <w:pPr>
              <w:ind w:left="60"/>
              <w:spacing w:after="0"/>
              <w:rPr>
                <w:sz w:val="20"/>
                <w:szCs w:val="20"/>
                <w:color w:val="auto"/>
              </w:rPr>
            </w:pPr>
            <w:r>
              <w:rPr>
                <w:rFonts w:ascii="Arial" w:cs="Arial" w:eastAsia="Arial" w:hAnsi="Arial"/>
                <w:sz w:val="16"/>
                <w:szCs w:val="16"/>
                <w:color w:val="auto"/>
              </w:rPr>
              <w:t>St</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7/1/2005</w:t>
            </w:r>
          </w:p>
        </w:tc>
        <w:tc>
          <w:tcPr>
            <w:tcW w:w="1600" w:type="dxa"/>
            <w:vAlign w:val="bottom"/>
          </w:tcPr>
          <w:p>
            <w:pPr>
              <w:ind w:left="60"/>
              <w:spacing w:after="0"/>
              <w:rPr>
                <w:sz w:val="20"/>
                <w:szCs w:val="20"/>
                <w:color w:val="auto"/>
              </w:rPr>
            </w:pPr>
            <w:r>
              <w:rPr>
                <w:rFonts w:ascii="Arial" w:cs="Arial" w:eastAsia="Arial" w:hAnsi="Arial"/>
                <w:sz w:val="16"/>
                <w:szCs w:val="16"/>
                <w:color w:val="auto"/>
                <w:w w:val="91"/>
              </w:rPr>
              <w:t>Oceanside / Oceanside</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00" w:type="dxa"/>
            <w:vAlign w:val="bottom"/>
            <w:vMerge w:val="restart"/>
          </w:tcPr>
          <w:p>
            <w:pPr>
              <w:ind w:left="60"/>
              <w:spacing w:after="0"/>
              <w:rPr>
                <w:sz w:val="20"/>
                <w:szCs w:val="20"/>
                <w:color w:val="auto"/>
              </w:rPr>
            </w:pPr>
            <w:r>
              <w:rPr>
                <w:rFonts w:ascii="Arial" w:cs="Arial" w:eastAsia="Arial" w:hAnsi="Arial"/>
                <w:sz w:val="16"/>
                <w:szCs w:val="16"/>
                <w:color w:val="auto"/>
              </w:rPr>
              <w:t>Blvd 1</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12/9/2014</w:t>
            </w:r>
          </w:p>
        </w:tc>
        <w:tc>
          <w:tcPr>
            <w:tcW w:w="1600" w:type="dxa"/>
            <w:vAlign w:val="bottom"/>
          </w:tcPr>
          <w:p>
            <w:pPr>
              <w:ind w:left="60"/>
              <w:spacing w:after="0"/>
              <w:rPr>
                <w:sz w:val="20"/>
                <w:szCs w:val="20"/>
                <w:color w:val="auto"/>
              </w:rPr>
            </w:pPr>
            <w:r>
              <w:rPr>
                <w:rFonts w:ascii="Arial" w:cs="Arial" w:eastAsia="Arial" w:hAnsi="Arial"/>
                <w:sz w:val="16"/>
                <w:szCs w:val="16"/>
                <w:color w:val="auto"/>
                <w:w w:val="91"/>
              </w:rPr>
              <w:t>Oceanside / Oceanside</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00" w:type="dxa"/>
            <w:vAlign w:val="bottom"/>
            <w:vMerge w:val="restart"/>
          </w:tcPr>
          <w:p>
            <w:pPr>
              <w:ind w:left="60"/>
              <w:spacing w:after="0"/>
              <w:rPr>
                <w:sz w:val="20"/>
                <w:szCs w:val="20"/>
                <w:color w:val="auto"/>
              </w:rPr>
            </w:pPr>
            <w:r>
              <w:rPr>
                <w:rFonts w:ascii="Arial" w:cs="Arial" w:eastAsia="Arial" w:hAnsi="Arial"/>
                <w:sz w:val="16"/>
                <w:szCs w:val="16"/>
                <w:color w:val="auto"/>
              </w:rPr>
              <w:t>Blvd 2</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11/30/2012</w:t>
            </w:r>
          </w:p>
        </w:tc>
        <w:tc>
          <w:tcPr>
            <w:tcW w:w="1600" w:type="dxa"/>
            <w:vAlign w:val="bottom"/>
          </w:tcPr>
          <w:p>
            <w:pPr>
              <w:ind w:left="60"/>
              <w:spacing w:after="0"/>
              <w:rPr>
                <w:sz w:val="20"/>
                <w:szCs w:val="20"/>
                <w:color w:val="auto"/>
              </w:rPr>
            </w:pPr>
            <w:r>
              <w:rPr>
                <w:rFonts w:ascii="Arial" w:cs="Arial" w:eastAsia="Arial" w:hAnsi="Arial"/>
                <w:sz w:val="16"/>
                <w:szCs w:val="16"/>
                <w:color w:val="auto"/>
              </w:rPr>
              <w:t>Orange</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12/2/2013</w:t>
            </w:r>
          </w:p>
        </w:tc>
        <w:tc>
          <w:tcPr>
            <w:tcW w:w="1600" w:type="dxa"/>
            <w:vAlign w:val="bottom"/>
          </w:tcPr>
          <w:p>
            <w:pPr>
              <w:ind w:left="60"/>
              <w:spacing w:after="0"/>
              <w:rPr>
                <w:sz w:val="20"/>
                <w:szCs w:val="20"/>
                <w:color w:val="auto"/>
              </w:rPr>
            </w:pPr>
            <w:r>
              <w:rPr>
                <w:rFonts w:ascii="Arial" w:cs="Arial" w:eastAsia="Arial" w:hAnsi="Arial"/>
                <w:sz w:val="16"/>
                <w:szCs w:val="16"/>
                <w:color w:val="auto"/>
              </w:rPr>
              <w:t>Oxnard</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8/1/2009</w:t>
            </w:r>
          </w:p>
        </w:tc>
        <w:tc>
          <w:tcPr>
            <w:tcW w:w="1600" w:type="dxa"/>
            <w:vAlign w:val="bottom"/>
          </w:tcPr>
          <w:p>
            <w:pPr>
              <w:ind w:left="60"/>
              <w:spacing w:after="0"/>
              <w:rPr>
                <w:sz w:val="20"/>
                <w:szCs w:val="20"/>
                <w:color w:val="auto"/>
              </w:rPr>
            </w:pPr>
            <w:r>
              <w:rPr>
                <w:rFonts w:ascii="Arial" w:cs="Arial" w:eastAsia="Arial" w:hAnsi="Arial"/>
                <w:sz w:val="16"/>
                <w:szCs w:val="16"/>
                <w:color w:val="auto"/>
              </w:rPr>
              <w:t>Pacoima</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1/1/2005</w:t>
            </w:r>
          </w:p>
        </w:tc>
        <w:tc>
          <w:tcPr>
            <w:tcW w:w="1600" w:type="dxa"/>
            <w:vAlign w:val="bottom"/>
          </w:tcPr>
          <w:p>
            <w:pPr>
              <w:ind w:left="60"/>
              <w:spacing w:after="0"/>
              <w:rPr>
                <w:sz w:val="20"/>
                <w:szCs w:val="20"/>
                <w:color w:val="auto"/>
              </w:rPr>
            </w:pPr>
            <w:r>
              <w:rPr>
                <w:rFonts w:ascii="Arial" w:cs="Arial" w:eastAsia="Arial" w:hAnsi="Arial"/>
                <w:sz w:val="16"/>
                <w:szCs w:val="16"/>
                <w:color w:val="auto"/>
              </w:rPr>
              <w:t>Palmdale</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10/19/2011</w:t>
            </w:r>
          </w:p>
        </w:tc>
        <w:tc>
          <w:tcPr>
            <w:tcW w:w="1600" w:type="dxa"/>
            <w:vAlign w:val="bottom"/>
          </w:tcPr>
          <w:p>
            <w:pPr>
              <w:ind w:left="60"/>
              <w:spacing w:after="0"/>
              <w:rPr>
                <w:sz w:val="20"/>
                <w:szCs w:val="20"/>
                <w:color w:val="auto"/>
              </w:rPr>
            </w:pPr>
            <w:r>
              <w:rPr>
                <w:rFonts w:ascii="Arial" w:cs="Arial" w:eastAsia="Arial" w:hAnsi="Arial"/>
                <w:sz w:val="16"/>
                <w:szCs w:val="16"/>
                <w:color w:val="auto"/>
              </w:rPr>
              <w:t>Paramount</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8/31/2000</w:t>
            </w:r>
          </w:p>
        </w:tc>
        <w:tc>
          <w:tcPr>
            <w:tcW w:w="1600" w:type="dxa"/>
            <w:vAlign w:val="bottom"/>
          </w:tcPr>
          <w:p>
            <w:pPr>
              <w:ind w:left="60"/>
              <w:spacing w:after="0"/>
              <w:rPr>
                <w:sz w:val="20"/>
                <w:szCs w:val="20"/>
                <w:color w:val="auto"/>
              </w:rPr>
            </w:pPr>
            <w:r>
              <w:rPr>
                <w:rFonts w:ascii="Arial" w:cs="Arial" w:eastAsia="Arial" w:hAnsi="Arial"/>
                <w:sz w:val="16"/>
                <w:szCs w:val="16"/>
                <w:color w:val="auto"/>
              </w:rPr>
              <w:t>Pico Rivera / Beverly</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00" w:type="dxa"/>
            <w:vAlign w:val="bottom"/>
            <w:vMerge w:val="restart"/>
          </w:tcPr>
          <w:p>
            <w:pPr>
              <w:ind w:left="60"/>
              <w:spacing w:after="0"/>
              <w:rPr>
                <w:sz w:val="20"/>
                <w:szCs w:val="20"/>
                <w:color w:val="auto"/>
              </w:rPr>
            </w:pPr>
            <w:r>
              <w:rPr>
                <w:rFonts w:ascii="Arial" w:cs="Arial" w:eastAsia="Arial" w:hAnsi="Arial"/>
                <w:sz w:val="16"/>
                <w:szCs w:val="16"/>
                <w:color w:val="auto"/>
              </w:rPr>
              <w:t>Blvd</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9/16/2016</w:t>
            </w:r>
          </w:p>
        </w:tc>
        <w:tc>
          <w:tcPr>
            <w:tcW w:w="1600" w:type="dxa"/>
            <w:vAlign w:val="bottom"/>
          </w:tcPr>
          <w:p>
            <w:pPr>
              <w:ind w:left="60"/>
              <w:spacing w:after="0"/>
              <w:rPr>
                <w:sz w:val="20"/>
                <w:szCs w:val="20"/>
                <w:color w:val="auto"/>
              </w:rPr>
            </w:pPr>
            <w:r>
              <w:rPr>
                <w:rFonts w:ascii="Arial" w:cs="Arial" w:eastAsia="Arial" w:hAnsi="Arial"/>
                <w:sz w:val="16"/>
                <w:szCs w:val="16"/>
                <w:color w:val="auto"/>
              </w:rPr>
              <w:t>Pico Rivera / East</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00" w:type="dxa"/>
            <w:vAlign w:val="bottom"/>
            <w:vMerge w:val="restart"/>
          </w:tcPr>
          <w:p>
            <w:pPr>
              <w:ind w:left="60"/>
              <w:spacing w:after="0"/>
              <w:rPr>
                <w:sz w:val="20"/>
                <w:szCs w:val="20"/>
                <w:color w:val="auto"/>
              </w:rPr>
            </w:pPr>
            <w:r>
              <w:rPr>
                <w:rFonts w:ascii="Arial" w:cs="Arial" w:eastAsia="Arial" w:hAnsi="Arial"/>
                <w:sz w:val="16"/>
                <w:szCs w:val="16"/>
                <w:color w:val="auto"/>
              </w:rPr>
              <w:t>Slauson Ave</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3/4/2014</w:t>
            </w:r>
          </w:p>
        </w:tc>
        <w:tc>
          <w:tcPr>
            <w:tcW w:w="1600" w:type="dxa"/>
            <w:vAlign w:val="bottom"/>
          </w:tcPr>
          <w:p>
            <w:pPr>
              <w:ind w:left="60"/>
              <w:spacing w:after="0"/>
              <w:rPr>
                <w:sz w:val="20"/>
                <w:szCs w:val="20"/>
                <w:color w:val="auto"/>
              </w:rPr>
            </w:pPr>
            <w:r>
              <w:rPr>
                <w:rFonts w:ascii="Arial" w:cs="Arial" w:eastAsia="Arial" w:hAnsi="Arial"/>
                <w:sz w:val="16"/>
                <w:szCs w:val="16"/>
                <w:color w:val="auto"/>
              </w:rPr>
              <w:t>Pico Rivera / San</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00" w:type="dxa"/>
            <w:vAlign w:val="bottom"/>
            <w:vMerge w:val="restart"/>
          </w:tcPr>
          <w:p>
            <w:pPr>
              <w:ind w:left="60"/>
              <w:spacing w:after="0"/>
              <w:rPr>
                <w:sz w:val="20"/>
                <w:szCs w:val="20"/>
                <w:color w:val="auto"/>
              </w:rPr>
            </w:pPr>
            <w:r>
              <w:rPr>
                <w:rFonts w:ascii="Arial" w:cs="Arial" w:eastAsia="Arial" w:hAnsi="Arial"/>
                <w:sz w:val="16"/>
                <w:szCs w:val="16"/>
                <w:color w:val="auto"/>
              </w:rPr>
              <w:t>Gabriel River Pkwy</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10/19/2011</w:t>
            </w:r>
          </w:p>
        </w:tc>
        <w:tc>
          <w:tcPr>
            <w:tcW w:w="1600" w:type="dxa"/>
            <w:vAlign w:val="bottom"/>
          </w:tcPr>
          <w:p>
            <w:pPr>
              <w:ind w:left="60"/>
              <w:spacing w:after="0"/>
              <w:rPr>
                <w:sz w:val="20"/>
                <w:szCs w:val="20"/>
                <w:color w:val="auto"/>
              </w:rPr>
            </w:pPr>
            <w:r>
              <w:rPr>
                <w:rFonts w:ascii="Arial" w:cs="Arial" w:eastAsia="Arial" w:hAnsi="Arial"/>
                <w:sz w:val="16"/>
                <w:szCs w:val="16"/>
                <w:color w:val="auto"/>
              </w:rPr>
              <w:t>Placentia</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5/24/2007</w:t>
            </w:r>
          </w:p>
        </w:tc>
        <w:tc>
          <w:tcPr>
            <w:tcW w:w="1600" w:type="dxa"/>
            <w:vAlign w:val="bottom"/>
          </w:tcPr>
          <w:p>
            <w:pPr>
              <w:ind w:left="60"/>
              <w:spacing w:after="0"/>
              <w:rPr>
                <w:sz w:val="20"/>
                <w:szCs w:val="20"/>
                <w:color w:val="auto"/>
              </w:rPr>
            </w:pPr>
            <w:r>
              <w:rPr>
                <w:rFonts w:ascii="Arial" w:cs="Arial" w:eastAsia="Arial" w:hAnsi="Arial"/>
                <w:sz w:val="16"/>
                <w:szCs w:val="16"/>
                <w:color w:val="auto"/>
              </w:rPr>
              <w:t>Pleasanton</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6/1/2004</w:t>
            </w:r>
          </w:p>
        </w:tc>
        <w:tc>
          <w:tcPr>
            <w:tcW w:w="1600" w:type="dxa"/>
            <w:vAlign w:val="bottom"/>
          </w:tcPr>
          <w:p>
            <w:pPr>
              <w:ind w:left="60"/>
              <w:spacing w:after="0"/>
              <w:rPr>
                <w:sz w:val="20"/>
                <w:szCs w:val="20"/>
                <w:color w:val="auto"/>
              </w:rPr>
            </w:pPr>
            <w:r>
              <w:rPr>
                <w:rFonts w:ascii="Arial" w:cs="Arial" w:eastAsia="Arial" w:hAnsi="Arial"/>
                <w:sz w:val="16"/>
                <w:szCs w:val="16"/>
                <w:color w:val="auto"/>
              </w:rPr>
              <w:t>Richmond / Lakeside</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00" w:type="dxa"/>
            <w:vAlign w:val="bottom"/>
            <w:vMerge w:val="restart"/>
          </w:tcPr>
          <w:p>
            <w:pPr>
              <w:ind w:left="60"/>
              <w:spacing w:after="0"/>
              <w:rPr>
                <w:sz w:val="20"/>
                <w:szCs w:val="20"/>
                <w:color w:val="auto"/>
              </w:rPr>
            </w:pPr>
            <w:r>
              <w:rPr>
                <w:rFonts w:ascii="Arial" w:cs="Arial" w:eastAsia="Arial" w:hAnsi="Arial"/>
                <w:sz w:val="16"/>
                <w:szCs w:val="16"/>
                <w:color w:val="auto"/>
              </w:rPr>
              <w:t>Dr</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9/26/2013</w:t>
            </w:r>
          </w:p>
        </w:tc>
        <w:tc>
          <w:tcPr>
            <w:tcW w:w="1600" w:type="dxa"/>
            <w:vAlign w:val="bottom"/>
          </w:tcPr>
          <w:p>
            <w:pPr>
              <w:ind w:left="60"/>
              <w:spacing w:after="0"/>
              <w:rPr>
                <w:sz w:val="20"/>
                <w:szCs w:val="20"/>
                <w:color w:val="auto"/>
              </w:rPr>
            </w:pPr>
            <w:r>
              <w:rPr>
                <w:rFonts w:ascii="Arial" w:cs="Arial" w:eastAsia="Arial" w:hAnsi="Arial"/>
                <w:sz w:val="16"/>
                <w:szCs w:val="16"/>
                <w:color w:val="auto"/>
              </w:rPr>
              <w:t>Richmond / Meeker</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00" w:type="dxa"/>
            <w:vAlign w:val="bottom"/>
            <w:vMerge w:val="restart"/>
          </w:tcPr>
          <w:p>
            <w:pPr>
              <w:ind w:left="60"/>
              <w:spacing w:after="0"/>
              <w:rPr>
                <w:sz w:val="20"/>
                <w:szCs w:val="20"/>
                <w:color w:val="auto"/>
              </w:rPr>
            </w:pPr>
            <w:r>
              <w:rPr>
                <w:rFonts w:ascii="Arial" w:cs="Arial" w:eastAsia="Arial" w:hAnsi="Arial"/>
                <w:sz w:val="16"/>
                <w:szCs w:val="16"/>
                <w:color w:val="auto"/>
              </w:rPr>
              <w:t>Ave</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8/18/2004</w:t>
            </w:r>
          </w:p>
        </w:tc>
        <w:tc>
          <w:tcPr>
            <w:tcW w:w="1600" w:type="dxa"/>
            <w:vAlign w:val="bottom"/>
          </w:tcPr>
          <w:p>
            <w:pPr>
              <w:ind w:left="60"/>
              <w:spacing w:after="0"/>
              <w:rPr>
                <w:sz w:val="20"/>
                <w:szCs w:val="20"/>
                <w:color w:val="auto"/>
              </w:rPr>
            </w:pPr>
            <w:r>
              <w:rPr>
                <w:rFonts w:ascii="Arial" w:cs="Arial" w:eastAsia="Arial" w:hAnsi="Arial"/>
                <w:sz w:val="16"/>
                <w:szCs w:val="16"/>
                <w:color w:val="auto"/>
              </w:rPr>
              <w:t>Riverside</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12/2/2013</w:t>
            </w:r>
          </w:p>
        </w:tc>
        <w:tc>
          <w:tcPr>
            <w:tcW w:w="1600" w:type="dxa"/>
            <w:vAlign w:val="bottom"/>
          </w:tcPr>
          <w:p>
            <w:pPr>
              <w:ind w:left="60"/>
              <w:spacing w:after="0"/>
              <w:rPr>
                <w:sz w:val="20"/>
                <w:szCs w:val="20"/>
                <w:color w:val="auto"/>
              </w:rPr>
            </w:pPr>
            <w:r>
              <w:rPr>
                <w:rFonts w:ascii="Arial" w:cs="Arial" w:eastAsia="Arial" w:hAnsi="Arial"/>
                <w:sz w:val="16"/>
                <w:szCs w:val="16"/>
                <w:color w:val="auto"/>
              </w:rPr>
              <w:t>Rocklin</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11/4/2013</w:t>
            </w:r>
          </w:p>
        </w:tc>
        <w:tc>
          <w:tcPr>
            <w:tcW w:w="1600" w:type="dxa"/>
            <w:vAlign w:val="bottom"/>
          </w:tcPr>
          <w:p>
            <w:pPr>
              <w:ind w:left="60"/>
              <w:spacing w:after="0"/>
              <w:rPr>
                <w:sz w:val="20"/>
                <w:szCs w:val="20"/>
                <w:color w:val="auto"/>
              </w:rPr>
            </w:pPr>
            <w:r>
              <w:rPr>
                <w:rFonts w:ascii="Arial" w:cs="Arial" w:eastAsia="Arial" w:hAnsi="Arial"/>
                <w:sz w:val="16"/>
                <w:szCs w:val="16"/>
                <w:color w:val="auto"/>
              </w:rPr>
              <w:t>Rohnert Park</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7/1/2005</w:t>
            </w:r>
          </w:p>
        </w:tc>
        <w:tc>
          <w:tcPr>
            <w:tcW w:w="1600" w:type="dxa"/>
            <w:vAlign w:val="bottom"/>
          </w:tcPr>
          <w:p>
            <w:pPr>
              <w:ind w:left="60"/>
              <w:spacing w:after="0"/>
              <w:rPr>
                <w:sz w:val="20"/>
                <w:szCs w:val="20"/>
                <w:color w:val="auto"/>
              </w:rPr>
            </w:pPr>
            <w:r>
              <w:rPr>
                <w:rFonts w:ascii="Arial" w:cs="Arial" w:eastAsia="Arial" w:hAnsi="Arial"/>
                <w:sz w:val="16"/>
                <w:szCs w:val="16"/>
                <w:color w:val="auto"/>
              </w:rPr>
              <w:t>Sacramento / Auburn</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00" w:type="dxa"/>
            <w:vAlign w:val="bottom"/>
            <w:vMerge w:val="restart"/>
          </w:tcPr>
          <w:p>
            <w:pPr>
              <w:ind w:left="60"/>
              <w:spacing w:after="0"/>
              <w:rPr>
                <w:sz w:val="20"/>
                <w:szCs w:val="20"/>
                <w:color w:val="auto"/>
              </w:rPr>
            </w:pPr>
            <w:r>
              <w:rPr>
                <w:rFonts w:ascii="Arial" w:cs="Arial" w:eastAsia="Arial" w:hAnsi="Arial"/>
                <w:sz w:val="16"/>
                <w:szCs w:val="16"/>
                <w:color w:val="auto"/>
              </w:rPr>
              <w:t>Blvd</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3/31/2015</w:t>
            </w:r>
          </w:p>
        </w:tc>
        <w:tc>
          <w:tcPr>
            <w:tcW w:w="1600" w:type="dxa"/>
            <w:vAlign w:val="bottom"/>
          </w:tcPr>
          <w:p>
            <w:pPr>
              <w:ind w:left="60"/>
              <w:spacing w:after="0"/>
              <w:rPr>
                <w:sz w:val="20"/>
                <w:szCs w:val="20"/>
                <w:color w:val="auto"/>
              </w:rPr>
            </w:pPr>
            <w:r>
              <w:rPr>
                <w:rFonts w:ascii="Arial" w:cs="Arial" w:eastAsia="Arial" w:hAnsi="Arial"/>
                <w:sz w:val="16"/>
                <w:szCs w:val="16"/>
                <w:color w:val="auto"/>
                <w:w w:val="96"/>
              </w:rPr>
              <w:t>Sacramento / B Street</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10/1/2010</w:t>
            </w:r>
          </w:p>
        </w:tc>
        <w:tc>
          <w:tcPr>
            <w:tcW w:w="1600" w:type="dxa"/>
            <w:vAlign w:val="bottom"/>
          </w:tcPr>
          <w:p>
            <w:pPr>
              <w:ind w:left="60"/>
              <w:spacing w:after="0"/>
              <w:rPr>
                <w:sz w:val="20"/>
                <w:szCs w:val="20"/>
                <w:color w:val="auto"/>
              </w:rPr>
            </w:pPr>
            <w:r>
              <w:rPr>
                <w:rFonts w:ascii="Arial" w:cs="Arial" w:eastAsia="Arial" w:hAnsi="Arial"/>
                <w:sz w:val="16"/>
                <w:szCs w:val="16"/>
                <w:color w:val="auto"/>
                <w:w w:val="97"/>
              </w:rPr>
              <w:t>Sacramento / Franklin</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00" w:type="dxa"/>
            <w:vAlign w:val="bottom"/>
            <w:vMerge w:val="restart"/>
          </w:tcPr>
          <w:p>
            <w:pPr>
              <w:ind w:left="60"/>
              <w:spacing w:after="0"/>
              <w:rPr>
                <w:sz w:val="20"/>
                <w:szCs w:val="20"/>
                <w:color w:val="auto"/>
              </w:rPr>
            </w:pPr>
            <w:r>
              <w:rPr>
                <w:rFonts w:ascii="Arial" w:cs="Arial" w:eastAsia="Arial" w:hAnsi="Arial"/>
                <w:sz w:val="16"/>
                <w:szCs w:val="16"/>
                <w:color w:val="auto"/>
              </w:rPr>
              <w:t>Blvd</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800" w:type="dxa"/>
            <w:vAlign w:val="bottom"/>
          </w:tcPr>
          <w:p>
            <w:pPr>
              <w:jc w:val="center"/>
              <w:spacing w:after="0"/>
              <w:rPr>
                <w:sz w:val="20"/>
                <w:szCs w:val="20"/>
                <w:color w:val="auto"/>
              </w:rPr>
            </w:pPr>
            <w:r>
              <w:rPr>
                <w:rFonts w:ascii="Arial" w:cs="Arial" w:eastAsia="Arial" w:hAnsi="Arial"/>
                <w:sz w:val="16"/>
                <w:szCs w:val="16"/>
                <w:color w:val="auto"/>
                <w:w w:val="89"/>
              </w:rPr>
              <w:t>12/31/2007</w:t>
            </w:r>
          </w:p>
        </w:tc>
        <w:tc>
          <w:tcPr>
            <w:tcW w:w="1600" w:type="dxa"/>
            <w:vAlign w:val="bottom"/>
          </w:tcPr>
          <w:p>
            <w:pPr>
              <w:ind w:left="60"/>
              <w:spacing w:after="0"/>
              <w:rPr>
                <w:sz w:val="20"/>
                <w:szCs w:val="20"/>
                <w:color w:val="auto"/>
              </w:rPr>
            </w:pPr>
            <w:r>
              <w:rPr>
                <w:rFonts w:ascii="Arial" w:cs="Arial" w:eastAsia="Arial" w:hAnsi="Arial"/>
                <w:sz w:val="16"/>
                <w:szCs w:val="16"/>
                <w:color w:val="auto"/>
                <w:w w:val="93"/>
              </w:rPr>
              <w:t>Sacramento / Stockton</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1600" w:type="dxa"/>
            <w:vAlign w:val="bottom"/>
          </w:tcPr>
          <w:p>
            <w:pPr>
              <w:ind w:left="60"/>
              <w:spacing w:after="0"/>
              <w:rPr>
                <w:sz w:val="20"/>
                <w:szCs w:val="20"/>
                <w:color w:val="auto"/>
              </w:rPr>
            </w:pPr>
            <w:r>
              <w:rPr>
                <w:rFonts w:ascii="Arial" w:cs="Arial" w:eastAsia="Arial" w:hAnsi="Arial"/>
                <w:sz w:val="16"/>
                <w:szCs w:val="16"/>
                <w:color w:val="auto"/>
              </w:rPr>
              <w:t>Blvd</w:t>
            </w:r>
          </w:p>
        </w:tc>
        <w:tc>
          <w:tcPr>
            <w:tcW w:w="0" w:type="dxa"/>
            <w:vAlign w:val="bottom"/>
          </w:tcPr>
          <w:p>
            <w:pPr>
              <w:spacing w:after="0"/>
              <w:rPr>
                <w:sz w:val="1"/>
                <w:szCs w:val="1"/>
                <w:color w:val="auto"/>
              </w:rPr>
            </w:pPr>
          </w:p>
        </w:tc>
      </w:tr>
      <w:tr>
        <w:trPr>
          <w:trHeight w:val="20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6/1/2006</w:t>
            </w:r>
          </w:p>
        </w:tc>
        <w:tc>
          <w:tcPr>
            <w:tcW w:w="1600" w:type="dxa"/>
            <w:vAlign w:val="bottom"/>
          </w:tcPr>
          <w:p>
            <w:pPr>
              <w:ind w:left="60"/>
              <w:spacing w:after="0"/>
              <w:rPr>
                <w:sz w:val="20"/>
                <w:szCs w:val="20"/>
                <w:color w:val="auto"/>
              </w:rPr>
            </w:pPr>
            <w:r>
              <w:rPr>
                <w:rFonts w:ascii="Arial" w:cs="Arial" w:eastAsia="Arial" w:hAnsi="Arial"/>
                <w:sz w:val="16"/>
                <w:szCs w:val="16"/>
                <w:color w:val="auto"/>
              </w:rPr>
              <w:t>San Bernardino /</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00" w:type="dxa"/>
            <w:vAlign w:val="bottom"/>
            <w:vMerge w:val="restart"/>
          </w:tcPr>
          <w:p>
            <w:pPr>
              <w:ind w:left="60"/>
              <w:spacing w:after="0"/>
              <w:rPr>
                <w:sz w:val="20"/>
                <w:szCs w:val="20"/>
                <w:color w:val="auto"/>
              </w:rPr>
            </w:pPr>
            <w:r>
              <w:rPr>
                <w:rFonts w:ascii="Arial" w:cs="Arial" w:eastAsia="Arial" w:hAnsi="Arial"/>
                <w:sz w:val="16"/>
                <w:szCs w:val="16"/>
                <w:color w:val="auto"/>
              </w:rPr>
              <w:t>Sterling Ave.</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6/1/2004</w:t>
            </w:r>
          </w:p>
        </w:tc>
        <w:tc>
          <w:tcPr>
            <w:tcW w:w="1600" w:type="dxa"/>
            <w:vAlign w:val="bottom"/>
          </w:tcPr>
          <w:p>
            <w:pPr>
              <w:ind w:left="60"/>
              <w:spacing w:after="0"/>
              <w:rPr>
                <w:sz w:val="20"/>
                <w:szCs w:val="20"/>
                <w:color w:val="auto"/>
              </w:rPr>
            </w:pPr>
            <w:r>
              <w:rPr>
                <w:rFonts w:ascii="Arial" w:cs="Arial" w:eastAsia="Arial" w:hAnsi="Arial"/>
                <w:sz w:val="16"/>
                <w:szCs w:val="16"/>
                <w:color w:val="auto"/>
              </w:rPr>
              <w:t>San Bernardino / W</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6,861</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5,859</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4,992</w:t>
            </w:r>
          </w:p>
        </w:tc>
        <w:tc>
          <w:tcPr>
            <w:tcW w:w="1280" w:type="dxa"/>
            <w:vAlign w:val="bottom"/>
          </w:tcPr>
          <w:p>
            <w:pPr>
              <w:jc w:val="center"/>
              <w:ind w:right="119"/>
              <w:spacing w:after="0"/>
              <w:rPr>
                <w:sz w:val="20"/>
                <w:szCs w:val="20"/>
                <w:color w:val="auto"/>
              </w:rPr>
            </w:pPr>
            <w:r>
              <w:rPr>
                <w:rFonts w:ascii="Arial" w:cs="Arial" w:eastAsia="Arial" w:hAnsi="Arial"/>
                <w:sz w:val="16"/>
                <w:szCs w:val="16"/>
                <w:color w:val="auto"/>
                <w:w w:val="89"/>
              </w:rPr>
              <w:t>54</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5,859</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5,046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10,905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1,054</w:t>
            </w:r>
          </w:p>
        </w:tc>
      </w:tr>
      <w:tr>
        <w:trPr>
          <w:trHeight w:val="364"/>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10,107</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15,874</w:t>
            </w:r>
          </w:p>
        </w:tc>
        <w:tc>
          <w:tcPr>
            <w:tcW w:w="1280" w:type="dxa"/>
            <w:vAlign w:val="bottom"/>
          </w:tcPr>
          <w:p>
            <w:pPr>
              <w:jc w:val="center"/>
              <w:ind w:right="119"/>
              <w:spacing w:after="0"/>
              <w:rPr>
                <w:sz w:val="20"/>
                <w:szCs w:val="20"/>
                <w:color w:val="auto"/>
              </w:rPr>
            </w:pPr>
            <w:r>
              <w:rPr>
                <w:rFonts w:ascii="Arial" w:cs="Arial" w:eastAsia="Arial" w:hAnsi="Arial"/>
                <w:sz w:val="16"/>
                <w:szCs w:val="16"/>
                <w:color w:val="auto"/>
                <w:w w:val="89"/>
              </w:rPr>
              <w:t>66</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10,107</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15,940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26,047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68</w:t>
            </w:r>
          </w:p>
        </w:tc>
      </w:tr>
      <w:tr>
        <w:trPr>
          <w:trHeight w:val="364"/>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1,431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2,976</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829</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1,611</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3,625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5,236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1,566</w:t>
            </w:r>
          </w:p>
        </w:tc>
      </w:tr>
      <w:tr>
        <w:trPr>
          <w:trHeight w:val="459"/>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3,099</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4,889</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122</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3,099</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5,011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8,110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601</w:t>
            </w:r>
          </w:p>
        </w:tc>
      </w:tr>
      <w:tr>
        <w:trPr>
          <w:trHeight w:val="459"/>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9,678</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3,991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9,774</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146</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3,992</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9,919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13,911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2,314</w:t>
            </w:r>
          </w:p>
        </w:tc>
      </w:tr>
      <w:tr>
        <w:trPr>
          <w:trHeight w:val="459"/>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8,038</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2,200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8,108</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243</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2,200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8,351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10,551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1,772</w:t>
            </w:r>
          </w:p>
        </w:tc>
      </w:tr>
      <w:tr>
        <w:trPr>
          <w:trHeight w:val="459"/>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1,434</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287</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2,011</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388</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287</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2,399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2,686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251</w:t>
            </w:r>
          </w:p>
        </w:tc>
      </w:tr>
      <w:tr>
        <w:trPr>
          <w:trHeight w:val="459"/>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2,400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8,605</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340</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2,401</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8,944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11,345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655</w:t>
            </w:r>
          </w:p>
        </w:tc>
      </w:tr>
      <w:tr>
        <w:trPr>
          <w:trHeight w:val="364"/>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2,550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8,257</w:t>
            </w:r>
          </w:p>
        </w:tc>
        <w:tc>
          <w:tcPr>
            <w:tcW w:w="1280" w:type="dxa"/>
            <w:vAlign w:val="bottom"/>
          </w:tcPr>
          <w:p>
            <w:pPr>
              <w:jc w:val="center"/>
              <w:ind w:right="119"/>
              <w:spacing w:after="0"/>
              <w:rPr>
                <w:sz w:val="20"/>
                <w:szCs w:val="20"/>
                <w:color w:val="auto"/>
              </w:rPr>
            </w:pPr>
            <w:r>
              <w:rPr>
                <w:rFonts w:ascii="Arial" w:cs="Arial" w:eastAsia="Arial" w:hAnsi="Arial"/>
                <w:sz w:val="16"/>
                <w:szCs w:val="16"/>
                <w:color w:val="auto"/>
                <w:w w:val="89"/>
              </w:rPr>
              <w:t>74</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2,550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8,331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10,881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1,054</w:t>
            </w:r>
          </w:p>
        </w:tc>
      </w:tr>
      <w:tr>
        <w:trPr>
          <w:trHeight w:val="270"/>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4,725</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848</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2,543</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210</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848</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2,753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3,601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968</w:t>
            </w:r>
          </w:p>
        </w:tc>
      </w:tr>
      <w:tr>
        <w:trPr>
          <w:trHeight w:val="270"/>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34,478</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19,928</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18,742</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250</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19,928</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18,992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38,920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3,128</w:t>
            </w:r>
          </w:p>
        </w:tc>
      </w:tr>
      <w:tr>
        <w:trPr>
          <w:trHeight w:val="270"/>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9,371</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7,675</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1,812</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275</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7,675</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2,087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9,762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216</w:t>
            </w:r>
          </w:p>
        </w:tc>
      </w:tr>
      <w:tr>
        <w:trPr>
          <w:trHeight w:val="364"/>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3,203</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909</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3,043</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397</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909</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3,440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4,349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944</w:t>
            </w:r>
          </w:p>
        </w:tc>
      </w:tr>
      <w:tr>
        <w:trPr>
          <w:trHeight w:val="364"/>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4,192</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1,647</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4,215</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82"/>
              </w:rPr>
              <w:t>211</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1,647</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4,426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6,073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408</w:t>
            </w:r>
          </w:p>
        </w:tc>
      </w:tr>
      <w:tr>
        <w:trPr>
          <w:trHeight w:val="270"/>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2,011</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482</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3,484</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188</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482</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3,672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4,154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423</w:t>
            </w:r>
          </w:p>
        </w:tc>
      </w:tr>
      <w:tr>
        <w:trPr>
          <w:trHeight w:val="270"/>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7,354</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1,760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11,772</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247</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1,760</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12,019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13,779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397</w:t>
            </w:r>
          </w:p>
        </w:tc>
      </w:tr>
      <w:tr>
        <w:trPr>
          <w:trHeight w:val="270"/>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3,274</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799</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2,801</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135</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799</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2,936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3,735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568</w:t>
            </w:r>
          </w:p>
        </w:tc>
      </w:tr>
      <w:tr>
        <w:trPr>
          <w:trHeight w:val="364"/>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4,501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4,465</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376</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4,501</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4,841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9,342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471</w:t>
            </w:r>
          </w:p>
        </w:tc>
      </w:tr>
      <w:tr>
        <w:trPr>
          <w:trHeight w:val="459"/>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6,444</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3,125</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9,257</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327</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3,125</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9,584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12,709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2,622</w:t>
            </w:r>
          </w:p>
        </w:tc>
      </w:tr>
      <w:tr>
        <w:trPr>
          <w:trHeight w:val="364"/>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6,514</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3,641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2,872</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308</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3,641</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3,180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6,821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327</w:t>
            </w:r>
          </w:p>
        </w:tc>
      </w:tr>
      <w:tr>
        <w:trPr>
          <w:trHeight w:val="270"/>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9,880</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6,359</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5,753</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385</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6,359</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6,138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12,497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567</w:t>
            </w:r>
          </w:p>
        </w:tc>
      </w:tr>
      <w:tr>
        <w:trPr>
          <w:trHeight w:val="270"/>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3,777</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4"/>
              </w:rPr>
              <w:t>1,167</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4,944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4,944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2,207</w:t>
            </w:r>
          </w:p>
        </w:tc>
      </w:tr>
      <w:tr>
        <w:trPr>
          <w:trHeight w:val="364"/>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7,719</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1,668</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7,652</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338</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1,668</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7,990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9,658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658</w:t>
            </w:r>
          </w:p>
        </w:tc>
      </w:tr>
      <w:tr>
        <w:trPr>
          <w:trHeight w:val="459"/>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3,241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11,361</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909</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3,241</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12,270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15,511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3,921</w:t>
            </w:r>
          </w:p>
        </w:tc>
      </w:tr>
      <w:tr>
        <w:trPr>
          <w:trHeight w:val="459"/>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5,890</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4,508</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4,599</w:t>
            </w:r>
          </w:p>
        </w:tc>
        <w:tc>
          <w:tcPr>
            <w:tcW w:w="1280" w:type="dxa"/>
            <w:vAlign w:val="bottom"/>
          </w:tcPr>
          <w:p>
            <w:pPr>
              <w:jc w:val="center"/>
              <w:ind w:right="119"/>
              <w:spacing w:after="0"/>
              <w:rPr>
                <w:sz w:val="20"/>
                <w:szCs w:val="20"/>
                <w:color w:val="auto"/>
              </w:rPr>
            </w:pPr>
            <w:r>
              <w:rPr>
                <w:rFonts w:ascii="Arial" w:cs="Arial" w:eastAsia="Arial" w:hAnsi="Arial"/>
                <w:sz w:val="16"/>
                <w:szCs w:val="16"/>
                <w:color w:val="auto"/>
                <w:w w:val="89"/>
              </w:rPr>
              <w:t>52</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4,508</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4,651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9,159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251</w:t>
            </w:r>
          </w:p>
        </w:tc>
      </w:tr>
      <w:tr>
        <w:trPr>
          <w:trHeight w:val="364"/>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11,856</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4,847</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12,341</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343</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4,847</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12,684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17,531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1,411</w:t>
            </w:r>
          </w:p>
        </w:tc>
      </w:tr>
      <w:tr>
        <w:trPr>
          <w:trHeight w:val="270"/>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8,452</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5,421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6,761</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342</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5,421</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7,103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12,524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598</w:t>
            </w:r>
          </w:p>
        </w:tc>
      </w:tr>
      <w:tr>
        <w:trPr>
          <w:trHeight w:val="270"/>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2,120</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3,050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7,597</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218</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3,050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7,815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10,865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1,471</w:t>
            </w:r>
          </w:p>
        </w:tc>
      </w:tr>
      <w:tr>
        <w:trPr>
          <w:trHeight w:val="270"/>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4,453</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1,225</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5,379</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4"/>
              </w:rPr>
              <w:t>2,405</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1,225</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7,784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9,009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2,367</w:t>
            </w:r>
          </w:p>
        </w:tc>
      </w:tr>
      <w:tr>
        <w:trPr>
          <w:trHeight w:val="270"/>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4,440</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1,404</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2,549</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254</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1,404</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2,803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4,207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419</w:t>
            </w:r>
          </w:p>
        </w:tc>
      </w:tr>
      <w:tr>
        <w:trPr>
          <w:trHeight w:val="364"/>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1,150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3,450</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233</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1,150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3,683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4,833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1,486</w:t>
            </w:r>
          </w:p>
        </w:tc>
      </w:tr>
      <w:tr>
        <w:trPr>
          <w:trHeight w:val="459"/>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11,750</w:t>
            </w:r>
          </w:p>
        </w:tc>
        <w:tc>
          <w:tcPr>
            <w:tcW w:w="1280" w:type="dxa"/>
            <w:vAlign w:val="bottom"/>
          </w:tcPr>
          <w:p>
            <w:pPr>
              <w:jc w:val="center"/>
              <w:ind w:right="119"/>
              <w:spacing w:after="0"/>
              <w:rPr>
                <w:sz w:val="20"/>
                <w:szCs w:val="20"/>
                <w:color w:val="auto"/>
              </w:rPr>
            </w:pPr>
            <w:r>
              <w:rPr>
                <w:rFonts w:ascii="Arial" w:cs="Arial" w:eastAsia="Arial" w:hAnsi="Arial"/>
                <w:sz w:val="16"/>
                <w:szCs w:val="16"/>
                <w:color w:val="auto"/>
                <w:w w:val="89"/>
              </w:rPr>
              <w:t>66</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11,816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11,816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101</w:t>
            </w:r>
          </w:p>
        </w:tc>
      </w:tr>
      <w:tr>
        <w:trPr>
          <w:trHeight w:val="459"/>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4,376</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2,150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4,734</w:t>
            </w:r>
          </w:p>
        </w:tc>
        <w:tc>
          <w:tcPr>
            <w:tcW w:w="1280" w:type="dxa"/>
            <w:vAlign w:val="bottom"/>
          </w:tcPr>
          <w:p>
            <w:pPr>
              <w:jc w:val="center"/>
              <w:ind w:right="119"/>
              <w:spacing w:after="0"/>
              <w:rPr>
                <w:sz w:val="20"/>
                <w:szCs w:val="20"/>
                <w:color w:val="auto"/>
              </w:rPr>
            </w:pPr>
            <w:r>
              <w:rPr>
                <w:rFonts w:ascii="Arial" w:cs="Arial" w:eastAsia="Arial" w:hAnsi="Arial"/>
                <w:sz w:val="16"/>
                <w:szCs w:val="16"/>
                <w:color w:val="auto"/>
                <w:w w:val="89"/>
              </w:rPr>
              <w:t>47</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2,150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4,781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6,931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349</w:t>
            </w:r>
          </w:p>
        </w:tc>
      </w:tr>
      <w:tr>
        <w:trPr>
          <w:trHeight w:val="364"/>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11,245</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4,798</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5,483</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346</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4,798</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5,829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10,627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831</w:t>
            </w:r>
          </w:p>
        </w:tc>
      </w:tr>
      <w:tr>
        <w:trPr>
          <w:trHeight w:val="270"/>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7,067</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1,208</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4,283</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640</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1,208</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4,923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6,131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1,401</w:t>
            </w:r>
          </w:p>
        </w:tc>
      </w:tr>
      <w:tr>
        <w:trPr>
          <w:trHeight w:val="364"/>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4,716</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953</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4,635</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4"/>
              </w:rPr>
              <w:t>1,497</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953</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6,132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7,085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1,913</w:t>
            </w:r>
          </w:p>
        </w:tc>
      </w:tr>
      <w:tr>
        <w:trPr>
          <w:trHeight w:val="459"/>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3,139</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7,437</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227</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3,139</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7,664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10,803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690</w:t>
            </w:r>
          </w:p>
        </w:tc>
      </w:tr>
      <w:tr>
        <w:trPr>
          <w:trHeight w:val="364"/>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4,674</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1,075</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4,042</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796</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1,075</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4,838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5,913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1,643</w:t>
            </w:r>
          </w:p>
        </w:tc>
      </w:tr>
      <w:tr>
        <w:trPr>
          <w:trHeight w:val="270"/>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6,297</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1,745</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8,005</w:t>
            </w:r>
          </w:p>
        </w:tc>
        <w:tc>
          <w:tcPr>
            <w:tcW w:w="1280" w:type="dxa"/>
            <w:vAlign w:val="bottom"/>
          </w:tcPr>
          <w:p>
            <w:pPr>
              <w:jc w:val="center"/>
              <w:ind w:right="119"/>
              <w:spacing w:after="0"/>
              <w:rPr>
                <w:sz w:val="20"/>
                <w:szCs w:val="20"/>
                <w:color w:val="auto"/>
              </w:rPr>
            </w:pPr>
            <w:r>
              <w:rPr>
                <w:rFonts w:ascii="Arial" w:cs="Arial" w:eastAsia="Arial" w:hAnsi="Arial"/>
                <w:sz w:val="16"/>
                <w:szCs w:val="16"/>
                <w:color w:val="auto"/>
                <w:w w:val="89"/>
              </w:rPr>
              <w:t>88</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1,745</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8,093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9,838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639</w:t>
            </w:r>
          </w:p>
        </w:tc>
      </w:tr>
      <w:tr>
        <w:trPr>
          <w:trHeight w:val="270"/>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6,289</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990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8,094</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186</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990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8,280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9,270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676</w:t>
            </w:r>
          </w:p>
        </w:tc>
      </w:tr>
      <w:tr>
        <w:trPr>
          <w:trHeight w:val="364"/>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4,446</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852</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4,720</w:t>
            </w:r>
          </w:p>
        </w:tc>
        <w:tc>
          <w:tcPr>
            <w:tcW w:w="1280" w:type="dxa"/>
            <w:vAlign w:val="bottom"/>
          </w:tcPr>
          <w:p>
            <w:pPr>
              <w:jc w:val="center"/>
              <w:ind w:right="119"/>
              <w:spacing w:after="0"/>
              <w:rPr>
                <w:sz w:val="20"/>
                <w:szCs w:val="20"/>
                <w:color w:val="auto"/>
              </w:rPr>
            </w:pPr>
            <w:r>
              <w:rPr>
                <w:rFonts w:ascii="Arial" w:cs="Arial" w:eastAsia="Arial" w:hAnsi="Arial"/>
                <w:sz w:val="16"/>
                <w:szCs w:val="16"/>
                <w:color w:val="auto"/>
                <w:w w:val="89"/>
              </w:rPr>
              <w:t>1,011</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852</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5,731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6,583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1,795</w:t>
            </w:r>
          </w:p>
        </w:tc>
      </w:tr>
      <w:tr>
        <w:trPr>
          <w:trHeight w:val="364"/>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7,611</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1,025</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11,479</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459</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1,025</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11,938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12,963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571</w:t>
            </w:r>
          </w:p>
        </w:tc>
      </w:tr>
      <w:tr>
        <w:trPr>
          <w:trHeight w:val="364"/>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3,390</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1,738</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5,522</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306</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1,844</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5,722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7,566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923</w:t>
            </w:r>
          </w:p>
        </w:tc>
      </w:tr>
      <w:tr>
        <w:trPr>
          <w:trHeight w:val="459"/>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2,784</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952</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6,936</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481</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1,075</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7,294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8,369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1,194</w:t>
            </w:r>
          </w:p>
        </w:tc>
      </w:tr>
      <w:tr>
        <w:trPr>
          <w:trHeight w:val="459"/>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750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5,135</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212</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750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5,347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6,097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1,414</w:t>
            </w:r>
          </w:p>
        </w:tc>
      </w:tr>
      <w:tr>
        <w:trPr>
          <w:trHeight w:val="364"/>
        </w:trPr>
        <w:tc>
          <w:tcPr>
            <w:tcW w:w="360" w:type="dxa"/>
            <w:vAlign w:val="bottom"/>
          </w:tcPr>
          <w:p>
            <w:pPr>
              <w:spacing w:after="0"/>
              <w:rPr>
                <w:sz w:val="20"/>
                <w:szCs w:val="20"/>
                <w:color w:val="auto"/>
              </w:rPr>
            </w:pPr>
            <w:r>
              <w:rPr>
                <w:rFonts w:ascii="Arial" w:cs="Arial" w:eastAsia="Arial" w:hAnsi="Arial"/>
                <w:sz w:val="16"/>
                <w:szCs w:val="16"/>
                <w:color w:val="auto"/>
              </w:rPr>
              <w:t>CA</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1,213</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3,061</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141</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1,173</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3,242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4,415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-10506075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-10197465</wp:posOffset>
            </wp:positionV>
            <wp:extent cx="72466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-9735185</wp:posOffset>
            </wp:positionV>
            <wp:extent cx="7246620" cy="291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-9152255</wp:posOffset>
            </wp:positionV>
            <wp:extent cx="7246620" cy="291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-8569960</wp:posOffset>
            </wp:positionV>
            <wp:extent cx="7246620" cy="291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-8107680</wp:posOffset>
            </wp:positionV>
            <wp:extent cx="72466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-7764780</wp:posOffset>
            </wp:positionV>
            <wp:extent cx="72466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-7302500</wp:posOffset>
            </wp:positionV>
            <wp:extent cx="72466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-6959600</wp:posOffset>
            </wp:positionV>
            <wp:extent cx="72466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-6616700</wp:posOffset>
            </wp:positionV>
            <wp:extent cx="7246620" cy="291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-6034405</wp:posOffset>
            </wp:positionV>
            <wp:extent cx="72466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-5692140</wp:posOffset>
            </wp:positionV>
            <wp:extent cx="72466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-5229225</wp:posOffset>
            </wp:positionV>
            <wp:extent cx="7246620" cy="291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-4646930</wp:posOffset>
            </wp:positionV>
            <wp:extent cx="72466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-4304030</wp:posOffset>
            </wp:positionV>
            <wp:extent cx="72466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-3961765</wp:posOffset>
            </wp:positionV>
            <wp:extent cx="724662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-3498850</wp:posOffset>
            </wp:positionV>
            <wp:extent cx="7246620" cy="291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-2916555</wp:posOffset>
            </wp:positionV>
            <wp:extent cx="72466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-2573655</wp:posOffset>
            </wp:positionV>
            <wp:extent cx="7246620" cy="291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-1991360</wp:posOffset>
            </wp:positionV>
            <wp:extent cx="724662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-1649095</wp:posOffset>
            </wp:positionV>
            <wp:extent cx="724662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-1186180</wp:posOffset>
            </wp:positionV>
            <wp:extent cx="724662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-723900</wp:posOffset>
            </wp:positionV>
            <wp:extent cx="7246620" cy="291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-140970</wp:posOffset>
            </wp:positionV>
            <wp:extent cx="7246620" cy="1511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51130"/>
                    </a:xfrm>
                    <a:prstGeom prst="rect">
                      <a:avLst/>
                    </a:prstGeom>
                    <a:noFill/>
                  </pic:spPr>
                </pic:pic>
              </a:graphicData>
            </a:graphic>
          </wp:anchor>
        </w:drawing>
      </w:r>
    </w:p>
    <w:p>
      <w:pPr>
        <w:sectPr>
          <w:pgSz w:w="11900" w:h="16886" w:orient="portrait"/>
          <w:cols w:equalWidth="0" w:num="2">
            <w:col w:w="2400" w:space="240"/>
            <w:col w:w="8360"/>
          </w:cols>
          <w:pgMar w:left="360" w:top="184" w:right="539" w:bottom="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08"/>
        </w:trPr>
        <w:tc>
          <w:tcPr>
            <w:tcW w:w="960" w:type="dxa"/>
            <w:vAlign w:val="bottom"/>
            <w:shd w:val="clear" w:color="auto" w:fill="CCEEFF"/>
          </w:tcPr>
          <w:p>
            <w:pPr>
              <w:spacing w:after="0"/>
              <w:rPr>
                <w:sz w:val="9"/>
                <w:szCs w:val="9"/>
                <w:color w:val="auto"/>
              </w:rPr>
            </w:pPr>
          </w:p>
        </w:tc>
        <w:tc>
          <w:tcPr>
            <w:tcW w:w="16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Club Center Dr</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960" w:type="dxa"/>
            <w:vAlign w:val="bottom"/>
          </w:tcPr>
          <w:p>
            <w:pPr>
              <w:spacing w:after="0"/>
              <w:rPr>
                <w:sz w:val="8"/>
                <w:szCs w:val="8"/>
                <w:color w:val="auto"/>
              </w:rPr>
            </w:pPr>
          </w:p>
        </w:tc>
        <w:tc>
          <w:tcPr>
            <w:tcW w:w="162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960" w:type="dxa"/>
            <w:vAlign w:val="bottom"/>
          </w:tcPr>
          <w:p>
            <w:pPr>
              <w:jc w:val="center"/>
              <w:spacing w:after="0"/>
              <w:rPr>
                <w:sz w:val="20"/>
                <w:szCs w:val="20"/>
                <w:color w:val="auto"/>
              </w:rPr>
            </w:pPr>
            <w:r>
              <w:rPr>
                <w:rFonts w:ascii="Arial" w:cs="Arial" w:eastAsia="Arial" w:hAnsi="Arial"/>
                <w:sz w:val="16"/>
                <w:szCs w:val="16"/>
                <w:color w:val="auto"/>
                <w:w w:val="89"/>
              </w:rPr>
              <w:t>8/29/2013</w:t>
            </w:r>
          </w:p>
        </w:tc>
        <w:tc>
          <w:tcPr>
            <w:tcW w:w="1620" w:type="dxa"/>
            <w:vAlign w:val="bottom"/>
          </w:tcPr>
          <w:p>
            <w:pPr>
              <w:ind w:left="20"/>
              <w:spacing w:after="0"/>
              <w:rPr>
                <w:sz w:val="20"/>
                <w:szCs w:val="20"/>
                <w:color w:val="auto"/>
              </w:rPr>
            </w:pPr>
            <w:r>
              <w:rPr>
                <w:rFonts w:ascii="Arial" w:cs="Arial" w:eastAsia="Arial" w:hAnsi="Arial"/>
                <w:sz w:val="16"/>
                <w:szCs w:val="16"/>
                <w:color w:val="auto"/>
              </w:rPr>
              <w:t>San Diego / Cedar St</w:t>
            </w:r>
          </w:p>
        </w:tc>
        <w:tc>
          <w:tcPr>
            <w:tcW w:w="100" w:type="dxa"/>
            <w:vAlign w:val="bottom"/>
          </w:tcPr>
          <w:p>
            <w:pPr>
              <w:spacing w:after="0"/>
              <w:rPr>
                <w:sz w:val="19"/>
                <w:szCs w:val="19"/>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70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13,188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12/11/2015</w:t>
            </w:r>
          </w:p>
        </w:tc>
        <w:tc>
          <w:tcPr>
            <w:tcW w:w="1620" w:type="dxa"/>
            <w:vAlign w:val="bottom"/>
          </w:tcPr>
          <w:p>
            <w:pPr>
              <w:ind w:left="20"/>
              <w:spacing w:after="0"/>
              <w:rPr>
                <w:sz w:val="20"/>
                <w:szCs w:val="20"/>
                <w:color w:val="auto"/>
              </w:rPr>
            </w:pPr>
            <w:r>
              <w:rPr>
                <w:rFonts w:ascii="Arial" w:cs="Arial" w:eastAsia="Arial" w:hAnsi="Arial"/>
                <w:sz w:val="16"/>
                <w:szCs w:val="16"/>
                <w:color w:val="auto"/>
              </w:rPr>
              <w:t>San Diego / Del Sol</w:t>
            </w:r>
          </w:p>
        </w:tc>
        <w:tc>
          <w:tcPr>
            <w:tcW w:w="100" w:type="dxa"/>
            <w:vAlign w:val="bottom"/>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60" w:type="dxa"/>
            <w:vAlign w:val="bottom"/>
          </w:tcPr>
          <w:p>
            <w:pPr>
              <w:spacing w:after="0"/>
              <w:rPr>
                <w:sz w:val="17"/>
                <w:szCs w:val="17"/>
                <w:color w:val="auto"/>
              </w:rPr>
            </w:pPr>
          </w:p>
        </w:tc>
        <w:tc>
          <w:tcPr>
            <w:tcW w:w="1620" w:type="dxa"/>
            <w:vAlign w:val="bottom"/>
          </w:tcPr>
          <w:p>
            <w:pPr>
              <w:ind w:left="20"/>
              <w:spacing w:after="0"/>
              <w:rPr>
                <w:sz w:val="20"/>
                <w:szCs w:val="20"/>
                <w:color w:val="auto"/>
              </w:rPr>
            </w:pPr>
            <w:r>
              <w:rPr>
                <w:rFonts w:ascii="Arial" w:cs="Arial" w:eastAsia="Arial" w:hAnsi="Arial"/>
                <w:sz w:val="16"/>
                <w:szCs w:val="16"/>
                <w:color w:val="auto"/>
              </w:rPr>
              <w:t>Blvd</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10/19/2011</w:t>
            </w:r>
          </w:p>
        </w:tc>
        <w:tc>
          <w:tcPr>
            <w:tcW w:w="1620" w:type="dxa"/>
            <w:vAlign w:val="bottom"/>
          </w:tcPr>
          <w:p>
            <w:pPr>
              <w:ind w:left="20"/>
              <w:spacing w:after="0"/>
              <w:rPr>
                <w:sz w:val="20"/>
                <w:szCs w:val="20"/>
                <w:color w:val="auto"/>
              </w:rPr>
            </w:pPr>
            <w:r>
              <w:rPr>
                <w:rFonts w:ascii="Arial" w:cs="Arial" w:eastAsia="Arial" w:hAnsi="Arial"/>
                <w:sz w:val="16"/>
                <w:szCs w:val="16"/>
                <w:color w:val="auto"/>
              </w:rPr>
              <w:t>San Dimas</w:t>
            </w:r>
          </w:p>
        </w:tc>
        <w:tc>
          <w:tcPr>
            <w:tcW w:w="100" w:type="dxa"/>
            <w:vAlign w:val="bottom"/>
          </w:tcPr>
          <w:p>
            <w:pPr>
              <w:spacing w:after="0"/>
              <w:rPr>
                <w:sz w:val="17"/>
                <w:szCs w:val="17"/>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12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8/29/2013</w:t>
            </w:r>
          </w:p>
        </w:tc>
        <w:tc>
          <w:tcPr>
            <w:tcW w:w="1620" w:type="dxa"/>
            <w:vAlign w:val="bottom"/>
          </w:tcPr>
          <w:p>
            <w:pPr>
              <w:ind w:left="20"/>
              <w:spacing w:after="0"/>
              <w:rPr>
                <w:sz w:val="20"/>
                <w:szCs w:val="20"/>
                <w:color w:val="auto"/>
              </w:rPr>
            </w:pPr>
            <w:r>
              <w:rPr>
                <w:rFonts w:ascii="Arial" w:cs="Arial" w:eastAsia="Arial" w:hAnsi="Arial"/>
                <w:sz w:val="16"/>
                <w:szCs w:val="16"/>
                <w:color w:val="auto"/>
                <w:w w:val="97"/>
              </w:rPr>
              <w:t>San Francisco / Egbert</w:t>
            </w:r>
          </w:p>
        </w:tc>
        <w:tc>
          <w:tcPr>
            <w:tcW w:w="100" w:type="dxa"/>
            <w:vAlign w:val="bottom"/>
          </w:tcPr>
          <w:p>
            <w:pPr>
              <w:spacing w:after="0"/>
              <w:rPr>
                <w:sz w:val="23"/>
                <w:szCs w:val="23"/>
                <w:color w:val="auto"/>
              </w:rPr>
            </w:pPr>
          </w:p>
        </w:tc>
        <w:tc>
          <w:tcPr>
            <w:tcW w:w="400" w:type="dxa"/>
            <w:vAlign w:val="bottom"/>
            <w:vMerge w:val="restart"/>
          </w:tcPr>
          <w:p>
            <w:pPr>
              <w:ind w:left="80"/>
              <w:spacing w:after="0"/>
              <w:rPr>
                <w:sz w:val="20"/>
                <w:szCs w:val="20"/>
                <w:color w:val="auto"/>
              </w:rPr>
            </w:pPr>
            <w:r>
              <w:rPr>
                <w:rFonts w:ascii="Arial" w:cs="Arial" w:eastAsia="Arial" w:hAnsi="Arial"/>
                <w:sz w:val="16"/>
                <w:szCs w:val="16"/>
                <w:color w:val="auto"/>
              </w:rPr>
              <w:t>CA</w:t>
            </w:r>
          </w:p>
        </w:tc>
        <w:tc>
          <w:tcPr>
            <w:tcW w:w="70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89"/>
              </w:rPr>
              <w:t>10,355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20" w:type="dxa"/>
            <w:vAlign w:val="bottom"/>
            <w:vMerge w:val="restart"/>
          </w:tcPr>
          <w:p>
            <w:pPr>
              <w:ind w:left="20"/>
              <w:spacing w:after="0"/>
              <w:rPr>
                <w:sz w:val="20"/>
                <w:szCs w:val="20"/>
                <w:color w:val="auto"/>
              </w:rPr>
            </w:pPr>
            <w:r>
              <w:rPr>
                <w:rFonts w:ascii="Arial" w:cs="Arial" w:eastAsia="Arial" w:hAnsi="Arial"/>
                <w:sz w:val="16"/>
                <w:szCs w:val="16"/>
                <w:color w:val="auto"/>
              </w:rPr>
              <w:t>Ave</w:t>
            </w:r>
          </w:p>
        </w:tc>
        <w:tc>
          <w:tcPr>
            <w:tcW w:w="10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6/14/2007</w:t>
            </w:r>
          </w:p>
        </w:tc>
        <w:tc>
          <w:tcPr>
            <w:tcW w:w="1620" w:type="dxa"/>
            <w:vAlign w:val="bottom"/>
          </w:tcPr>
          <w:p>
            <w:pPr>
              <w:ind w:left="20"/>
              <w:spacing w:after="0"/>
              <w:rPr>
                <w:sz w:val="20"/>
                <w:szCs w:val="20"/>
                <w:color w:val="auto"/>
              </w:rPr>
            </w:pPr>
            <w:r>
              <w:rPr>
                <w:rFonts w:ascii="Arial" w:cs="Arial" w:eastAsia="Arial" w:hAnsi="Arial"/>
                <w:sz w:val="16"/>
                <w:szCs w:val="16"/>
                <w:color w:val="auto"/>
                <w:w w:val="93"/>
              </w:rPr>
              <w:t>San Francisco / Folsom</w:t>
            </w:r>
          </w:p>
        </w:tc>
        <w:tc>
          <w:tcPr>
            <w:tcW w:w="100" w:type="dxa"/>
            <w:vAlign w:val="bottom"/>
          </w:tcPr>
          <w:p>
            <w:pPr>
              <w:spacing w:after="0"/>
              <w:rPr>
                <w:sz w:val="22"/>
                <w:szCs w:val="22"/>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70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17,828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620" w:type="dxa"/>
            <w:vAlign w:val="bottom"/>
          </w:tcPr>
          <w:p>
            <w:pPr>
              <w:ind w:left="20"/>
              <w:spacing w:after="0"/>
              <w:rPr>
                <w:sz w:val="20"/>
                <w:szCs w:val="20"/>
                <w:color w:val="auto"/>
              </w:rPr>
            </w:pPr>
            <w:r>
              <w:rPr>
                <w:rFonts w:ascii="Arial" w:cs="Arial" w:eastAsia="Arial" w:hAnsi="Arial"/>
                <w:sz w:val="16"/>
                <w:szCs w:val="16"/>
                <w:color w:val="auto"/>
              </w:rPr>
              <w:t>San Francisco / Otis</w:t>
            </w:r>
          </w:p>
        </w:tc>
        <w:tc>
          <w:tcPr>
            <w:tcW w:w="100" w:type="dxa"/>
            <w:vAlign w:val="bottom"/>
          </w:tcPr>
          <w:p>
            <w:pPr>
              <w:spacing w:after="0"/>
              <w:rPr>
                <w:sz w:val="23"/>
                <w:szCs w:val="23"/>
                <w:color w:val="auto"/>
              </w:rPr>
            </w:pPr>
          </w:p>
        </w:tc>
        <w:tc>
          <w:tcPr>
            <w:tcW w:w="400" w:type="dxa"/>
            <w:vAlign w:val="bottom"/>
            <w:vMerge w:val="restart"/>
          </w:tcPr>
          <w:p>
            <w:pPr>
              <w:ind w:left="80"/>
              <w:spacing w:after="0"/>
              <w:rPr>
                <w:sz w:val="20"/>
                <w:szCs w:val="20"/>
                <w:color w:val="auto"/>
              </w:rPr>
            </w:pPr>
            <w:r>
              <w:rPr>
                <w:rFonts w:ascii="Arial" w:cs="Arial" w:eastAsia="Arial" w:hAnsi="Arial"/>
                <w:sz w:val="16"/>
                <w:szCs w:val="16"/>
                <w:color w:val="auto"/>
              </w:rPr>
              <w:t>CA</w:t>
            </w:r>
          </w:p>
        </w:tc>
        <w:tc>
          <w:tcPr>
            <w:tcW w:w="120" w:type="dxa"/>
            <w:vAlign w:val="bottom"/>
          </w:tcPr>
          <w:p>
            <w:pPr>
              <w:spacing w:after="0"/>
              <w:rPr>
                <w:sz w:val="23"/>
                <w:szCs w:val="23"/>
                <w:color w:val="auto"/>
              </w:rPr>
            </w:pPr>
          </w:p>
        </w:tc>
        <w:tc>
          <w:tcPr>
            <w:tcW w:w="58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20" w:type="dxa"/>
            <w:vAlign w:val="bottom"/>
            <w:vMerge w:val="restart"/>
          </w:tcPr>
          <w:p>
            <w:pPr>
              <w:ind w:left="20"/>
              <w:spacing w:after="0"/>
              <w:rPr>
                <w:sz w:val="20"/>
                <w:szCs w:val="20"/>
                <w:color w:val="auto"/>
              </w:rPr>
            </w:pPr>
            <w:r>
              <w:rPr>
                <w:rFonts w:ascii="Arial" w:cs="Arial" w:eastAsia="Arial" w:hAnsi="Arial"/>
                <w:sz w:val="16"/>
                <w:szCs w:val="16"/>
                <w:color w:val="auto"/>
              </w:rPr>
              <w:t>Street</w:t>
            </w:r>
          </w:p>
        </w:tc>
        <w:tc>
          <w:tcPr>
            <w:tcW w:w="10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7/26/2012</w:t>
            </w:r>
          </w:p>
        </w:tc>
        <w:tc>
          <w:tcPr>
            <w:tcW w:w="1620" w:type="dxa"/>
            <w:vAlign w:val="bottom"/>
          </w:tcPr>
          <w:p>
            <w:pPr>
              <w:ind w:left="20"/>
              <w:spacing w:after="0"/>
              <w:rPr>
                <w:sz w:val="20"/>
                <w:szCs w:val="20"/>
                <w:color w:val="auto"/>
              </w:rPr>
            </w:pPr>
            <w:r>
              <w:rPr>
                <w:rFonts w:ascii="Arial" w:cs="Arial" w:eastAsia="Arial" w:hAnsi="Arial"/>
                <w:sz w:val="16"/>
                <w:szCs w:val="16"/>
                <w:color w:val="auto"/>
                <w:w w:val="92"/>
              </w:rPr>
              <w:t>San Jose / Charter Park</w:t>
            </w:r>
          </w:p>
        </w:tc>
        <w:tc>
          <w:tcPr>
            <w:tcW w:w="100" w:type="dxa"/>
            <w:vAlign w:val="bottom"/>
          </w:tcPr>
          <w:p>
            <w:pPr>
              <w:spacing w:after="0"/>
              <w:rPr>
                <w:sz w:val="21"/>
                <w:szCs w:val="21"/>
                <w:color w:val="auto"/>
              </w:rPr>
            </w:pPr>
          </w:p>
        </w:tc>
        <w:tc>
          <w:tcPr>
            <w:tcW w:w="400" w:type="dxa"/>
            <w:vAlign w:val="bottom"/>
            <w:vMerge w:val="restart"/>
          </w:tcPr>
          <w:p>
            <w:pPr>
              <w:ind w:left="80"/>
              <w:spacing w:after="0"/>
              <w:rPr>
                <w:sz w:val="20"/>
                <w:szCs w:val="20"/>
                <w:color w:val="auto"/>
              </w:rPr>
            </w:pPr>
            <w:r>
              <w:rPr>
                <w:rFonts w:ascii="Arial" w:cs="Arial" w:eastAsia="Arial" w:hAnsi="Arial"/>
                <w:sz w:val="16"/>
                <w:szCs w:val="16"/>
                <w:color w:val="auto"/>
              </w:rPr>
              <w:t>CA</w:t>
            </w:r>
          </w:p>
        </w:tc>
        <w:tc>
          <w:tcPr>
            <w:tcW w:w="70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89"/>
              </w:rPr>
              <w:t>4,652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20" w:type="dxa"/>
            <w:vAlign w:val="bottom"/>
            <w:vMerge w:val="restart"/>
          </w:tcPr>
          <w:p>
            <w:pPr>
              <w:ind w:left="20"/>
              <w:spacing w:after="0"/>
              <w:rPr>
                <w:sz w:val="20"/>
                <w:szCs w:val="20"/>
                <w:color w:val="auto"/>
              </w:rPr>
            </w:pPr>
            <w:r>
              <w:rPr>
                <w:rFonts w:ascii="Arial" w:cs="Arial" w:eastAsia="Arial" w:hAnsi="Arial"/>
                <w:sz w:val="16"/>
                <w:szCs w:val="16"/>
                <w:color w:val="auto"/>
              </w:rPr>
              <w:t>Dr</w:t>
            </w:r>
          </w:p>
        </w:tc>
        <w:tc>
          <w:tcPr>
            <w:tcW w:w="10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9/1/2009</w:t>
            </w:r>
          </w:p>
        </w:tc>
        <w:tc>
          <w:tcPr>
            <w:tcW w:w="1620" w:type="dxa"/>
            <w:vAlign w:val="bottom"/>
          </w:tcPr>
          <w:p>
            <w:pPr>
              <w:ind w:left="20"/>
              <w:spacing w:after="0"/>
              <w:rPr>
                <w:sz w:val="20"/>
                <w:szCs w:val="20"/>
                <w:color w:val="auto"/>
              </w:rPr>
            </w:pPr>
            <w:r>
              <w:rPr>
                <w:rFonts w:ascii="Arial" w:cs="Arial" w:eastAsia="Arial" w:hAnsi="Arial"/>
                <w:sz w:val="16"/>
                <w:szCs w:val="16"/>
                <w:color w:val="auto"/>
              </w:rPr>
              <w:t>San Jose / N 10th St</w:t>
            </w:r>
          </w:p>
        </w:tc>
        <w:tc>
          <w:tcPr>
            <w:tcW w:w="100" w:type="dxa"/>
            <w:vAlign w:val="bottom"/>
          </w:tcPr>
          <w:p>
            <w:pPr>
              <w:spacing w:after="0"/>
              <w:rPr>
                <w:sz w:val="22"/>
                <w:szCs w:val="22"/>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70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10,784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8/1/2007</w:t>
            </w:r>
          </w:p>
        </w:tc>
        <w:tc>
          <w:tcPr>
            <w:tcW w:w="1620" w:type="dxa"/>
            <w:vAlign w:val="bottom"/>
          </w:tcPr>
          <w:p>
            <w:pPr>
              <w:ind w:left="20"/>
              <w:spacing w:after="0"/>
              <w:rPr>
                <w:sz w:val="20"/>
                <w:szCs w:val="20"/>
                <w:color w:val="auto"/>
              </w:rPr>
            </w:pPr>
            <w:r>
              <w:rPr>
                <w:rFonts w:ascii="Arial" w:cs="Arial" w:eastAsia="Arial" w:hAnsi="Arial"/>
                <w:sz w:val="16"/>
                <w:szCs w:val="16"/>
                <w:color w:val="auto"/>
                <w:w w:val="97"/>
              </w:rPr>
              <w:t>San Leandro / Doolittle</w:t>
            </w:r>
          </w:p>
        </w:tc>
        <w:tc>
          <w:tcPr>
            <w:tcW w:w="100" w:type="dxa"/>
            <w:vAlign w:val="bottom"/>
          </w:tcPr>
          <w:p>
            <w:pPr>
              <w:spacing w:after="0"/>
              <w:rPr>
                <w:sz w:val="23"/>
                <w:szCs w:val="23"/>
                <w:color w:val="auto"/>
              </w:rPr>
            </w:pPr>
          </w:p>
        </w:tc>
        <w:tc>
          <w:tcPr>
            <w:tcW w:w="400" w:type="dxa"/>
            <w:vAlign w:val="bottom"/>
            <w:vMerge w:val="restart"/>
          </w:tcPr>
          <w:p>
            <w:pPr>
              <w:ind w:left="80"/>
              <w:spacing w:after="0"/>
              <w:rPr>
                <w:sz w:val="20"/>
                <w:szCs w:val="20"/>
                <w:color w:val="auto"/>
              </w:rPr>
            </w:pPr>
            <w:r>
              <w:rPr>
                <w:rFonts w:ascii="Arial" w:cs="Arial" w:eastAsia="Arial" w:hAnsi="Arial"/>
                <w:sz w:val="16"/>
                <w:szCs w:val="16"/>
                <w:color w:val="auto"/>
              </w:rPr>
              <w:t>CA</w:t>
            </w:r>
          </w:p>
        </w:tc>
        <w:tc>
          <w:tcPr>
            <w:tcW w:w="70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89"/>
              </w:rPr>
              <w:t>14,686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20" w:type="dxa"/>
            <w:vAlign w:val="bottom"/>
            <w:vMerge w:val="restart"/>
          </w:tcPr>
          <w:p>
            <w:pPr>
              <w:ind w:left="20"/>
              <w:spacing w:after="0"/>
              <w:rPr>
                <w:sz w:val="20"/>
                <w:szCs w:val="20"/>
                <w:color w:val="auto"/>
              </w:rPr>
            </w:pPr>
            <w:r>
              <w:rPr>
                <w:rFonts w:ascii="Arial" w:cs="Arial" w:eastAsia="Arial" w:hAnsi="Arial"/>
                <w:sz w:val="16"/>
                <w:szCs w:val="16"/>
                <w:color w:val="auto"/>
              </w:rPr>
              <w:t>Dr</w:t>
            </w:r>
          </w:p>
        </w:tc>
        <w:tc>
          <w:tcPr>
            <w:tcW w:w="10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10/1/2010</w:t>
            </w:r>
          </w:p>
        </w:tc>
        <w:tc>
          <w:tcPr>
            <w:tcW w:w="1620" w:type="dxa"/>
            <w:vAlign w:val="bottom"/>
          </w:tcPr>
          <w:p>
            <w:pPr>
              <w:ind w:left="20"/>
              <w:spacing w:after="0"/>
              <w:rPr>
                <w:sz w:val="20"/>
                <w:szCs w:val="20"/>
                <w:color w:val="auto"/>
              </w:rPr>
            </w:pPr>
            <w:r>
              <w:rPr>
                <w:rFonts w:ascii="Arial" w:cs="Arial" w:eastAsia="Arial" w:hAnsi="Arial"/>
                <w:sz w:val="16"/>
                <w:szCs w:val="16"/>
                <w:color w:val="auto"/>
              </w:rPr>
              <w:t>San Leandro /</w:t>
            </w:r>
          </w:p>
        </w:tc>
        <w:tc>
          <w:tcPr>
            <w:tcW w:w="100" w:type="dxa"/>
            <w:vAlign w:val="bottom"/>
          </w:tcPr>
          <w:p>
            <w:pPr>
              <w:spacing w:after="0"/>
              <w:rPr>
                <w:sz w:val="21"/>
                <w:szCs w:val="21"/>
                <w:color w:val="auto"/>
              </w:rPr>
            </w:pPr>
          </w:p>
        </w:tc>
        <w:tc>
          <w:tcPr>
            <w:tcW w:w="400" w:type="dxa"/>
            <w:vAlign w:val="bottom"/>
            <w:vMerge w:val="restart"/>
          </w:tcPr>
          <w:p>
            <w:pPr>
              <w:ind w:left="80"/>
              <w:spacing w:after="0"/>
              <w:rPr>
                <w:sz w:val="20"/>
                <w:szCs w:val="20"/>
                <w:color w:val="auto"/>
              </w:rPr>
            </w:pPr>
            <w:r>
              <w:rPr>
                <w:rFonts w:ascii="Arial" w:cs="Arial" w:eastAsia="Arial" w:hAnsi="Arial"/>
                <w:sz w:val="16"/>
                <w:szCs w:val="16"/>
                <w:color w:val="auto"/>
              </w:rPr>
              <w:t>CA</w:t>
            </w:r>
          </w:p>
        </w:tc>
        <w:tc>
          <w:tcPr>
            <w:tcW w:w="120" w:type="dxa"/>
            <w:vAlign w:val="bottom"/>
          </w:tcPr>
          <w:p>
            <w:pPr>
              <w:spacing w:after="0"/>
              <w:rPr>
                <w:sz w:val="21"/>
                <w:szCs w:val="21"/>
                <w:color w:val="auto"/>
              </w:rPr>
            </w:pPr>
          </w:p>
        </w:tc>
        <w:tc>
          <w:tcPr>
            <w:tcW w:w="58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20" w:type="dxa"/>
            <w:vAlign w:val="bottom"/>
            <w:vMerge w:val="restart"/>
          </w:tcPr>
          <w:p>
            <w:pPr>
              <w:ind w:left="20"/>
              <w:spacing w:after="0"/>
              <w:rPr>
                <w:sz w:val="20"/>
                <w:szCs w:val="20"/>
                <w:color w:val="auto"/>
              </w:rPr>
            </w:pPr>
            <w:r>
              <w:rPr>
                <w:rFonts w:ascii="Arial" w:cs="Arial" w:eastAsia="Arial" w:hAnsi="Arial"/>
                <w:sz w:val="16"/>
                <w:szCs w:val="16"/>
                <w:color w:val="auto"/>
              </w:rPr>
              <w:t>Washington Ave</w:t>
            </w:r>
          </w:p>
        </w:tc>
        <w:tc>
          <w:tcPr>
            <w:tcW w:w="10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620" w:type="dxa"/>
            <w:vAlign w:val="bottom"/>
          </w:tcPr>
          <w:p>
            <w:pPr>
              <w:ind w:left="20"/>
              <w:spacing w:after="0"/>
              <w:rPr>
                <w:sz w:val="20"/>
                <w:szCs w:val="20"/>
                <w:color w:val="auto"/>
              </w:rPr>
            </w:pPr>
            <w:r>
              <w:rPr>
                <w:rFonts w:ascii="Arial" w:cs="Arial" w:eastAsia="Arial" w:hAnsi="Arial"/>
                <w:sz w:val="16"/>
                <w:szCs w:val="16"/>
                <w:color w:val="auto"/>
              </w:rPr>
              <w:t>San Lorenzo</w:t>
            </w:r>
          </w:p>
        </w:tc>
        <w:tc>
          <w:tcPr>
            <w:tcW w:w="100" w:type="dxa"/>
            <w:vAlign w:val="bottom"/>
          </w:tcPr>
          <w:p>
            <w:pPr>
              <w:spacing w:after="0"/>
              <w:rPr>
                <w:sz w:val="22"/>
                <w:szCs w:val="22"/>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1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8/29/2013</w:t>
            </w:r>
          </w:p>
        </w:tc>
        <w:tc>
          <w:tcPr>
            <w:tcW w:w="1620" w:type="dxa"/>
            <w:vAlign w:val="bottom"/>
          </w:tcPr>
          <w:p>
            <w:pPr>
              <w:ind w:left="20"/>
              <w:spacing w:after="0"/>
              <w:rPr>
                <w:sz w:val="20"/>
                <w:szCs w:val="20"/>
                <w:color w:val="auto"/>
              </w:rPr>
            </w:pPr>
            <w:r>
              <w:rPr>
                <w:rFonts w:ascii="Arial" w:cs="Arial" w:eastAsia="Arial" w:hAnsi="Arial"/>
                <w:sz w:val="16"/>
                <w:szCs w:val="16"/>
                <w:color w:val="auto"/>
              </w:rPr>
              <w:t>San Ramon</w:t>
            </w:r>
          </w:p>
        </w:tc>
        <w:tc>
          <w:tcPr>
            <w:tcW w:w="10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12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8/29/2013</w:t>
            </w:r>
          </w:p>
        </w:tc>
        <w:tc>
          <w:tcPr>
            <w:tcW w:w="1620" w:type="dxa"/>
            <w:vAlign w:val="bottom"/>
          </w:tcPr>
          <w:p>
            <w:pPr>
              <w:ind w:left="20"/>
              <w:spacing w:after="0"/>
              <w:rPr>
                <w:sz w:val="20"/>
                <w:szCs w:val="20"/>
                <w:color w:val="auto"/>
              </w:rPr>
            </w:pPr>
            <w:r>
              <w:rPr>
                <w:rFonts w:ascii="Arial" w:cs="Arial" w:eastAsia="Arial" w:hAnsi="Arial"/>
                <w:sz w:val="16"/>
                <w:szCs w:val="16"/>
                <w:color w:val="auto"/>
              </w:rPr>
              <w:t>Santa Ana</w:t>
            </w:r>
          </w:p>
        </w:tc>
        <w:tc>
          <w:tcPr>
            <w:tcW w:w="10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70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4,075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7/30/2009</w:t>
            </w:r>
          </w:p>
        </w:tc>
        <w:tc>
          <w:tcPr>
            <w:tcW w:w="1620" w:type="dxa"/>
            <w:vAlign w:val="bottom"/>
          </w:tcPr>
          <w:p>
            <w:pPr>
              <w:ind w:left="20"/>
              <w:spacing w:after="0"/>
              <w:rPr>
                <w:sz w:val="20"/>
                <w:szCs w:val="20"/>
                <w:color w:val="auto"/>
              </w:rPr>
            </w:pPr>
            <w:r>
              <w:rPr>
                <w:rFonts w:ascii="Arial" w:cs="Arial" w:eastAsia="Arial" w:hAnsi="Arial"/>
                <w:sz w:val="16"/>
                <w:szCs w:val="16"/>
                <w:color w:val="auto"/>
              </w:rPr>
              <w:t>Santa Clara</w:t>
            </w:r>
          </w:p>
        </w:tc>
        <w:tc>
          <w:tcPr>
            <w:tcW w:w="10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70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7,746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7/2/2012</w:t>
            </w:r>
          </w:p>
        </w:tc>
        <w:tc>
          <w:tcPr>
            <w:tcW w:w="1620" w:type="dxa"/>
            <w:vAlign w:val="bottom"/>
          </w:tcPr>
          <w:p>
            <w:pPr>
              <w:ind w:left="20"/>
              <w:spacing w:after="0"/>
              <w:rPr>
                <w:sz w:val="20"/>
                <w:szCs w:val="20"/>
                <w:color w:val="auto"/>
              </w:rPr>
            </w:pPr>
            <w:r>
              <w:rPr>
                <w:rFonts w:ascii="Arial" w:cs="Arial" w:eastAsia="Arial" w:hAnsi="Arial"/>
                <w:sz w:val="16"/>
                <w:szCs w:val="16"/>
                <w:color w:val="auto"/>
              </w:rPr>
              <w:t>Santa Cruz</w:t>
            </w:r>
          </w:p>
        </w:tc>
        <w:tc>
          <w:tcPr>
            <w:tcW w:w="10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12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10/4/2007</w:t>
            </w:r>
          </w:p>
        </w:tc>
        <w:tc>
          <w:tcPr>
            <w:tcW w:w="1620" w:type="dxa"/>
            <w:vAlign w:val="bottom"/>
          </w:tcPr>
          <w:p>
            <w:pPr>
              <w:ind w:left="20"/>
              <w:spacing w:after="0"/>
              <w:rPr>
                <w:sz w:val="20"/>
                <w:szCs w:val="20"/>
                <w:color w:val="auto"/>
              </w:rPr>
            </w:pPr>
            <w:r>
              <w:rPr>
                <w:rFonts w:ascii="Arial" w:cs="Arial" w:eastAsia="Arial" w:hAnsi="Arial"/>
                <w:sz w:val="16"/>
                <w:szCs w:val="16"/>
                <w:color w:val="auto"/>
              </w:rPr>
              <w:t>Santa Fe Springs</w:t>
            </w:r>
          </w:p>
        </w:tc>
        <w:tc>
          <w:tcPr>
            <w:tcW w:w="10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70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7,249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10/19/2011</w:t>
            </w:r>
          </w:p>
        </w:tc>
        <w:tc>
          <w:tcPr>
            <w:tcW w:w="1620" w:type="dxa"/>
            <w:vAlign w:val="bottom"/>
          </w:tcPr>
          <w:p>
            <w:pPr>
              <w:ind w:left="20"/>
              <w:spacing w:after="0"/>
              <w:rPr>
                <w:sz w:val="20"/>
                <w:szCs w:val="20"/>
                <w:color w:val="auto"/>
              </w:rPr>
            </w:pPr>
            <w:r>
              <w:rPr>
                <w:rFonts w:ascii="Arial" w:cs="Arial" w:eastAsia="Arial" w:hAnsi="Arial"/>
                <w:sz w:val="16"/>
                <w:szCs w:val="16"/>
                <w:color w:val="auto"/>
                <w:w w:val="92"/>
              </w:rPr>
              <w:t>Santa Maria / Farnel Rd</w:t>
            </w:r>
          </w:p>
        </w:tc>
        <w:tc>
          <w:tcPr>
            <w:tcW w:w="10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70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2,872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10/19/2011</w:t>
            </w:r>
          </w:p>
        </w:tc>
        <w:tc>
          <w:tcPr>
            <w:tcW w:w="1620" w:type="dxa"/>
            <w:vAlign w:val="bottom"/>
          </w:tcPr>
          <w:p>
            <w:pPr>
              <w:ind w:left="20"/>
              <w:spacing w:after="0"/>
              <w:rPr>
                <w:sz w:val="20"/>
                <w:szCs w:val="20"/>
                <w:color w:val="auto"/>
              </w:rPr>
            </w:pPr>
            <w:r>
              <w:rPr>
                <w:rFonts w:ascii="Arial" w:cs="Arial" w:eastAsia="Arial" w:hAnsi="Arial"/>
                <w:sz w:val="16"/>
                <w:szCs w:val="16"/>
                <w:color w:val="auto"/>
              </w:rPr>
              <w:t>Santa Maria / Skyway</w:t>
            </w:r>
          </w:p>
        </w:tc>
        <w:tc>
          <w:tcPr>
            <w:tcW w:w="100" w:type="dxa"/>
            <w:vAlign w:val="bottom"/>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70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6,241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60" w:type="dxa"/>
            <w:vAlign w:val="bottom"/>
          </w:tcPr>
          <w:p>
            <w:pPr>
              <w:spacing w:after="0"/>
              <w:rPr>
                <w:sz w:val="17"/>
                <w:szCs w:val="17"/>
                <w:color w:val="auto"/>
              </w:rPr>
            </w:pPr>
          </w:p>
        </w:tc>
        <w:tc>
          <w:tcPr>
            <w:tcW w:w="1620" w:type="dxa"/>
            <w:vAlign w:val="bottom"/>
          </w:tcPr>
          <w:p>
            <w:pPr>
              <w:ind w:left="20"/>
              <w:spacing w:after="0"/>
              <w:rPr>
                <w:sz w:val="20"/>
                <w:szCs w:val="20"/>
                <w:color w:val="auto"/>
              </w:rPr>
            </w:pPr>
            <w:r>
              <w:rPr>
                <w:rFonts w:ascii="Arial" w:cs="Arial" w:eastAsia="Arial" w:hAnsi="Arial"/>
                <w:sz w:val="16"/>
                <w:szCs w:val="16"/>
                <w:color w:val="auto"/>
              </w:rPr>
              <w:t>Dr</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11/17/2016</w:t>
            </w:r>
          </w:p>
        </w:tc>
        <w:tc>
          <w:tcPr>
            <w:tcW w:w="1620" w:type="dxa"/>
            <w:vAlign w:val="bottom"/>
          </w:tcPr>
          <w:p>
            <w:pPr>
              <w:ind w:left="20"/>
              <w:spacing w:after="0"/>
              <w:rPr>
                <w:sz w:val="20"/>
                <w:szCs w:val="20"/>
                <w:color w:val="auto"/>
              </w:rPr>
            </w:pPr>
            <w:r>
              <w:rPr>
                <w:rFonts w:ascii="Arial" w:cs="Arial" w:eastAsia="Arial" w:hAnsi="Arial"/>
                <w:sz w:val="16"/>
                <w:szCs w:val="16"/>
                <w:color w:val="auto"/>
              </w:rPr>
              <w:t>Santa Rosa</w:t>
            </w:r>
          </w:p>
        </w:tc>
        <w:tc>
          <w:tcPr>
            <w:tcW w:w="100" w:type="dxa"/>
            <w:vAlign w:val="bottom"/>
          </w:tcPr>
          <w:p>
            <w:pPr>
              <w:spacing w:after="0"/>
              <w:rPr>
                <w:sz w:val="17"/>
                <w:szCs w:val="17"/>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12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11/17/2016</w:t>
            </w:r>
          </w:p>
        </w:tc>
        <w:tc>
          <w:tcPr>
            <w:tcW w:w="1620" w:type="dxa"/>
            <w:vAlign w:val="bottom"/>
          </w:tcPr>
          <w:p>
            <w:pPr>
              <w:ind w:left="20"/>
              <w:spacing w:after="0"/>
              <w:rPr>
                <w:sz w:val="20"/>
                <w:szCs w:val="20"/>
                <w:color w:val="auto"/>
              </w:rPr>
            </w:pPr>
            <w:r>
              <w:rPr>
                <w:rFonts w:ascii="Arial" w:cs="Arial" w:eastAsia="Arial" w:hAnsi="Arial"/>
                <w:sz w:val="16"/>
                <w:szCs w:val="16"/>
                <w:color w:val="auto"/>
              </w:rPr>
              <w:t>Santee</w:t>
            </w:r>
          </w:p>
        </w:tc>
        <w:tc>
          <w:tcPr>
            <w:tcW w:w="10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12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11/17/2016</w:t>
            </w:r>
          </w:p>
        </w:tc>
        <w:tc>
          <w:tcPr>
            <w:tcW w:w="1620" w:type="dxa"/>
            <w:vAlign w:val="bottom"/>
          </w:tcPr>
          <w:p>
            <w:pPr>
              <w:ind w:left="20"/>
              <w:spacing w:after="0"/>
              <w:rPr>
                <w:sz w:val="20"/>
                <w:szCs w:val="20"/>
                <w:color w:val="auto"/>
              </w:rPr>
            </w:pPr>
            <w:r>
              <w:rPr>
                <w:rFonts w:ascii="Arial" w:cs="Arial" w:eastAsia="Arial" w:hAnsi="Arial"/>
                <w:sz w:val="16"/>
                <w:szCs w:val="16"/>
                <w:color w:val="auto"/>
              </w:rPr>
              <w:t>Scotts Valley</w:t>
            </w:r>
          </w:p>
        </w:tc>
        <w:tc>
          <w:tcPr>
            <w:tcW w:w="10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12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8/31/2004</w:t>
            </w:r>
          </w:p>
        </w:tc>
        <w:tc>
          <w:tcPr>
            <w:tcW w:w="1620" w:type="dxa"/>
            <w:vAlign w:val="bottom"/>
          </w:tcPr>
          <w:p>
            <w:pPr>
              <w:ind w:left="20"/>
              <w:spacing w:after="0"/>
              <w:rPr>
                <w:sz w:val="20"/>
                <w:szCs w:val="20"/>
                <w:color w:val="auto"/>
              </w:rPr>
            </w:pPr>
            <w:r>
              <w:rPr>
                <w:rFonts w:ascii="Arial" w:cs="Arial" w:eastAsia="Arial" w:hAnsi="Arial"/>
                <w:sz w:val="16"/>
                <w:szCs w:val="16"/>
                <w:color w:val="auto"/>
              </w:rPr>
              <w:t>Sherman Oaks</w:t>
            </w:r>
          </w:p>
        </w:tc>
        <w:tc>
          <w:tcPr>
            <w:tcW w:w="10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70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25,176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8/29/2013</w:t>
            </w:r>
          </w:p>
        </w:tc>
        <w:tc>
          <w:tcPr>
            <w:tcW w:w="1620" w:type="dxa"/>
            <w:vAlign w:val="bottom"/>
          </w:tcPr>
          <w:p>
            <w:pPr>
              <w:ind w:left="20"/>
              <w:spacing w:after="0"/>
              <w:rPr>
                <w:sz w:val="20"/>
                <w:szCs w:val="20"/>
                <w:color w:val="auto"/>
              </w:rPr>
            </w:pPr>
            <w:r>
              <w:rPr>
                <w:rFonts w:ascii="Arial" w:cs="Arial" w:eastAsia="Arial" w:hAnsi="Arial"/>
                <w:sz w:val="16"/>
                <w:szCs w:val="16"/>
                <w:color w:val="auto"/>
              </w:rPr>
              <w:t>Stanton</w:t>
            </w:r>
          </w:p>
        </w:tc>
        <w:tc>
          <w:tcPr>
            <w:tcW w:w="10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70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6,791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5/19/2002</w:t>
            </w:r>
          </w:p>
        </w:tc>
        <w:tc>
          <w:tcPr>
            <w:tcW w:w="1620" w:type="dxa"/>
            <w:vAlign w:val="bottom"/>
          </w:tcPr>
          <w:p>
            <w:pPr>
              <w:ind w:left="20"/>
              <w:spacing w:after="0"/>
              <w:rPr>
                <w:sz w:val="20"/>
                <w:szCs w:val="20"/>
                <w:color w:val="auto"/>
              </w:rPr>
            </w:pPr>
            <w:r>
              <w:rPr>
                <w:rFonts w:ascii="Arial" w:cs="Arial" w:eastAsia="Arial" w:hAnsi="Arial"/>
                <w:sz w:val="16"/>
                <w:szCs w:val="16"/>
                <w:color w:val="auto"/>
              </w:rPr>
              <w:t>Stockton / Jamestown</w:t>
            </w:r>
          </w:p>
        </w:tc>
        <w:tc>
          <w:tcPr>
            <w:tcW w:w="10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70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2,290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12/2/2013</w:t>
            </w:r>
          </w:p>
        </w:tc>
        <w:tc>
          <w:tcPr>
            <w:tcW w:w="1620" w:type="dxa"/>
            <w:vAlign w:val="bottom"/>
          </w:tcPr>
          <w:p>
            <w:pPr>
              <w:ind w:left="20"/>
              <w:spacing w:after="0"/>
              <w:rPr>
                <w:sz w:val="20"/>
                <w:szCs w:val="20"/>
                <w:color w:val="auto"/>
              </w:rPr>
            </w:pPr>
            <w:r>
              <w:rPr>
                <w:rFonts w:ascii="Arial" w:cs="Arial" w:eastAsia="Arial" w:hAnsi="Arial"/>
                <w:sz w:val="16"/>
                <w:szCs w:val="16"/>
                <w:color w:val="auto"/>
              </w:rPr>
              <w:t>Stockton / Pacific Ave</w:t>
            </w:r>
          </w:p>
        </w:tc>
        <w:tc>
          <w:tcPr>
            <w:tcW w:w="10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70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5,360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4/25/2014</w:t>
            </w:r>
          </w:p>
        </w:tc>
        <w:tc>
          <w:tcPr>
            <w:tcW w:w="1620" w:type="dxa"/>
            <w:vAlign w:val="bottom"/>
          </w:tcPr>
          <w:p>
            <w:pPr>
              <w:ind w:left="20"/>
              <w:spacing w:after="0"/>
              <w:rPr>
                <w:sz w:val="20"/>
                <w:szCs w:val="20"/>
                <w:color w:val="auto"/>
              </w:rPr>
            </w:pPr>
            <w:r>
              <w:rPr>
                <w:rFonts w:ascii="Arial" w:cs="Arial" w:eastAsia="Arial" w:hAnsi="Arial"/>
                <w:sz w:val="16"/>
                <w:szCs w:val="16"/>
                <w:color w:val="auto"/>
              </w:rPr>
              <w:t>Sunland</w:t>
            </w:r>
          </w:p>
        </w:tc>
        <w:tc>
          <w:tcPr>
            <w:tcW w:w="10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12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8/29/2013</w:t>
            </w:r>
          </w:p>
        </w:tc>
        <w:tc>
          <w:tcPr>
            <w:tcW w:w="1620" w:type="dxa"/>
            <w:vAlign w:val="bottom"/>
          </w:tcPr>
          <w:p>
            <w:pPr>
              <w:ind w:left="20"/>
              <w:spacing w:after="0"/>
              <w:rPr>
                <w:sz w:val="20"/>
                <w:szCs w:val="20"/>
                <w:color w:val="auto"/>
              </w:rPr>
            </w:pPr>
            <w:r>
              <w:rPr>
                <w:rFonts w:ascii="Arial" w:cs="Arial" w:eastAsia="Arial" w:hAnsi="Arial"/>
                <w:sz w:val="16"/>
                <w:szCs w:val="16"/>
                <w:color w:val="auto"/>
              </w:rPr>
              <w:t>Sunnyvale</w:t>
            </w:r>
          </w:p>
        </w:tc>
        <w:tc>
          <w:tcPr>
            <w:tcW w:w="10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12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5/2/2008</w:t>
            </w:r>
          </w:p>
        </w:tc>
        <w:tc>
          <w:tcPr>
            <w:tcW w:w="1620" w:type="dxa"/>
            <w:vAlign w:val="bottom"/>
          </w:tcPr>
          <w:p>
            <w:pPr>
              <w:ind w:left="20"/>
              <w:spacing w:after="0"/>
              <w:rPr>
                <w:sz w:val="20"/>
                <w:szCs w:val="20"/>
                <w:color w:val="auto"/>
              </w:rPr>
            </w:pPr>
            <w:r>
              <w:rPr>
                <w:rFonts w:ascii="Arial" w:cs="Arial" w:eastAsia="Arial" w:hAnsi="Arial"/>
                <w:sz w:val="16"/>
                <w:szCs w:val="16"/>
                <w:color w:val="auto"/>
              </w:rPr>
              <w:t>Sylmar</w:t>
            </w:r>
          </w:p>
        </w:tc>
        <w:tc>
          <w:tcPr>
            <w:tcW w:w="10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70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6,111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2/28/2013</w:t>
            </w:r>
          </w:p>
        </w:tc>
        <w:tc>
          <w:tcPr>
            <w:tcW w:w="1620" w:type="dxa"/>
            <w:vAlign w:val="bottom"/>
          </w:tcPr>
          <w:p>
            <w:pPr>
              <w:ind w:left="20"/>
              <w:spacing w:after="0"/>
              <w:rPr>
                <w:sz w:val="20"/>
                <w:szCs w:val="20"/>
                <w:color w:val="auto"/>
              </w:rPr>
            </w:pPr>
            <w:r>
              <w:rPr>
                <w:rFonts w:ascii="Arial" w:cs="Arial" w:eastAsia="Arial" w:hAnsi="Arial"/>
                <w:sz w:val="16"/>
                <w:szCs w:val="16"/>
                <w:color w:val="auto"/>
              </w:rPr>
              <w:t>Thousand Oaks</w:t>
            </w:r>
          </w:p>
        </w:tc>
        <w:tc>
          <w:tcPr>
            <w:tcW w:w="10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12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7/15/2003</w:t>
            </w:r>
          </w:p>
        </w:tc>
        <w:tc>
          <w:tcPr>
            <w:tcW w:w="1620" w:type="dxa"/>
            <w:vAlign w:val="bottom"/>
          </w:tcPr>
          <w:p>
            <w:pPr>
              <w:ind w:left="20"/>
              <w:spacing w:after="0"/>
              <w:rPr>
                <w:sz w:val="20"/>
                <w:szCs w:val="20"/>
                <w:color w:val="auto"/>
              </w:rPr>
            </w:pPr>
            <w:r>
              <w:rPr>
                <w:rFonts w:ascii="Arial" w:cs="Arial" w:eastAsia="Arial" w:hAnsi="Arial"/>
                <w:sz w:val="16"/>
                <w:szCs w:val="16"/>
                <w:color w:val="auto"/>
              </w:rPr>
              <w:t>Tracy / E 11th St 1</w:t>
            </w:r>
          </w:p>
        </w:tc>
        <w:tc>
          <w:tcPr>
            <w:tcW w:w="10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70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5,115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4/1/2004</w:t>
            </w:r>
          </w:p>
        </w:tc>
        <w:tc>
          <w:tcPr>
            <w:tcW w:w="1620" w:type="dxa"/>
            <w:vAlign w:val="bottom"/>
          </w:tcPr>
          <w:p>
            <w:pPr>
              <w:ind w:left="20"/>
              <w:spacing w:after="0"/>
              <w:rPr>
                <w:sz w:val="20"/>
                <w:szCs w:val="20"/>
                <w:color w:val="auto"/>
              </w:rPr>
            </w:pPr>
            <w:r>
              <w:rPr>
                <w:rFonts w:ascii="Arial" w:cs="Arial" w:eastAsia="Arial" w:hAnsi="Arial"/>
                <w:sz w:val="16"/>
                <w:szCs w:val="16"/>
                <w:color w:val="auto"/>
              </w:rPr>
              <w:t>Tracy / E 11th St 2</w:t>
            </w:r>
          </w:p>
        </w:tc>
        <w:tc>
          <w:tcPr>
            <w:tcW w:w="10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70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3,053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6/25/2007</w:t>
            </w:r>
          </w:p>
        </w:tc>
        <w:tc>
          <w:tcPr>
            <w:tcW w:w="1620" w:type="dxa"/>
            <w:vAlign w:val="bottom"/>
          </w:tcPr>
          <w:p>
            <w:pPr>
              <w:ind w:left="20"/>
              <w:spacing w:after="0"/>
              <w:rPr>
                <w:sz w:val="20"/>
                <w:szCs w:val="20"/>
                <w:color w:val="auto"/>
              </w:rPr>
            </w:pPr>
            <w:r>
              <w:rPr>
                <w:rFonts w:ascii="Arial" w:cs="Arial" w:eastAsia="Arial" w:hAnsi="Arial"/>
                <w:sz w:val="16"/>
                <w:szCs w:val="16"/>
                <w:color w:val="auto"/>
              </w:rPr>
              <w:t>Vallejo / Sonoma Blvd</w:t>
            </w:r>
          </w:p>
        </w:tc>
        <w:tc>
          <w:tcPr>
            <w:tcW w:w="10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70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2,758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620" w:type="dxa"/>
            <w:vAlign w:val="bottom"/>
          </w:tcPr>
          <w:p>
            <w:pPr>
              <w:ind w:left="20"/>
              <w:spacing w:after="0"/>
              <w:rPr>
                <w:sz w:val="20"/>
                <w:szCs w:val="20"/>
                <w:color w:val="auto"/>
              </w:rPr>
            </w:pPr>
            <w:r>
              <w:rPr>
                <w:rFonts w:ascii="Arial" w:cs="Arial" w:eastAsia="Arial" w:hAnsi="Arial"/>
                <w:sz w:val="16"/>
                <w:szCs w:val="16"/>
                <w:color w:val="auto"/>
                <w:w w:val="98"/>
              </w:rPr>
              <w:t>Vallejo / Tennessee St</w:t>
            </w:r>
          </w:p>
        </w:tc>
        <w:tc>
          <w:tcPr>
            <w:tcW w:w="10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70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8,695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8/29/2013</w:t>
            </w:r>
          </w:p>
        </w:tc>
        <w:tc>
          <w:tcPr>
            <w:tcW w:w="1620" w:type="dxa"/>
            <w:vAlign w:val="bottom"/>
          </w:tcPr>
          <w:p>
            <w:pPr>
              <w:ind w:left="20"/>
              <w:spacing w:after="0"/>
              <w:rPr>
                <w:sz w:val="20"/>
                <w:szCs w:val="20"/>
                <w:color w:val="auto"/>
              </w:rPr>
            </w:pPr>
            <w:r>
              <w:rPr>
                <w:rFonts w:ascii="Arial" w:cs="Arial" w:eastAsia="Arial" w:hAnsi="Arial"/>
                <w:sz w:val="16"/>
                <w:szCs w:val="16"/>
                <w:color w:val="auto"/>
              </w:rPr>
              <w:t>Van Nuys</w:t>
            </w:r>
          </w:p>
        </w:tc>
        <w:tc>
          <w:tcPr>
            <w:tcW w:w="10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12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8/31/2004</w:t>
            </w:r>
          </w:p>
        </w:tc>
        <w:tc>
          <w:tcPr>
            <w:tcW w:w="1620" w:type="dxa"/>
            <w:vAlign w:val="bottom"/>
          </w:tcPr>
          <w:p>
            <w:pPr>
              <w:ind w:left="20"/>
              <w:spacing w:after="0"/>
              <w:rPr>
                <w:sz w:val="20"/>
                <w:szCs w:val="20"/>
                <w:color w:val="auto"/>
              </w:rPr>
            </w:pPr>
            <w:r>
              <w:rPr>
                <w:rFonts w:ascii="Arial" w:cs="Arial" w:eastAsia="Arial" w:hAnsi="Arial"/>
                <w:sz w:val="16"/>
                <w:szCs w:val="16"/>
                <w:color w:val="auto"/>
              </w:rPr>
              <w:t>Venice</w:t>
            </w:r>
          </w:p>
        </w:tc>
        <w:tc>
          <w:tcPr>
            <w:tcW w:w="10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12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8/29/2013</w:t>
            </w:r>
          </w:p>
        </w:tc>
        <w:tc>
          <w:tcPr>
            <w:tcW w:w="1620" w:type="dxa"/>
            <w:vAlign w:val="bottom"/>
          </w:tcPr>
          <w:p>
            <w:pPr>
              <w:ind w:left="20"/>
              <w:spacing w:after="0"/>
              <w:rPr>
                <w:sz w:val="20"/>
                <w:szCs w:val="20"/>
                <w:color w:val="auto"/>
              </w:rPr>
            </w:pPr>
            <w:r>
              <w:rPr>
                <w:rFonts w:ascii="Arial" w:cs="Arial" w:eastAsia="Arial" w:hAnsi="Arial"/>
                <w:sz w:val="16"/>
                <w:szCs w:val="16"/>
                <w:color w:val="auto"/>
              </w:rPr>
              <w:t>Ventura</w:t>
            </w:r>
          </w:p>
        </w:tc>
        <w:tc>
          <w:tcPr>
            <w:tcW w:w="10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12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10/19/2011</w:t>
            </w:r>
          </w:p>
        </w:tc>
        <w:tc>
          <w:tcPr>
            <w:tcW w:w="1620" w:type="dxa"/>
            <w:vAlign w:val="bottom"/>
          </w:tcPr>
          <w:p>
            <w:pPr>
              <w:ind w:left="20"/>
              <w:spacing w:after="0"/>
              <w:rPr>
                <w:sz w:val="20"/>
                <w:szCs w:val="20"/>
                <w:color w:val="auto"/>
              </w:rPr>
            </w:pPr>
            <w:r>
              <w:rPr>
                <w:rFonts w:ascii="Arial" w:cs="Arial" w:eastAsia="Arial" w:hAnsi="Arial"/>
                <w:sz w:val="16"/>
                <w:szCs w:val="16"/>
                <w:color w:val="auto"/>
              </w:rPr>
              <w:t>Victorville</w:t>
            </w:r>
          </w:p>
        </w:tc>
        <w:tc>
          <w:tcPr>
            <w:tcW w:w="10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12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7/1/2005</w:t>
            </w:r>
          </w:p>
        </w:tc>
        <w:tc>
          <w:tcPr>
            <w:tcW w:w="1620" w:type="dxa"/>
            <w:vAlign w:val="bottom"/>
          </w:tcPr>
          <w:p>
            <w:pPr>
              <w:ind w:left="20"/>
              <w:spacing w:after="0"/>
              <w:rPr>
                <w:sz w:val="20"/>
                <w:szCs w:val="20"/>
                <w:color w:val="auto"/>
              </w:rPr>
            </w:pPr>
            <w:r>
              <w:rPr>
                <w:rFonts w:ascii="Arial" w:cs="Arial" w:eastAsia="Arial" w:hAnsi="Arial"/>
                <w:sz w:val="16"/>
                <w:szCs w:val="16"/>
                <w:color w:val="auto"/>
              </w:rPr>
              <w:t>Watsonville</w:t>
            </w:r>
          </w:p>
        </w:tc>
        <w:tc>
          <w:tcPr>
            <w:tcW w:w="10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70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4,365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9/1/2009</w:t>
            </w:r>
          </w:p>
        </w:tc>
        <w:tc>
          <w:tcPr>
            <w:tcW w:w="1620" w:type="dxa"/>
            <w:vAlign w:val="bottom"/>
          </w:tcPr>
          <w:p>
            <w:pPr>
              <w:ind w:left="20"/>
              <w:spacing w:after="0"/>
              <w:rPr>
                <w:sz w:val="20"/>
                <w:szCs w:val="20"/>
                <w:color w:val="auto"/>
              </w:rPr>
            </w:pPr>
            <w:r>
              <w:rPr>
                <w:rFonts w:ascii="Arial" w:cs="Arial" w:eastAsia="Arial" w:hAnsi="Arial"/>
                <w:sz w:val="16"/>
                <w:szCs w:val="16"/>
                <w:color w:val="auto"/>
              </w:rPr>
              <w:t>West Sacramento</w:t>
            </w:r>
          </w:p>
        </w:tc>
        <w:tc>
          <w:tcPr>
            <w:tcW w:w="10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12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6/19/2002</w:t>
            </w:r>
          </w:p>
        </w:tc>
        <w:tc>
          <w:tcPr>
            <w:tcW w:w="1620" w:type="dxa"/>
            <w:vAlign w:val="bottom"/>
          </w:tcPr>
          <w:p>
            <w:pPr>
              <w:ind w:left="20"/>
              <w:spacing w:after="0"/>
              <w:rPr>
                <w:sz w:val="20"/>
                <w:szCs w:val="20"/>
                <w:color w:val="auto"/>
              </w:rPr>
            </w:pPr>
            <w:r>
              <w:rPr>
                <w:rFonts w:ascii="Arial" w:cs="Arial" w:eastAsia="Arial" w:hAnsi="Arial"/>
                <w:sz w:val="16"/>
                <w:szCs w:val="16"/>
                <w:color w:val="auto"/>
              </w:rPr>
              <w:t>Whittier</w:t>
            </w:r>
          </w:p>
        </w:tc>
        <w:tc>
          <w:tcPr>
            <w:tcW w:w="10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70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3,184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8/29/2013</w:t>
            </w:r>
          </w:p>
        </w:tc>
        <w:tc>
          <w:tcPr>
            <w:tcW w:w="1620" w:type="dxa"/>
            <w:vAlign w:val="bottom"/>
          </w:tcPr>
          <w:p>
            <w:pPr>
              <w:ind w:left="20"/>
              <w:spacing w:after="0"/>
              <w:rPr>
                <w:sz w:val="20"/>
                <w:szCs w:val="20"/>
                <w:color w:val="auto"/>
              </w:rPr>
            </w:pPr>
            <w:r>
              <w:rPr>
                <w:rFonts w:ascii="Arial" w:cs="Arial" w:eastAsia="Arial" w:hAnsi="Arial"/>
                <w:sz w:val="16"/>
                <w:szCs w:val="16"/>
                <w:color w:val="auto"/>
              </w:rPr>
              <w:t>Wilmington</w:t>
            </w:r>
          </w:p>
        </w:tc>
        <w:tc>
          <w:tcPr>
            <w:tcW w:w="10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CA</w:t>
            </w:r>
          </w:p>
        </w:tc>
        <w:tc>
          <w:tcPr>
            <w:tcW w:w="12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9/15/2000</w:t>
            </w:r>
          </w:p>
        </w:tc>
        <w:tc>
          <w:tcPr>
            <w:tcW w:w="1620" w:type="dxa"/>
            <w:vAlign w:val="bottom"/>
          </w:tcPr>
          <w:p>
            <w:pPr>
              <w:ind w:left="20"/>
              <w:spacing w:after="0"/>
              <w:rPr>
                <w:sz w:val="20"/>
                <w:szCs w:val="20"/>
                <w:color w:val="auto"/>
              </w:rPr>
            </w:pPr>
            <w:r>
              <w:rPr>
                <w:rFonts w:ascii="Arial" w:cs="Arial" w:eastAsia="Arial" w:hAnsi="Arial"/>
                <w:sz w:val="16"/>
                <w:szCs w:val="16"/>
                <w:color w:val="auto"/>
              </w:rPr>
              <w:t>Arvada</w:t>
            </w:r>
          </w:p>
        </w:tc>
        <w:tc>
          <w:tcPr>
            <w:tcW w:w="10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CO</w:t>
            </w:r>
          </w:p>
        </w:tc>
        <w:tc>
          <w:tcPr>
            <w:tcW w:w="70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1,697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5/25/2011</w:t>
            </w:r>
          </w:p>
        </w:tc>
        <w:tc>
          <w:tcPr>
            <w:tcW w:w="1620" w:type="dxa"/>
            <w:vAlign w:val="bottom"/>
          </w:tcPr>
          <w:p>
            <w:pPr>
              <w:ind w:left="20"/>
              <w:spacing w:after="0"/>
              <w:rPr>
                <w:sz w:val="20"/>
                <w:szCs w:val="20"/>
                <w:color w:val="auto"/>
              </w:rPr>
            </w:pPr>
            <w:r>
              <w:rPr>
                <w:rFonts w:ascii="Arial" w:cs="Arial" w:eastAsia="Arial" w:hAnsi="Arial"/>
                <w:sz w:val="16"/>
                <w:szCs w:val="16"/>
                <w:color w:val="auto"/>
                <w:w w:val="96"/>
              </w:rPr>
              <w:t>Castle Rock / Industrial</w:t>
            </w:r>
          </w:p>
        </w:tc>
        <w:tc>
          <w:tcPr>
            <w:tcW w:w="100" w:type="dxa"/>
            <w:vAlign w:val="bottom"/>
          </w:tcPr>
          <w:p>
            <w:pPr>
              <w:spacing w:after="0"/>
              <w:rPr>
                <w:sz w:val="23"/>
                <w:szCs w:val="23"/>
                <w:color w:val="auto"/>
              </w:rPr>
            </w:pPr>
          </w:p>
        </w:tc>
        <w:tc>
          <w:tcPr>
            <w:tcW w:w="400" w:type="dxa"/>
            <w:vAlign w:val="bottom"/>
            <w:vMerge w:val="restart"/>
          </w:tcPr>
          <w:p>
            <w:pPr>
              <w:ind w:left="80"/>
              <w:spacing w:after="0"/>
              <w:rPr>
                <w:sz w:val="20"/>
                <w:szCs w:val="20"/>
                <w:color w:val="auto"/>
              </w:rPr>
            </w:pPr>
            <w:r>
              <w:rPr>
                <w:rFonts w:ascii="Arial" w:cs="Arial" w:eastAsia="Arial" w:hAnsi="Arial"/>
                <w:sz w:val="16"/>
                <w:szCs w:val="16"/>
                <w:color w:val="auto"/>
              </w:rPr>
              <w:t>CO</w:t>
            </w:r>
          </w:p>
        </w:tc>
        <w:tc>
          <w:tcPr>
            <w:tcW w:w="120" w:type="dxa"/>
            <w:vAlign w:val="bottom"/>
          </w:tcPr>
          <w:p>
            <w:pPr>
              <w:spacing w:after="0"/>
              <w:rPr>
                <w:sz w:val="23"/>
                <w:szCs w:val="23"/>
                <w:color w:val="auto"/>
              </w:rPr>
            </w:pPr>
          </w:p>
        </w:tc>
        <w:tc>
          <w:tcPr>
            <w:tcW w:w="58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20" w:type="dxa"/>
            <w:vAlign w:val="bottom"/>
            <w:vMerge w:val="restart"/>
          </w:tcPr>
          <w:p>
            <w:pPr>
              <w:ind w:left="20"/>
              <w:spacing w:after="0"/>
              <w:rPr>
                <w:sz w:val="20"/>
                <w:szCs w:val="20"/>
                <w:color w:val="auto"/>
              </w:rPr>
            </w:pPr>
            <w:r>
              <w:rPr>
                <w:rFonts w:ascii="Arial" w:cs="Arial" w:eastAsia="Arial" w:hAnsi="Arial"/>
                <w:sz w:val="16"/>
                <w:szCs w:val="16"/>
                <w:color w:val="auto"/>
              </w:rPr>
              <w:t>Way 1</w:t>
            </w:r>
          </w:p>
        </w:tc>
        <w:tc>
          <w:tcPr>
            <w:tcW w:w="10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7/23/2015</w:t>
            </w:r>
          </w:p>
        </w:tc>
        <w:tc>
          <w:tcPr>
            <w:tcW w:w="1620" w:type="dxa"/>
            <w:vAlign w:val="bottom"/>
          </w:tcPr>
          <w:p>
            <w:pPr>
              <w:ind w:left="20"/>
              <w:spacing w:after="0"/>
              <w:rPr>
                <w:sz w:val="20"/>
                <w:szCs w:val="20"/>
                <w:color w:val="auto"/>
              </w:rPr>
            </w:pPr>
            <w:r>
              <w:rPr>
                <w:rFonts w:ascii="Arial" w:cs="Arial" w:eastAsia="Arial" w:hAnsi="Arial"/>
                <w:sz w:val="16"/>
                <w:szCs w:val="16"/>
                <w:color w:val="auto"/>
                <w:w w:val="96"/>
              </w:rPr>
              <w:t>Castle Rock / Industrial</w:t>
            </w:r>
          </w:p>
        </w:tc>
        <w:tc>
          <w:tcPr>
            <w:tcW w:w="100" w:type="dxa"/>
            <w:vAlign w:val="bottom"/>
          </w:tcPr>
          <w:p>
            <w:pPr>
              <w:spacing w:after="0"/>
              <w:rPr>
                <w:sz w:val="21"/>
                <w:szCs w:val="21"/>
                <w:color w:val="auto"/>
              </w:rPr>
            </w:pPr>
          </w:p>
        </w:tc>
        <w:tc>
          <w:tcPr>
            <w:tcW w:w="400" w:type="dxa"/>
            <w:vAlign w:val="bottom"/>
            <w:vMerge w:val="restart"/>
          </w:tcPr>
          <w:p>
            <w:pPr>
              <w:ind w:left="80"/>
              <w:spacing w:after="0"/>
              <w:rPr>
                <w:sz w:val="20"/>
                <w:szCs w:val="20"/>
                <w:color w:val="auto"/>
              </w:rPr>
            </w:pPr>
            <w:r>
              <w:rPr>
                <w:rFonts w:ascii="Arial" w:cs="Arial" w:eastAsia="Arial" w:hAnsi="Arial"/>
                <w:sz w:val="16"/>
                <w:szCs w:val="16"/>
                <w:color w:val="auto"/>
              </w:rPr>
              <w:t>CO</w:t>
            </w:r>
          </w:p>
        </w:tc>
        <w:tc>
          <w:tcPr>
            <w:tcW w:w="120" w:type="dxa"/>
            <w:vAlign w:val="bottom"/>
          </w:tcPr>
          <w:p>
            <w:pPr>
              <w:spacing w:after="0"/>
              <w:rPr>
                <w:sz w:val="21"/>
                <w:szCs w:val="21"/>
                <w:color w:val="auto"/>
              </w:rPr>
            </w:pPr>
          </w:p>
        </w:tc>
        <w:tc>
          <w:tcPr>
            <w:tcW w:w="58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20" w:type="dxa"/>
            <w:vAlign w:val="bottom"/>
            <w:vMerge w:val="restart"/>
          </w:tcPr>
          <w:p>
            <w:pPr>
              <w:ind w:left="20"/>
              <w:spacing w:after="0"/>
              <w:rPr>
                <w:sz w:val="20"/>
                <w:szCs w:val="20"/>
                <w:color w:val="auto"/>
              </w:rPr>
            </w:pPr>
            <w:r>
              <w:rPr>
                <w:rFonts w:ascii="Arial" w:cs="Arial" w:eastAsia="Arial" w:hAnsi="Arial"/>
                <w:sz w:val="16"/>
                <w:szCs w:val="16"/>
                <w:color w:val="auto"/>
              </w:rPr>
              <w:t>Way 2</w:t>
            </w:r>
          </w:p>
        </w:tc>
        <w:tc>
          <w:tcPr>
            <w:tcW w:w="10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4/19/2016</w:t>
            </w:r>
          </w:p>
        </w:tc>
        <w:tc>
          <w:tcPr>
            <w:tcW w:w="1620" w:type="dxa"/>
            <w:vAlign w:val="bottom"/>
          </w:tcPr>
          <w:p>
            <w:pPr>
              <w:ind w:left="20"/>
              <w:spacing w:after="0"/>
              <w:rPr>
                <w:sz w:val="20"/>
                <w:szCs w:val="20"/>
                <w:color w:val="auto"/>
              </w:rPr>
            </w:pPr>
            <w:r>
              <w:rPr>
                <w:rFonts w:ascii="Arial" w:cs="Arial" w:eastAsia="Arial" w:hAnsi="Arial"/>
                <w:sz w:val="16"/>
                <w:szCs w:val="16"/>
                <w:color w:val="auto"/>
              </w:rPr>
              <w:t>Colorado Springs /</w:t>
            </w:r>
          </w:p>
        </w:tc>
        <w:tc>
          <w:tcPr>
            <w:tcW w:w="100" w:type="dxa"/>
            <w:vAlign w:val="bottom"/>
          </w:tcPr>
          <w:p>
            <w:pPr>
              <w:spacing w:after="0"/>
              <w:rPr>
                <w:sz w:val="21"/>
                <w:szCs w:val="21"/>
                <w:color w:val="auto"/>
              </w:rPr>
            </w:pPr>
          </w:p>
        </w:tc>
        <w:tc>
          <w:tcPr>
            <w:tcW w:w="400" w:type="dxa"/>
            <w:vAlign w:val="bottom"/>
            <w:vMerge w:val="restart"/>
          </w:tcPr>
          <w:p>
            <w:pPr>
              <w:ind w:left="80"/>
              <w:spacing w:after="0"/>
              <w:rPr>
                <w:sz w:val="20"/>
                <w:szCs w:val="20"/>
                <w:color w:val="auto"/>
              </w:rPr>
            </w:pPr>
            <w:r>
              <w:rPr>
                <w:rFonts w:ascii="Arial" w:cs="Arial" w:eastAsia="Arial" w:hAnsi="Arial"/>
                <w:sz w:val="16"/>
                <w:szCs w:val="16"/>
                <w:color w:val="auto"/>
              </w:rPr>
              <w:t>CO</w:t>
            </w:r>
          </w:p>
        </w:tc>
        <w:tc>
          <w:tcPr>
            <w:tcW w:w="120" w:type="dxa"/>
            <w:vAlign w:val="bottom"/>
          </w:tcPr>
          <w:p>
            <w:pPr>
              <w:spacing w:after="0"/>
              <w:rPr>
                <w:sz w:val="21"/>
                <w:szCs w:val="21"/>
                <w:color w:val="auto"/>
              </w:rPr>
            </w:pPr>
          </w:p>
        </w:tc>
        <w:tc>
          <w:tcPr>
            <w:tcW w:w="58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20" w:type="dxa"/>
            <w:vAlign w:val="bottom"/>
            <w:vMerge w:val="restart"/>
          </w:tcPr>
          <w:p>
            <w:pPr>
              <w:ind w:left="20"/>
              <w:spacing w:after="0"/>
              <w:rPr>
                <w:sz w:val="20"/>
                <w:szCs w:val="20"/>
                <w:color w:val="auto"/>
              </w:rPr>
            </w:pPr>
            <w:r>
              <w:rPr>
                <w:rFonts w:ascii="Arial" w:cs="Arial" w:eastAsia="Arial" w:hAnsi="Arial"/>
                <w:sz w:val="16"/>
                <w:szCs w:val="16"/>
                <w:color w:val="auto"/>
              </w:rPr>
              <w:t>Arlington Dr</w:t>
            </w:r>
          </w:p>
        </w:tc>
        <w:tc>
          <w:tcPr>
            <w:tcW w:w="10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6/10/2011</w:t>
            </w:r>
          </w:p>
        </w:tc>
        <w:tc>
          <w:tcPr>
            <w:tcW w:w="1620" w:type="dxa"/>
            <w:vAlign w:val="bottom"/>
          </w:tcPr>
          <w:p>
            <w:pPr>
              <w:ind w:left="20"/>
              <w:spacing w:after="0"/>
              <w:rPr>
                <w:sz w:val="20"/>
                <w:szCs w:val="20"/>
                <w:color w:val="auto"/>
              </w:rPr>
            </w:pPr>
            <w:r>
              <w:rPr>
                <w:rFonts w:ascii="Arial" w:cs="Arial" w:eastAsia="Arial" w:hAnsi="Arial"/>
                <w:sz w:val="16"/>
                <w:szCs w:val="16"/>
                <w:color w:val="auto"/>
              </w:rPr>
              <w:t>Colorado Springs /</w:t>
            </w:r>
          </w:p>
        </w:tc>
        <w:tc>
          <w:tcPr>
            <w:tcW w:w="100" w:type="dxa"/>
            <w:vAlign w:val="bottom"/>
          </w:tcPr>
          <w:p>
            <w:pPr>
              <w:spacing w:after="0"/>
              <w:rPr>
                <w:sz w:val="21"/>
                <w:szCs w:val="21"/>
                <w:color w:val="auto"/>
              </w:rPr>
            </w:pPr>
          </w:p>
        </w:tc>
        <w:tc>
          <w:tcPr>
            <w:tcW w:w="400" w:type="dxa"/>
            <w:vAlign w:val="bottom"/>
            <w:vMerge w:val="restart"/>
          </w:tcPr>
          <w:p>
            <w:pPr>
              <w:ind w:left="80"/>
              <w:spacing w:after="0"/>
              <w:rPr>
                <w:sz w:val="20"/>
                <w:szCs w:val="20"/>
                <w:color w:val="auto"/>
              </w:rPr>
            </w:pPr>
            <w:r>
              <w:rPr>
                <w:rFonts w:ascii="Arial" w:cs="Arial" w:eastAsia="Arial" w:hAnsi="Arial"/>
                <w:sz w:val="16"/>
                <w:szCs w:val="16"/>
                <w:color w:val="auto"/>
              </w:rPr>
              <w:t>CO</w:t>
            </w:r>
          </w:p>
        </w:tc>
        <w:tc>
          <w:tcPr>
            <w:tcW w:w="120" w:type="dxa"/>
            <w:vAlign w:val="bottom"/>
          </w:tcPr>
          <w:p>
            <w:pPr>
              <w:spacing w:after="0"/>
              <w:rPr>
                <w:sz w:val="21"/>
                <w:szCs w:val="21"/>
                <w:color w:val="auto"/>
              </w:rPr>
            </w:pPr>
          </w:p>
        </w:tc>
        <w:tc>
          <w:tcPr>
            <w:tcW w:w="58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20" w:type="dxa"/>
            <w:vAlign w:val="bottom"/>
            <w:vMerge w:val="restart"/>
          </w:tcPr>
          <w:p>
            <w:pPr>
              <w:ind w:left="20"/>
              <w:spacing w:after="0"/>
              <w:rPr>
                <w:sz w:val="20"/>
                <w:szCs w:val="20"/>
                <w:color w:val="auto"/>
              </w:rPr>
            </w:pPr>
            <w:r>
              <w:rPr>
                <w:rFonts w:ascii="Arial" w:cs="Arial" w:eastAsia="Arial" w:hAnsi="Arial"/>
                <w:sz w:val="16"/>
                <w:szCs w:val="16"/>
                <w:color w:val="auto"/>
              </w:rPr>
              <w:t>Austin Bluffs Pkwy</w:t>
            </w:r>
          </w:p>
        </w:tc>
        <w:tc>
          <w:tcPr>
            <w:tcW w:w="10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8/31/2007</w:t>
            </w:r>
          </w:p>
        </w:tc>
        <w:tc>
          <w:tcPr>
            <w:tcW w:w="1620" w:type="dxa"/>
            <w:vAlign w:val="bottom"/>
          </w:tcPr>
          <w:p>
            <w:pPr>
              <w:ind w:left="20"/>
              <w:spacing w:after="0"/>
              <w:rPr>
                <w:sz w:val="20"/>
                <w:szCs w:val="20"/>
                <w:color w:val="auto"/>
              </w:rPr>
            </w:pPr>
            <w:r>
              <w:rPr>
                <w:rFonts w:ascii="Arial" w:cs="Arial" w:eastAsia="Arial" w:hAnsi="Arial"/>
                <w:sz w:val="16"/>
                <w:szCs w:val="16"/>
                <w:color w:val="auto"/>
              </w:rPr>
              <w:t>Colorado Springs /</w:t>
            </w:r>
          </w:p>
        </w:tc>
        <w:tc>
          <w:tcPr>
            <w:tcW w:w="100" w:type="dxa"/>
            <w:vAlign w:val="bottom"/>
          </w:tcPr>
          <w:p>
            <w:pPr>
              <w:spacing w:after="0"/>
              <w:rPr>
                <w:sz w:val="21"/>
                <w:szCs w:val="21"/>
                <w:color w:val="auto"/>
              </w:rPr>
            </w:pPr>
          </w:p>
        </w:tc>
        <w:tc>
          <w:tcPr>
            <w:tcW w:w="400" w:type="dxa"/>
            <w:vAlign w:val="bottom"/>
            <w:vMerge w:val="restart"/>
          </w:tcPr>
          <w:p>
            <w:pPr>
              <w:ind w:left="80"/>
              <w:spacing w:after="0"/>
              <w:rPr>
                <w:sz w:val="20"/>
                <w:szCs w:val="20"/>
                <w:color w:val="auto"/>
              </w:rPr>
            </w:pPr>
            <w:r>
              <w:rPr>
                <w:rFonts w:ascii="Arial" w:cs="Arial" w:eastAsia="Arial" w:hAnsi="Arial"/>
                <w:sz w:val="16"/>
                <w:szCs w:val="16"/>
                <w:color w:val="auto"/>
              </w:rPr>
              <w:t>CO</w:t>
            </w:r>
          </w:p>
        </w:tc>
        <w:tc>
          <w:tcPr>
            <w:tcW w:w="70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89"/>
              </w:rPr>
              <w:t>3,582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20" w:type="dxa"/>
            <w:vAlign w:val="bottom"/>
            <w:vMerge w:val="restart"/>
          </w:tcPr>
          <w:p>
            <w:pPr>
              <w:ind w:left="20"/>
              <w:spacing w:after="0"/>
              <w:rPr>
                <w:sz w:val="20"/>
                <w:szCs w:val="20"/>
                <w:color w:val="auto"/>
              </w:rPr>
            </w:pPr>
            <w:r>
              <w:rPr>
                <w:rFonts w:ascii="Arial" w:cs="Arial" w:eastAsia="Arial" w:hAnsi="Arial"/>
                <w:sz w:val="16"/>
                <w:szCs w:val="16"/>
                <w:color w:val="auto"/>
              </w:rPr>
              <w:t>Dublin Blvd</w:t>
            </w:r>
          </w:p>
        </w:tc>
        <w:tc>
          <w:tcPr>
            <w:tcW w:w="10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11/25/2008</w:t>
            </w:r>
          </w:p>
        </w:tc>
        <w:tc>
          <w:tcPr>
            <w:tcW w:w="1620" w:type="dxa"/>
            <w:vAlign w:val="bottom"/>
          </w:tcPr>
          <w:p>
            <w:pPr>
              <w:ind w:left="20"/>
              <w:spacing w:after="0"/>
              <w:rPr>
                <w:sz w:val="20"/>
                <w:szCs w:val="20"/>
                <w:color w:val="auto"/>
              </w:rPr>
            </w:pPr>
            <w:r>
              <w:rPr>
                <w:rFonts w:ascii="Arial" w:cs="Arial" w:eastAsia="Arial" w:hAnsi="Arial"/>
                <w:sz w:val="16"/>
                <w:szCs w:val="16"/>
                <w:color w:val="auto"/>
              </w:rPr>
              <w:t>Colorado Springs / S</w:t>
            </w:r>
          </w:p>
        </w:tc>
        <w:tc>
          <w:tcPr>
            <w:tcW w:w="100" w:type="dxa"/>
            <w:vAlign w:val="bottom"/>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CO</w:t>
            </w:r>
          </w:p>
        </w:tc>
        <w:tc>
          <w:tcPr>
            <w:tcW w:w="70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5,935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60" w:type="dxa"/>
            <w:vAlign w:val="bottom"/>
          </w:tcPr>
          <w:p>
            <w:pPr>
              <w:spacing w:after="0"/>
              <w:rPr>
                <w:sz w:val="17"/>
                <w:szCs w:val="17"/>
                <w:color w:val="auto"/>
              </w:rPr>
            </w:pPr>
          </w:p>
        </w:tc>
        <w:tc>
          <w:tcPr>
            <w:tcW w:w="1620" w:type="dxa"/>
            <w:vAlign w:val="bottom"/>
          </w:tcPr>
          <w:p>
            <w:pPr>
              <w:ind w:left="20"/>
              <w:spacing w:after="0"/>
              <w:rPr>
                <w:sz w:val="20"/>
                <w:szCs w:val="20"/>
                <w:color w:val="auto"/>
              </w:rPr>
            </w:pPr>
            <w:r>
              <w:rPr>
                <w:rFonts w:ascii="Arial" w:cs="Arial" w:eastAsia="Arial" w:hAnsi="Arial"/>
                <w:sz w:val="16"/>
                <w:szCs w:val="16"/>
                <w:color w:val="auto"/>
              </w:rPr>
              <w:t>8th St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960" w:type="dxa"/>
            <w:vAlign w:val="bottom"/>
          </w:tcPr>
          <w:p>
            <w:pPr>
              <w:jc w:val="center"/>
              <w:spacing w:after="0"/>
              <w:rPr>
                <w:sz w:val="20"/>
                <w:szCs w:val="20"/>
                <w:color w:val="auto"/>
              </w:rPr>
            </w:pPr>
            <w:r>
              <w:rPr>
                <w:rFonts w:ascii="Arial" w:cs="Arial" w:eastAsia="Arial" w:hAnsi="Arial"/>
                <w:sz w:val="16"/>
                <w:szCs w:val="16"/>
                <w:color w:val="auto"/>
                <w:w w:val="89"/>
              </w:rPr>
              <w:t>10/24/2014</w:t>
            </w:r>
          </w:p>
        </w:tc>
        <w:tc>
          <w:tcPr>
            <w:tcW w:w="1620" w:type="dxa"/>
            <w:vAlign w:val="bottom"/>
          </w:tcPr>
          <w:p>
            <w:pPr>
              <w:ind w:left="20"/>
              <w:spacing w:after="0"/>
              <w:rPr>
                <w:sz w:val="20"/>
                <w:szCs w:val="20"/>
                <w:color w:val="auto"/>
              </w:rPr>
            </w:pPr>
            <w:r>
              <w:rPr>
                <w:rFonts w:ascii="Arial" w:cs="Arial" w:eastAsia="Arial" w:hAnsi="Arial"/>
                <w:sz w:val="16"/>
                <w:szCs w:val="16"/>
                <w:color w:val="auto"/>
              </w:rPr>
              <w:t>Colorado Springs /</w:t>
            </w:r>
          </w:p>
        </w:tc>
        <w:tc>
          <w:tcPr>
            <w:tcW w:w="100" w:type="dxa"/>
            <w:vAlign w:val="bottom"/>
          </w:tcPr>
          <w:p>
            <w:pPr>
              <w:spacing w:after="0"/>
              <w:rPr>
                <w:sz w:val="21"/>
                <w:szCs w:val="21"/>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CO</w:t>
            </w:r>
          </w:p>
        </w:tc>
        <w:tc>
          <w:tcPr>
            <w:tcW w:w="70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3,919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960" w:type="dxa"/>
            <w:vAlign w:val="bottom"/>
          </w:tcPr>
          <w:p>
            <w:pPr>
              <w:spacing w:after="0"/>
              <w:rPr>
                <w:sz w:val="17"/>
                <w:szCs w:val="17"/>
                <w:color w:val="auto"/>
              </w:rPr>
            </w:pPr>
          </w:p>
        </w:tc>
        <w:tc>
          <w:tcPr>
            <w:tcW w:w="1620" w:type="dxa"/>
            <w:vAlign w:val="bottom"/>
          </w:tcPr>
          <w:p>
            <w:pPr>
              <w:ind w:left="20"/>
              <w:spacing w:after="0"/>
              <w:rPr>
                <w:sz w:val="20"/>
                <w:szCs w:val="20"/>
                <w:color w:val="auto"/>
              </w:rPr>
            </w:pPr>
            <w:r>
              <w:rPr>
                <w:rFonts w:ascii="Arial" w:cs="Arial" w:eastAsia="Arial" w:hAnsi="Arial"/>
                <w:sz w:val="16"/>
                <w:szCs w:val="16"/>
                <w:color w:val="auto"/>
              </w:rPr>
              <w:t>Stetson Hills Blvd</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60" w:type="dxa"/>
            <w:vAlign w:val="bottom"/>
          </w:tcPr>
          <w:p>
            <w:pPr>
              <w:jc w:val="center"/>
              <w:spacing w:after="0"/>
              <w:rPr>
                <w:sz w:val="20"/>
                <w:szCs w:val="20"/>
                <w:color w:val="auto"/>
              </w:rPr>
            </w:pPr>
            <w:r>
              <w:rPr>
                <w:rFonts w:ascii="Arial" w:cs="Arial" w:eastAsia="Arial" w:hAnsi="Arial"/>
                <w:sz w:val="16"/>
                <w:szCs w:val="16"/>
                <w:color w:val="auto"/>
                <w:w w:val="89"/>
              </w:rPr>
              <w:t>9/15/2000</w:t>
            </w:r>
          </w:p>
        </w:tc>
        <w:tc>
          <w:tcPr>
            <w:tcW w:w="1620" w:type="dxa"/>
            <w:vAlign w:val="bottom"/>
          </w:tcPr>
          <w:p>
            <w:pPr>
              <w:ind w:left="20"/>
              <w:spacing w:after="0"/>
              <w:rPr>
                <w:sz w:val="20"/>
                <w:szCs w:val="20"/>
                <w:color w:val="auto"/>
              </w:rPr>
            </w:pPr>
            <w:r>
              <w:rPr>
                <w:rFonts w:ascii="Arial" w:cs="Arial" w:eastAsia="Arial" w:hAnsi="Arial"/>
                <w:sz w:val="16"/>
                <w:szCs w:val="16"/>
                <w:color w:val="auto"/>
              </w:rPr>
              <w:t>Denver / E 40th Ave</w:t>
            </w:r>
          </w:p>
        </w:tc>
        <w:tc>
          <w:tcPr>
            <w:tcW w:w="100" w:type="dxa"/>
            <w:vAlign w:val="bottom"/>
          </w:tcPr>
          <w:p>
            <w:pPr>
              <w:spacing w:after="0"/>
              <w:rPr>
                <w:sz w:val="17"/>
                <w:szCs w:val="17"/>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CO</w:t>
            </w:r>
          </w:p>
        </w:tc>
        <w:tc>
          <w:tcPr>
            <w:tcW w:w="70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2,402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5,919</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6,729</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450</w:t>
            </w:r>
          </w:p>
        </w:tc>
        <w:tc>
          <w:tcPr>
            <w:tcW w:w="640" w:type="dxa"/>
            <w:vAlign w:val="bottom"/>
          </w:tcPr>
          <w:p>
            <w:pPr>
              <w:spacing w:after="0"/>
              <w:rPr>
                <w:sz w:val="17"/>
                <w:szCs w:val="17"/>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5,919</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7,179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13,098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673</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2,679</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7,029</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171</w:t>
            </w:r>
          </w:p>
        </w:tc>
        <w:tc>
          <w:tcPr>
            <w:tcW w:w="640" w:type="dxa"/>
            <w:vAlign w:val="bottom"/>
          </w:tcPr>
          <w:p>
            <w:pPr>
              <w:spacing w:after="0"/>
              <w:rPr>
                <w:sz w:val="24"/>
                <w:szCs w:val="24"/>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2,679</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7,200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9,879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197</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1,867</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6,354</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276</w:t>
            </w:r>
          </w:p>
        </w:tc>
        <w:tc>
          <w:tcPr>
            <w:tcW w:w="640" w:type="dxa"/>
            <w:vAlign w:val="bottom"/>
          </w:tcPr>
          <w:p>
            <w:pPr>
              <w:spacing w:after="0"/>
              <w:rPr>
                <w:sz w:val="24"/>
                <w:szCs w:val="24"/>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1,867</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6,630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8,497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948</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5,098</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4,054</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334</w:t>
            </w:r>
          </w:p>
        </w:tc>
        <w:tc>
          <w:tcPr>
            <w:tcW w:w="640" w:type="dxa"/>
            <w:vAlign w:val="bottom"/>
          </w:tcPr>
          <w:p>
            <w:pPr>
              <w:spacing w:after="0"/>
              <w:rPr>
                <w:sz w:val="24"/>
                <w:szCs w:val="24"/>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5,098</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4,388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9,486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413</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8,457</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9,928</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1,859</w:t>
            </w:r>
          </w:p>
        </w:tc>
        <w:tc>
          <w:tcPr>
            <w:tcW w:w="640" w:type="dxa"/>
            <w:vAlign w:val="bottom"/>
          </w:tcPr>
          <w:p>
            <w:pPr>
              <w:spacing w:after="0"/>
              <w:rPr>
                <w:sz w:val="24"/>
                <w:szCs w:val="24"/>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8,457</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11,787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20,244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3,502</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5,460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18,741</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340</w:t>
            </w:r>
          </w:p>
        </w:tc>
        <w:tc>
          <w:tcPr>
            <w:tcW w:w="640" w:type="dxa"/>
            <w:vAlign w:val="bottom"/>
          </w:tcPr>
          <w:p>
            <w:pPr>
              <w:spacing w:after="0"/>
              <w:rPr>
                <w:sz w:val="24"/>
                <w:szCs w:val="24"/>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5,460</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19,081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24,541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620</w:t>
            </w:r>
          </w:p>
        </w:tc>
      </w:tr>
      <w:tr>
        <w:trPr>
          <w:trHeight w:val="459"/>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2,428</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2,323</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288</w:t>
            </w:r>
          </w:p>
        </w:tc>
        <w:tc>
          <w:tcPr>
            <w:tcW w:w="640" w:type="dxa"/>
            <w:vAlign w:val="bottom"/>
          </w:tcPr>
          <w:p>
            <w:pPr>
              <w:spacing w:after="0"/>
              <w:rPr>
                <w:sz w:val="24"/>
                <w:szCs w:val="24"/>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2,428</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2,611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5,039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366</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5,340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6,821</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303</w:t>
            </w:r>
          </w:p>
        </w:tc>
        <w:tc>
          <w:tcPr>
            <w:tcW w:w="640" w:type="dxa"/>
            <w:vAlign w:val="bottom"/>
          </w:tcPr>
          <w:p>
            <w:pPr>
              <w:spacing w:after="0"/>
              <w:rPr>
                <w:sz w:val="24"/>
                <w:szCs w:val="24"/>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5,340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7,124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12,464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1,345</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4,601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9,777</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3,479</w:t>
            </w:r>
          </w:p>
        </w:tc>
        <w:tc>
          <w:tcPr>
            <w:tcW w:w="640" w:type="dxa"/>
            <w:vAlign w:val="bottom"/>
          </w:tcPr>
          <w:p>
            <w:pPr>
              <w:spacing w:after="0"/>
              <w:rPr>
                <w:sz w:val="24"/>
                <w:szCs w:val="24"/>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4,601</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13,256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17,857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3,811</w:t>
            </w:r>
          </w:p>
        </w:tc>
      </w:tr>
      <w:tr>
        <w:trPr>
          <w:trHeight w:val="459"/>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3,343</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6,630</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640" w:type="dxa"/>
            <w:vAlign w:val="bottom"/>
          </w:tcPr>
          <w:p>
            <w:pPr>
              <w:ind w:left="300"/>
              <w:spacing w:after="0"/>
              <w:rPr>
                <w:sz w:val="20"/>
                <w:szCs w:val="20"/>
                <w:color w:val="auto"/>
              </w:rPr>
            </w:pPr>
            <w:r>
              <w:rPr>
                <w:rFonts w:ascii="Arial" w:cs="Arial" w:eastAsia="Arial" w:hAnsi="Arial"/>
                <w:sz w:val="16"/>
                <w:szCs w:val="16"/>
                <w:color w:val="auto"/>
              </w:rPr>
              <w:t>(f)</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3,291</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6,692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9,983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1,103</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8,784</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292</w:t>
            </w:r>
          </w:p>
        </w:tc>
        <w:tc>
          <w:tcPr>
            <w:tcW w:w="640" w:type="dxa"/>
            <w:vAlign w:val="bottom"/>
          </w:tcPr>
          <w:p>
            <w:pPr>
              <w:spacing w:after="0"/>
              <w:rPr>
                <w:sz w:val="24"/>
                <w:szCs w:val="24"/>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9,076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9,076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298</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4,819</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5,819</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290</w:t>
            </w:r>
          </w:p>
        </w:tc>
        <w:tc>
          <w:tcPr>
            <w:tcW w:w="640" w:type="dxa"/>
            <w:vAlign w:val="bottom"/>
          </w:tcPr>
          <w:p>
            <w:pPr>
              <w:spacing w:after="0"/>
              <w:rPr>
                <w:sz w:val="23"/>
                <w:szCs w:val="23"/>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4,819</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6,109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10,928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558</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3,485</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2,382</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236</w:t>
            </w:r>
          </w:p>
        </w:tc>
        <w:tc>
          <w:tcPr>
            <w:tcW w:w="640" w:type="dxa"/>
            <w:vAlign w:val="bottom"/>
          </w:tcPr>
          <w:p>
            <w:pPr>
              <w:spacing w:after="0"/>
              <w:rPr>
                <w:sz w:val="23"/>
                <w:szCs w:val="23"/>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3,485</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2,618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6,103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272</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4,750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8,218</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46</w:t>
            </w:r>
          </w:p>
        </w:tc>
        <w:tc>
          <w:tcPr>
            <w:tcW w:w="640" w:type="dxa"/>
            <w:vAlign w:val="bottom"/>
          </w:tcPr>
          <w:p>
            <w:pPr>
              <w:spacing w:after="0"/>
              <w:rPr>
                <w:sz w:val="23"/>
                <w:szCs w:val="23"/>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4,750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8,264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13,014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1,558</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1,588</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11,160</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142</w:t>
            </w:r>
          </w:p>
        </w:tc>
        <w:tc>
          <w:tcPr>
            <w:tcW w:w="640" w:type="dxa"/>
            <w:vAlign w:val="bottom"/>
          </w:tcPr>
          <w:p>
            <w:pPr>
              <w:spacing w:after="0"/>
              <w:rPr>
                <w:sz w:val="23"/>
                <w:szCs w:val="23"/>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1,588</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11,302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12,890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1,318</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3,617</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7,022</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382</w:t>
            </w:r>
          </w:p>
        </w:tc>
        <w:tc>
          <w:tcPr>
            <w:tcW w:w="640" w:type="dxa"/>
            <w:vAlign w:val="bottom"/>
          </w:tcPr>
          <w:p>
            <w:pPr>
              <w:spacing w:after="0"/>
              <w:rPr>
                <w:sz w:val="23"/>
                <w:szCs w:val="23"/>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3,617</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7,404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11,021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1,921</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1,556</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2,740</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504</w:t>
            </w:r>
          </w:p>
        </w:tc>
        <w:tc>
          <w:tcPr>
            <w:tcW w:w="640" w:type="dxa"/>
            <w:vAlign w:val="bottom"/>
          </w:tcPr>
          <w:p>
            <w:pPr>
              <w:spacing w:after="0"/>
              <w:rPr>
                <w:sz w:val="23"/>
                <w:szCs w:val="23"/>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1,556</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3,244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4,800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515</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1,310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3,526</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109</w:t>
            </w:r>
          </w:p>
        </w:tc>
        <w:tc>
          <w:tcPr>
            <w:tcW w:w="640" w:type="dxa"/>
            <w:vAlign w:val="bottom"/>
          </w:tcPr>
          <w:p>
            <w:pPr>
              <w:spacing w:after="0"/>
              <w:rPr>
                <w:sz w:val="24"/>
                <w:szCs w:val="24"/>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1,309</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3,636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4,945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514</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9,526</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15,282</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40" w:type="dxa"/>
            <w:vAlign w:val="bottom"/>
          </w:tcPr>
          <w:p>
            <w:pPr>
              <w:spacing w:after="0"/>
              <w:rPr>
                <w:sz w:val="24"/>
                <w:szCs w:val="24"/>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9,526</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15,282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24,808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65</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7,058</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12,121</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40" w:type="dxa"/>
            <w:vAlign w:val="bottom"/>
          </w:tcPr>
          <w:p>
            <w:pPr>
              <w:spacing w:after="0"/>
              <w:rPr>
                <w:sz w:val="23"/>
                <w:szCs w:val="23"/>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7,058</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12,121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19,179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52</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5,006</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5,806</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40" w:type="dxa"/>
            <w:vAlign w:val="bottom"/>
          </w:tcPr>
          <w:p>
            <w:pPr>
              <w:spacing w:after="0"/>
              <w:rPr>
                <w:sz w:val="23"/>
                <w:szCs w:val="23"/>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5,006</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5,806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10,812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25</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4,051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12,152</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630</w:t>
            </w:r>
          </w:p>
        </w:tc>
        <w:tc>
          <w:tcPr>
            <w:tcW w:w="640" w:type="dxa"/>
            <w:vAlign w:val="bottom"/>
          </w:tcPr>
          <w:p>
            <w:pPr>
              <w:spacing w:after="0"/>
              <w:rPr>
                <w:sz w:val="23"/>
                <w:szCs w:val="23"/>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4,051</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12,782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16,833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4,130</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5,022</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2,267</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226</w:t>
            </w:r>
          </w:p>
        </w:tc>
        <w:tc>
          <w:tcPr>
            <w:tcW w:w="640" w:type="dxa"/>
            <w:vAlign w:val="bottom"/>
          </w:tcPr>
          <w:p>
            <w:pPr>
              <w:spacing w:after="0"/>
              <w:rPr>
                <w:sz w:val="23"/>
                <w:szCs w:val="23"/>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5,022</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2,493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7,515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271</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649</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3,272</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269</w:t>
            </w:r>
          </w:p>
        </w:tc>
        <w:tc>
          <w:tcPr>
            <w:tcW w:w="640" w:type="dxa"/>
            <w:vAlign w:val="bottom"/>
          </w:tcPr>
          <w:p>
            <w:pPr>
              <w:spacing w:after="0"/>
              <w:rPr>
                <w:sz w:val="23"/>
                <w:szCs w:val="23"/>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649</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3,541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4,190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1,374</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3,619</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2,443</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86</w:t>
            </w:r>
          </w:p>
        </w:tc>
        <w:tc>
          <w:tcPr>
            <w:tcW w:w="640" w:type="dxa"/>
            <w:vAlign w:val="bottom"/>
          </w:tcPr>
          <w:p>
            <w:pPr>
              <w:spacing w:after="0"/>
              <w:rPr>
                <w:sz w:val="23"/>
                <w:szCs w:val="23"/>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3,619</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2,529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6,148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211</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1,688</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6,381</w:t>
            </w:r>
          </w:p>
        </w:tc>
        <w:tc>
          <w:tcPr>
            <w:tcW w:w="1020" w:type="dxa"/>
            <w:vAlign w:val="bottom"/>
          </w:tcPr>
          <w:p>
            <w:pPr>
              <w:jc w:val="center"/>
              <w:spacing w:after="0"/>
              <w:rPr>
                <w:sz w:val="20"/>
                <w:szCs w:val="20"/>
                <w:color w:val="auto"/>
              </w:rPr>
            </w:pPr>
            <w:r>
              <w:rPr>
                <w:rFonts w:ascii="Arial" w:cs="Arial" w:eastAsia="Arial" w:hAnsi="Arial"/>
                <w:sz w:val="16"/>
                <w:szCs w:val="16"/>
                <w:color w:val="auto"/>
                <w:w w:val="82"/>
              </w:rPr>
              <w:t>110</w:t>
            </w:r>
          </w:p>
        </w:tc>
        <w:tc>
          <w:tcPr>
            <w:tcW w:w="640" w:type="dxa"/>
            <w:vAlign w:val="bottom"/>
          </w:tcPr>
          <w:p>
            <w:pPr>
              <w:spacing w:after="0"/>
              <w:rPr>
                <w:sz w:val="23"/>
                <w:szCs w:val="23"/>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1,688</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6,491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8,179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465</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10,732</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5,004</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260</w:t>
            </w:r>
          </w:p>
        </w:tc>
        <w:tc>
          <w:tcPr>
            <w:tcW w:w="640" w:type="dxa"/>
            <w:vAlign w:val="bottom"/>
          </w:tcPr>
          <w:p>
            <w:pPr>
              <w:spacing w:after="0"/>
              <w:rPr>
                <w:sz w:val="23"/>
                <w:szCs w:val="23"/>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10,732</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5,264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15,996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492</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3,058</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4,671</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288</w:t>
            </w:r>
          </w:p>
        </w:tc>
        <w:tc>
          <w:tcPr>
            <w:tcW w:w="640" w:type="dxa"/>
            <w:vAlign w:val="bottom"/>
          </w:tcPr>
          <w:p>
            <w:pPr>
              <w:spacing w:after="0"/>
              <w:rPr>
                <w:sz w:val="23"/>
                <w:szCs w:val="23"/>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3,058</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4,959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8,017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1,253</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4,500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8,834</w:t>
            </w:r>
          </w:p>
        </w:tc>
        <w:tc>
          <w:tcPr>
            <w:tcW w:w="1020" w:type="dxa"/>
            <w:vAlign w:val="bottom"/>
          </w:tcPr>
          <w:p>
            <w:pPr>
              <w:jc w:val="center"/>
              <w:spacing w:after="0"/>
              <w:rPr>
                <w:sz w:val="20"/>
                <w:szCs w:val="20"/>
                <w:color w:val="auto"/>
              </w:rPr>
            </w:pPr>
            <w:r>
              <w:rPr>
                <w:rFonts w:ascii="Arial" w:cs="Arial" w:eastAsia="Arial" w:hAnsi="Arial"/>
                <w:sz w:val="16"/>
                <w:szCs w:val="16"/>
                <w:color w:val="auto"/>
                <w:w w:val="90"/>
              </w:rPr>
              <w:t>(965)</w:t>
            </w:r>
          </w:p>
        </w:tc>
        <w:tc>
          <w:tcPr>
            <w:tcW w:w="640" w:type="dxa"/>
            <w:vAlign w:val="bottom"/>
          </w:tcPr>
          <w:p>
            <w:pPr>
              <w:ind w:left="280"/>
              <w:spacing w:after="0"/>
              <w:rPr>
                <w:sz w:val="20"/>
                <w:szCs w:val="20"/>
                <w:color w:val="auto"/>
              </w:rPr>
            </w:pPr>
            <w:r>
              <w:rPr>
                <w:rFonts w:ascii="Arial" w:cs="Arial" w:eastAsia="Arial" w:hAnsi="Arial"/>
                <w:sz w:val="16"/>
                <w:szCs w:val="16"/>
                <w:color w:val="auto"/>
              </w:rPr>
              <w:t>(d)</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3,500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8,869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12,369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354</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778</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2,638</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828</w:t>
            </w:r>
          </w:p>
        </w:tc>
        <w:tc>
          <w:tcPr>
            <w:tcW w:w="640" w:type="dxa"/>
            <w:vAlign w:val="bottom"/>
          </w:tcPr>
          <w:p>
            <w:pPr>
              <w:spacing w:after="0"/>
              <w:rPr>
                <w:sz w:val="23"/>
                <w:szCs w:val="23"/>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911</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3,333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4,244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1,192</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946</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1,937</w:t>
            </w:r>
          </w:p>
        </w:tc>
        <w:tc>
          <w:tcPr>
            <w:tcW w:w="1020" w:type="dxa"/>
            <w:vAlign w:val="bottom"/>
          </w:tcPr>
          <w:p>
            <w:pPr>
              <w:jc w:val="center"/>
              <w:spacing w:after="0"/>
              <w:rPr>
                <w:sz w:val="20"/>
                <w:szCs w:val="20"/>
                <w:color w:val="auto"/>
              </w:rPr>
            </w:pPr>
            <w:r>
              <w:rPr>
                <w:rFonts w:ascii="Arial" w:cs="Arial" w:eastAsia="Arial" w:hAnsi="Arial"/>
                <w:sz w:val="16"/>
                <w:szCs w:val="16"/>
                <w:color w:val="auto"/>
                <w:w w:val="82"/>
              </w:rPr>
              <w:t>311</w:t>
            </w:r>
          </w:p>
        </w:tc>
        <w:tc>
          <w:tcPr>
            <w:tcW w:w="640" w:type="dxa"/>
            <w:vAlign w:val="bottom"/>
          </w:tcPr>
          <w:p>
            <w:pPr>
              <w:spacing w:after="0"/>
              <w:rPr>
                <w:sz w:val="23"/>
                <w:szCs w:val="23"/>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946</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2,248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3,194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897</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1,177</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2,157</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1,083</w:t>
            </w:r>
          </w:p>
        </w:tc>
        <w:tc>
          <w:tcPr>
            <w:tcW w:w="640" w:type="dxa"/>
            <w:vAlign w:val="bottom"/>
          </w:tcPr>
          <w:p>
            <w:pPr>
              <w:spacing w:after="0"/>
              <w:rPr>
                <w:sz w:val="23"/>
                <w:szCs w:val="23"/>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1,177</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3,240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4,417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1,202</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2,640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13,870</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352</w:t>
            </w:r>
          </w:p>
        </w:tc>
        <w:tc>
          <w:tcPr>
            <w:tcW w:w="640" w:type="dxa"/>
            <w:vAlign w:val="bottom"/>
          </w:tcPr>
          <w:p>
            <w:pPr>
              <w:spacing w:after="0"/>
              <w:rPr>
                <w:sz w:val="23"/>
                <w:szCs w:val="23"/>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2,640</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14,222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16,862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469</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7,939</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2,576</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387</w:t>
            </w:r>
          </w:p>
        </w:tc>
        <w:tc>
          <w:tcPr>
            <w:tcW w:w="640" w:type="dxa"/>
            <w:vAlign w:val="bottom"/>
          </w:tcPr>
          <w:p>
            <w:pPr>
              <w:spacing w:after="0"/>
              <w:rPr>
                <w:sz w:val="23"/>
                <w:szCs w:val="23"/>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7,939</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2,963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10,902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316</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2,803</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8,410</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640" w:type="dxa"/>
            <w:vAlign w:val="bottom"/>
          </w:tcPr>
          <w:p>
            <w:pPr>
              <w:ind w:left="280"/>
              <w:spacing w:after="0"/>
              <w:rPr>
                <w:sz w:val="20"/>
                <w:szCs w:val="20"/>
                <w:color w:val="auto"/>
              </w:rPr>
            </w:pPr>
            <w:r>
              <w:rPr>
                <w:rFonts w:ascii="Arial" w:cs="Arial" w:eastAsia="Arial" w:hAnsi="Arial"/>
                <w:sz w:val="16"/>
                <w:szCs w:val="16"/>
                <w:color w:val="auto"/>
              </w:rPr>
              <w:t>(b)</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2,803</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8,412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11,215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1,479</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3,453</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2,837</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259</w:t>
            </w:r>
          </w:p>
        </w:tc>
        <w:tc>
          <w:tcPr>
            <w:tcW w:w="640" w:type="dxa"/>
            <w:vAlign w:val="bottom"/>
          </w:tcPr>
          <w:p>
            <w:pPr>
              <w:spacing w:after="0"/>
              <w:rPr>
                <w:sz w:val="23"/>
                <w:szCs w:val="23"/>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3,453</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3,096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6,549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315</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151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751</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165</w:t>
            </w:r>
          </w:p>
        </w:tc>
        <w:tc>
          <w:tcPr>
            <w:tcW w:w="640" w:type="dxa"/>
            <w:vAlign w:val="bottom"/>
          </w:tcPr>
          <w:p>
            <w:pPr>
              <w:spacing w:after="0"/>
              <w:rPr>
                <w:sz w:val="23"/>
                <w:szCs w:val="23"/>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151</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916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1,067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168</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1,699</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3,056</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373</w:t>
            </w:r>
          </w:p>
        </w:tc>
        <w:tc>
          <w:tcPr>
            <w:tcW w:w="640" w:type="dxa"/>
            <w:vAlign w:val="bottom"/>
          </w:tcPr>
          <w:p>
            <w:pPr>
              <w:spacing w:after="0"/>
              <w:rPr>
                <w:sz w:val="23"/>
                <w:szCs w:val="23"/>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1,699</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3,429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5,128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1,107</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2,400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7,425</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151</w:t>
            </w:r>
          </w:p>
        </w:tc>
        <w:tc>
          <w:tcPr>
            <w:tcW w:w="640" w:type="dxa"/>
            <w:vAlign w:val="bottom"/>
          </w:tcPr>
          <w:p>
            <w:pPr>
              <w:spacing w:after="0"/>
              <w:rPr>
                <w:sz w:val="23"/>
                <w:szCs w:val="23"/>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2,400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7,576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9,976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1,441</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2,985</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217</w:t>
            </w:r>
          </w:p>
        </w:tc>
        <w:tc>
          <w:tcPr>
            <w:tcW w:w="640" w:type="dxa"/>
            <w:vAlign w:val="bottom"/>
          </w:tcPr>
          <w:p>
            <w:pPr>
              <w:spacing w:after="0"/>
              <w:rPr>
                <w:sz w:val="23"/>
                <w:szCs w:val="23"/>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3,202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3,202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1,233</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6,792</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10,726</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398</w:t>
            </w:r>
          </w:p>
        </w:tc>
        <w:tc>
          <w:tcPr>
            <w:tcW w:w="640" w:type="dxa"/>
            <w:vAlign w:val="bottom"/>
          </w:tcPr>
          <w:p>
            <w:pPr>
              <w:spacing w:after="0"/>
              <w:rPr>
                <w:sz w:val="23"/>
                <w:szCs w:val="23"/>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6,792</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11,124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17,916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930</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286</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1,521</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706</w:t>
            </w:r>
          </w:p>
        </w:tc>
        <w:tc>
          <w:tcPr>
            <w:tcW w:w="640" w:type="dxa"/>
            <w:vAlign w:val="bottom"/>
          </w:tcPr>
          <w:p>
            <w:pPr>
              <w:spacing w:after="0"/>
              <w:rPr>
                <w:sz w:val="23"/>
                <w:szCs w:val="23"/>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286</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2,227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2,513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1,179</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407</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3,077</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295</w:t>
            </w:r>
          </w:p>
        </w:tc>
        <w:tc>
          <w:tcPr>
            <w:tcW w:w="640" w:type="dxa"/>
            <w:vAlign w:val="bottom"/>
          </w:tcPr>
          <w:p>
            <w:pPr>
              <w:spacing w:after="0"/>
              <w:rPr>
                <w:sz w:val="24"/>
                <w:szCs w:val="24"/>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407</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3,372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3,779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534</w:t>
            </w:r>
          </w:p>
        </w:tc>
      </w:tr>
      <w:tr>
        <w:trPr>
          <w:trHeight w:val="459"/>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531</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40" w:type="dxa"/>
            <w:vAlign w:val="bottom"/>
          </w:tcPr>
          <w:p>
            <w:pPr>
              <w:spacing w:after="0"/>
              <w:rPr>
                <w:sz w:val="24"/>
                <w:szCs w:val="24"/>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531</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531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99"/>
              </w:rPr>
              <w:t>—</w:t>
            </w:r>
          </w:p>
        </w:tc>
      </w:tr>
      <w:tr>
        <w:trPr>
          <w:trHeight w:val="459"/>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2,140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5,660</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385</w:t>
            </w:r>
          </w:p>
        </w:tc>
        <w:tc>
          <w:tcPr>
            <w:tcW w:w="640" w:type="dxa"/>
            <w:vAlign w:val="bottom"/>
          </w:tcPr>
          <w:p>
            <w:pPr>
              <w:spacing w:after="0"/>
              <w:rPr>
                <w:sz w:val="24"/>
                <w:szCs w:val="24"/>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2,140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6,045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8,185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122</w:t>
            </w:r>
          </w:p>
        </w:tc>
      </w:tr>
      <w:tr>
        <w:trPr>
          <w:trHeight w:val="459"/>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296</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4,199</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349</w:t>
            </w:r>
          </w:p>
        </w:tc>
        <w:tc>
          <w:tcPr>
            <w:tcW w:w="640" w:type="dxa"/>
            <w:vAlign w:val="bottom"/>
          </w:tcPr>
          <w:p>
            <w:pPr>
              <w:spacing w:after="0"/>
              <w:rPr>
                <w:sz w:val="24"/>
                <w:szCs w:val="24"/>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296</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4,548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4,844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739</w:t>
            </w:r>
          </w:p>
        </w:tc>
      </w:tr>
      <w:tr>
        <w:trPr>
          <w:trHeight w:val="459"/>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781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3,400</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450</w:t>
            </w:r>
          </w:p>
        </w:tc>
        <w:tc>
          <w:tcPr>
            <w:tcW w:w="640" w:type="dxa"/>
            <w:vAlign w:val="bottom"/>
          </w:tcPr>
          <w:p>
            <w:pPr>
              <w:spacing w:after="0"/>
              <w:rPr>
                <w:sz w:val="24"/>
                <w:szCs w:val="24"/>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781</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3,850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4,631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1,019</w:t>
            </w:r>
          </w:p>
        </w:tc>
      </w:tr>
      <w:tr>
        <w:trPr>
          <w:trHeight w:val="459"/>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1,525</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4,310</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641</w:t>
            </w:r>
          </w:p>
        </w:tc>
        <w:tc>
          <w:tcPr>
            <w:tcW w:w="640" w:type="dxa"/>
            <w:vAlign w:val="bottom"/>
          </w:tcPr>
          <w:p>
            <w:pPr>
              <w:spacing w:after="0"/>
              <w:rPr>
                <w:sz w:val="24"/>
                <w:szCs w:val="24"/>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1,525</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4,951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6,476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1,114</w:t>
            </w:r>
          </w:p>
        </w:tc>
      </w:tr>
      <w:tr>
        <w:trPr>
          <w:trHeight w:val="459"/>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2,077</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4,087</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369</w:t>
            </w:r>
          </w:p>
        </w:tc>
        <w:tc>
          <w:tcPr>
            <w:tcW w:w="640" w:type="dxa"/>
            <w:vAlign w:val="bottom"/>
          </w:tcPr>
          <w:p>
            <w:pPr>
              <w:spacing w:after="0"/>
              <w:rPr>
                <w:sz w:val="24"/>
                <w:szCs w:val="24"/>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2,077</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4,456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6,533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281</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602</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2,052</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1,733</w:t>
            </w:r>
          </w:p>
        </w:tc>
        <w:tc>
          <w:tcPr>
            <w:tcW w:w="640" w:type="dxa"/>
            <w:vAlign w:val="bottom"/>
          </w:tcPr>
          <w:p>
            <w:pPr>
              <w:spacing w:after="0"/>
              <w:rPr>
                <w:sz w:val="24"/>
                <w:szCs w:val="24"/>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745</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3,642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4,387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1,524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-10360025</wp:posOffset>
            </wp:positionV>
            <wp:extent cx="4788535" cy="1282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788535" cy="12827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-10043160</wp:posOffset>
            </wp:positionV>
            <wp:extent cx="7246620" cy="291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-9580880</wp:posOffset>
            </wp:positionV>
            <wp:extent cx="7246620" cy="291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-9117965</wp:posOffset>
            </wp:positionV>
            <wp:extent cx="7246620" cy="291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-8535670</wp:posOffset>
            </wp:positionV>
            <wp:extent cx="724662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-8073390</wp:posOffset>
            </wp:positionV>
            <wp:extent cx="7246620" cy="291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-7610475</wp:posOffset>
            </wp:positionV>
            <wp:extent cx="724662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-7268210</wp:posOffset>
            </wp:positionV>
            <wp:extent cx="724662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-6925310</wp:posOffset>
            </wp:positionV>
            <wp:extent cx="724662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-6583045</wp:posOffset>
            </wp:positionV>
            <wp:extent cx="7246620" cy="291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-6120130</wp:posOffset>
            </wp:positionV>
            <wp:extent cx="724662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-5777230</wp:posOffset>
            </wp:positionV>
            <wp:extent cx="724662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-5434965</wp:posOffset>
            </wp:positionV>
            <wp:extent cx="724662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-5092065</wp:posOffset>
            </wp:positionV>
            <wp:extent cx="724662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-4749800</wp:posOffset>
            </wp:positionV>
            <wp:extent cx="724662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-4406900</wp:posOffset>
            </wp:positionV>
            <wp:extent cx="724662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-4064635</wp:posOffset>
            </wp:positionV>
            <wp:extent cx="724662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-3721735</wp:posOffset>
            </wp:positionV>
            <wp:extent cx="724662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-3378835</wp:posOffset>
            </wp:positionV>
            <wp:extent cx="724662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-3036570</wp:posOffset>
            </wp:positionV>
            <wp:extent cx="724662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-2693670</wp:posOffset>
            </wp:positionV>
            <wp:extent cx="724662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-2351405</wp:posOffset>
            </wp:positionV>
            <wp:extent cx="724662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-1888490</wp:posOffset>
            </wp:positionV>
            <wp:extent cx="7246620" cy="291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-1306195</wp:posOffset>
            </wp:positionV>
            <wp:extent cx="7246620" cy="291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-723900</wp:posOffset>
            </wp:positionV>
            <wp:extent cx="7246620" cy="291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-140970</wp:posOffset>
            </wp:positionV>
            <wp:extent cx="724662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2">
            <w:col w:w="3880" w:space="160"/>
            <w:col w:w="7080"/>
          </w:cols>
          <w:pgMar w:left="240" w:top="140" w:right="539" w:bottom="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6"/>
        </w:trPr>
        <w:tc>
          <w:tcPr>
            <w:tcW w:w="920" w:type="dxa"/>
            <w:vAlign w:val="bottom"/>
          </w:tcPr>
          <w:p>
            <w:pPr>
              <w:jc w:val="center"/>
              <w:spacing w:after="0"/>
              <w:rPr>
                <w:sz w:val="20"/>
                <w:szCs w:val="20"/>
                <w:color w:val="auto"/>
              </w:rPr>
            </w:pPr>
            <w:r>
              <w:rPr>
                <w:rFonts w:ascii="Arial" w:cs="Arial" w:eastAsia="Arial" w:hAnsi="Arial"/>
                <w:sz w:val="16"/>
                <w:szCs w:val="16"/>
                <w:color w:val="auto"/>
                <w:w w:val="89"/>
              </w:rPr>
              <w:t>7/1/2005</w:t>
            </w:r>
          </w:p>
        </w:tc>
        <w:tc>
          <w:tcPr>
            <w:tcW w:w="1660" w:type="dxa"/>
            <w:vAlign w:val="bottom"/>
          </w:tcPr>
          <w:p>
            <w:pPr>
              <w:ind w:left="60"/>
              <w:spacing w:after="0"/>
              <w:rPr>
                <w:sz w:val="20"/>
                <w:szCs w:val="20"/>
                <w:color w:val="auto"/>
              </w:rPr>
            </w:pPr>
            <w:r>
              <w:rPr>
                <w:rFonts w:ascii="Arial" w:cs="Arial" w:eastAsia="Arial" w:hAnsi="Arial"/>
                <w:sz w:val="16"/>
                <w:szCs w:val="16"/>
                <w:color w:val="auto"/>
              </w:rPr>
              <w:t>Denver / W 96th Ave</w:t>
            </w:r>
          </w:p>
        </w:tc>
        <w:tc>
          <w:tcPr>
            <w:tcW w:w="560" w:type="dxa"/>
            <w:vAlign w:val="bottom"/>
          </w:tcPr>
          <w:p>
            <w:pPr>
              <w:ind w:left="180"/>
              <w:spacing w:after="0"/>
              <w:rPr>
                <w:sz w:val="20"/>
                <w:szCs w:val="20"/>
                <w:color w:val="auto"/>
              </w:rPr>
            </w:pPr>
            <w:r>
              <w:rPr>
                <w:rFonts w:ascii="Arial" w:cs="Arial" w:eastAsia="Arial" w:hAnsi="Arial"/>
                <w:sz w:val="16"/>
                <w:szCs w:val="16"/>
                <w:color w:val="auto"/>
              </w:rPr>
              <w:t>CO</w:t>
            </w: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3,417</w:t>
            </w:r>
          </w:p>
        </w:tc>
        <w:tc>
          <w:tcPr>
            <w:tcW w:w="920" w:type="dxa"/>
            <w:vAlign w:val="bottom"/>
          </w:tcPr>
          <w:p>
            <w:pPr>
              <w:jc w:val="center"/>
              <w:ind w:right="39"/>
              <w:spacing w:after="0"/>
              <w:rPr>
                <w:sz w:val="20"/>
                <w:szCs w:val="20"/>
                <w:color w:val="auto"/>
              </w:rPr>
            </w:pPr>
            <w:r>
              <w:rPr>
                <w:rFonts w:ascii="Arial" w:cs="Arial" w:eastAsia="Arial" w:hAnsi="Arial"/>
                <w:sz w:val="16"/>
                <w:szCs w:val="16"/>
                <w:color w:val="auto"/>
                <w:w w:val="89"/>
              </w:rPr>
              <w:t>368</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1,574</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528</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368</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2,102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2,470</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689</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7/18/2012</w:t>
            </w:r>
          </w:p>
        </w:tc>
        <w:tc>
          <w:tcPr>
            <w:tcW w:w="16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Fort Carson</w:t>
            </w:r>
          </w:p>
        </w:tc>
        <w:tc>
          <w:tcPr>
            <w:tcW w:w="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6,945</w:t>
            </w:r>
          </w:p>
        </w:tc>
        <w:tc>
          <w:tcPr>
            <w:tcW w:w="128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97"/>
              </w:rPr>
              <w:t>125</w:t>
            </w:r>
          </w:p>
        </w:tc>
        <w:tc>
          <w:tcPr>
            <w:tcW w:w="1280" w:type="dxa"/>
            <w:vAlign w:val="bottom"/>
            <w:tcBorders>
              <w:bottom w:val="single" w:sz="8" w:color="CCEEFF"/>
            </w:tcBorders>
            <w:shd w:val="clear" w:color="auto" w:fill="CCEEFF"/>
          </w:tcPr>
          <w:p>
            <w:pPr>
              <w:jc w:val="center"/>
              <w:ind w:left="159"/>
              <w:spacing w:after="0"/>
              <w:rPr>
                <w:sz w:val="20"/>
                <w:szCs w:val="20"/>
                <w:color w:val="auto"/>
              </w:rPr>
            </w:pPr>
            <w:r>
              <w:rPr>
                <w:rFonts w:ascii="Arial" w:cs="Arial" w:eastAsia="Arial" w:hAnsi="Arial"/>
                <w:sz w:val="16"/>
                <w:szCs w:val="16"/>
                <w:color w:val="auto"/>
                <w:w w:val="99"/>
              </w:rPr>
              <w:t>—</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7,070</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7,070</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835</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9/1/2006</w:t>
            </w:r>
          </w:p>
        </w:tc>
        <w:tc>
          <w:tcPr>
            <w:tcW w:w="1660" w:type="dxa"/>
            <w:vAlign w:val="bottom"/>
          </w:tcPr>
          <w:p>
            <w:pPr>
              <w:ind w:left="60"/>
              <w:spacing w:after="0"/>
              <w:rPr>
                <w:sz w:val="20"/>
                <w:szCs w:val="20"/>
                <w:color w:val="auto"/>
              </w:rPr>
            </w:pPr>
            <w:r>
              <w:rPr>
                <w:rFonts w:ascii="Arial" w:cs="Arial" w:eastAsia="Arial" w:hAnsi="Arial"/>
                <w:sz w:val="16"/>
                <w:szCs w:val="16"/>
                <w:color w:val="auto"/>
              </w:rPr>
              <w:t>Parker</w:t>
            </w:r>
          </w:p>
        </w:tc>
        <w:tc>
          <w:tcPr>
            <w:tcW w:w="560" w:type="dxa"/>
            <w:vAlign w:val="bottom"/>
          </w:tcPr>
          <w:p>
            <w:pPr>
              <w:ind w:left="180"/>
              <w:spacing w:after="0"/>
              <w:rPr>
                <w:sz w:val="20"/>
                <w:szCs w:val="20"/>
                <w:color w:val="auto"/>
              </w:rPr>
            </w:pPr>
            <w:r>
              <w:rPr>
                <w:rFonts w:ascii="Arial" w:cs="Arial" w:eastAsia="Arial" w:hAnsi="Arial"/>
                <w:sz w:val="16"/>
                <w:szCs w:val="16"/>
                <w:color w:val="auto"/>
              </w:rPr>
              <w:t>CO</w:t>
            </w: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6,919</w:t>
            </w:r>
          </w:p>
        </w:tc>
        <w:tc>
          <w:tcPr>
            <w:tcW w:w="920" w:type="dxa"/>
            <w:vAlign w:val="bottom"/>
          </w:tcPr>
          <w:p>
            <w:pPr>
              <w:jc w:val="center"/>
              <w:ind w:right="39"/>
              <w:spacing w:after="0"/>
              <w:rPr>
                <w:sz w:val="20"/>
                <w:szCs w:val="20"/>
                <w:color w:val="auto"/>
              </w:rPr>
            </w:pPr>
            <w:r>
              <w:rPr>
                <w:rFonts w:ascii="Arial" w:cs="Arial" w:eastAsia="Arial" w:hAnsi="Arial"/>
                <w:sz w:val="16"/>
                <w:szCs w:val="16"/>
                <w:color w:val="auto"/>
                <w:w w:val="89"/>
              </w:rPr>
              <w:t>800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4,549</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853</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800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5,402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6,202</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1,701</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9/15/2000</w:t>
            </w:r>
          </w:p>
        </w:tc>
        <w:tc>
          <w:tcPr>
            <w:tcW w:w="16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Thornton</w:t>
            </w:r>
          </w:p>
        </w:tc>
        <w:tc>
          <w:tcPr>
            <w:tcW w:w="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2,631</w:t>
            </w:r>
          </w:p>
        </w:tc>
        <w:tc>
          <w:tcPr>
            <w:tcW w:w="92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color w:val="auto"/>
                <w:w w:val="89"/>
              </w:rPr>
              <w:t>212</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2,044</w:t>
            </w:r>
          </w:p>
        </w:tc>
        <w:tc>
          <w:tcPr>
            <w:tcW w:w="128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94"/>
              </w:rPr>
              <w:t>1,169</w:t>
            </w:r>
          </w:p>
        </w:tc>
        <w:tc>
          <w:tcPr>
            <w:tcW w:w="1280" w:type="dxa"/>
            <w:vAlign w:val="bottom"/>
            <w:tcBorders>
              <w:bottom w:val="single" w:sz="8" w:color="CCEEFF"/>
            </w:tcBorders>
            <w:shd w:val="clear" w:color="auto" w:fill="CCEEFF"/>
          </w:tcPr>
          <w:p>
            <w:pPr>
              <w:jc w:val="center"/>
              <w:ind w:left="159"/>
              <w:spacing w:after="0"/>
              <w:rPr>
                <w:sz w:val="20"/>
                <w:szCs w:val="20"/>
                <w:color w:val="auto"/>
              </w:rPr>
            </w:pPr>
            <w:r>
              <w:rPr>
                <w:rFonts w:ascii="Arial" w:cs="Arial" w:eastAsia="Arial" w:hAnsi="Arial"/>
                <w:sz w:val="16"/>
                <w:szCs w:val="16"/>
                <w:color w:val="auto"/>
                <w:w w:val="89"/>
              </w:rPr>
              <w:t>248</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3,177</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3,425</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1,522</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9/15/2000</w:t>
            </w:r>
          </w:p>
        </w:tc>
        <w:tc>
          <w:tcPr>
            <w:tcW w:w="1660" w:type="dxa"/>
            <w:vAlign w:val="bottom"/>
          </w:tcPr>
          <w:p>
            <w:pPr>
              <w:ind w:left="60"/>
              <w:spacing w:after="0"/>
              <w:rPr>
                <w:sz w:val="20"/>
                <w:szCs w:val="20"/>
                <w:color w:val="auto"/>
              </w:rPr>
            </w:pPr>
            <w:r>
              <w:rPr>
                <w:rFonts w:ascii="Arial" w:cs="Arial" w:eastAsia="Arial" w:hAnsi="Arial"/>
                <w:sz w:val="16"/>
                <w:szCs w:val="16"/>
                <w:color w:val="auto"/>
              </w:rPr>
              <w:t>Westminster</w:t>
            </w:r>
          </w:p>
        </w:tc>
        <w:tc>
          <w:tcPr>
            <w:tcW w:w="560" w:type="dxa"/>
            <w:vAlign w:val="bottom"/>
          </w:tcPr>
          <w:p>
            <w:pPr>
              <w:ind w:left="180"/>
              <w:spacing w:after="0"/>
              <w:rPr>
                <w:sz w:val="20"/>
                <w:szCs w:val="20"/>
                <w:color w:val="auto"/>
              </w:rPr>
            </w:pPr>
            <w:r>
              <w:rPr>
                <w:rFonts w:ascii="Arial" w:cs="Arial" w:eastAsia="Arial" w:hAnsi="Arial"/>
                <w:sz w:val="16"/>
                <w:szCs w:val="16"/>
                <w:color w:val="auto"/>
              </w:rPr>
              <w:t>CO</w:t>
            </w: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1,985</w:t>
            </w:r>
          </w:p>
        </w:tc>
        <w:tc>
          <w:tcPr>
            <w:tcW w:w="920" w:type="dxa"/>
            <w:vAlign w:val="bottom"/>
          </w:tcPr>
          <w:p>
            <w:pPr>
              <w:jc w:val="center"/>
              <w:ind w:right="39"/>
              <w:spacing w:after="0"/>
              <w:rPr>
                <w:sz w:val="20"/>
                <w:szCs w:val="20"/>
                <w:color w:val="auto"/>
              </w:rPr>
            </w:pPr>
            <w:r>
              <w:rPr>
                <w:rFonts w:ascii="Arial" w:cs="Arial" w:eastAsia="Arial" w:hAnsi="Arial"/>
                <w:sz w:val="16"/>
                <w:szCs w:val="16"/>
                <w:color w:val="auto"/>
                <w:w w:val="89"/>
              </w:rPr>
              <w:t>291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1,586</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4"/>
              </w:rPr>
              <w:t>1,343</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299</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2,921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3,220</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1,485</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3/17/2014</w:t>
            </w:r>
          </w:p>
        </w:tc>
        <w:tc>
          <w:tcPr>
            <w:tcW w:w="16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Bridgeport</w:t>
            </w:r>
          </w:p>
        </w:tc>
        <w:tc>
          <w:tcPr>
            <w:tcW w:w="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CT</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color w:val="auto"/>
                <w:w w:val="89"/>
              </w:rPr>
              <w:t>1,072</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14,028</w:t>
            </w:r>
          </w:p>
        </w:tc>
        <w:tc>
          <w:tcPr>
            <w:tcW w:w="128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97"/>
              </w:rPr>
              <w:t>142</w:t>
            </w:r>
          </w:p>
        </w:tc>
        <w:tc>
          <w:tcPr>
            <w:tcW w:w="1280" w:type="dxa"/>
            <w:vAlign w:val="bottom"/>
            <w:tcBorders>
              <w:bottom w:val="single" w:sz="8" w:color="CCEEFF"/>
            </w:tcBorders>
            <w:shd w:val="clear" w:color="auto" w:fill="CCEEFF"/>
          </w:tcPr>
          <w:p>
            <w:pPr>
              <w:jc w:val="center"/>
              <w:ind w:left="159"/>
              <w:spacing w:after="0"/>
              <w:rPr>
                <w:sz w:val="20"/>
                <w:szCs w:val="20"/>
                <w:color w:val="auto"/>
              </w:rPr>
            </w:pPr>
            <w:r>
              <w:rPr>
                <w:rFonts w:ascii="Arial" w:cs="Arial" w:eastAsia="Arial" w:hAnsi="Arial"/>
                <w:sz w:val="16"/>
                <w:szCs w:val="16"/>
                <w:color w:val="auto"/>
                <w:w w:val="89"/>
              </w:rPr>
              <w:t>1,072</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14,170</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15,242</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1,027</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7/2/2012</w:t>
            </w:r>
          </w:p>
        </w:tc>
        <w:tc>
          <w:tcPr>
            <w:tcW w:w="1660" w:type="dxa"/>
            <w:vAlign w:val="bottom"/>
          </w:tcPr>
          <w:p>
            <w:pPr>
              <w:ind w:left="60"/>
              <w:spacing w:after="0"/>
              <w:rPr>
                <w:sz w:val="20"/>
                <w:szCs w:val="20"/>
                <w:color w:val="auto"/>
              </w:rPr>
            </w:pPr>
            <w:r>
              <w:rPr>
                <w:rFonts w:ascii="Arial" w:cs="Arial" w:eastAsia="Arial" w:hAnsi="Arial"/>
                <w:sz w:val="16"/>
                <w:szCs w:val="16"/>
                <w:color w:val="auto"/>
              </w:rPr>
              <w:t>Brookfield</w:t>
            </w:r>
          </w:p>
        </w:tc>
        <w:tc>
          <w:tcPr>
            <w:tcW w:w="560" w:type="dxa"/>
            <w:vAlign w:val="bottom"/>
          </w:tcPr>
          <w:p>
            <w:pPr>
              <w:ind w:left="200"/>
              <w:spacing w:after="0"/>
              <w:rPr>
                <w:sz w:val="20"/>
                <w:szCs w:val="20"/>
                <w:color w:val="auto"/>
              </w:rPr>
            </w:pPr>
            <w:r>
              <w:rPr>
                <w:rFonts w:ascii="Arial" w:cs="Arial" w:eastAsia="Arial" w:hAnsi="Arial"/>
                <w:sz w:val="16"/>
                <w:szCs w:val="16"/>
                <w:color w:val="auto"/>
              </w:rPr>
              <w:t>CT</w:t>
            </w: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4,919</w:t>
            </w:r>
          </w:p>
        </w:tc>
        <w:tc>
          <w:tcPr>
            <w:tcW w:w="920" w:type="dxa"/>
            <w:vAlign w:val="bottom"/>
          </w:tcPr>
          <w:p>
            <w:pPr>
              <w:jc w:val="center"/>
              <w:ind w:right="39"/>
              <w:spacing w:after="0"/>
              <w:rPr>
                <w:sz w:val="20"/>
                <w:szCs w:val="20"/>
                <w:color w:val="auto"/>
              </w:rPr>
            </w:pPr>
            <w:r>
              <w:rPr>
                <w:rFonts w:ascii="Arial" w:cs="Arial" w:eastAsia="Arial" w:hAnsi="Arial"/>
                <w:sz w:val="16"/>
                <w:szCs w:val="16"/>
                <w:color w:val="auto"/>
                <w:w w:val="89"/>
              </w:rPr>
              <w:t>991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7,891</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134</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991</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8,025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9,016</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960</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1/15/2004</w:t>
            </w:r>
          </w:p>
        </w:tc>
        <w:tc>
          <w:tcPr>
            <w:tcW w:w="16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Groton</w:t>
            </w:r>
          </w:p>
        </w:tc>
        <w:tc>
          <w:tcPr>
            <w:tcW w:w="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CT</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5,112</w:t>
            </w:r>
          </w:p>
        </w:tc>
        <w:tc>
          <w:tcPr>
            <w:tcW w:w="92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color w:val="auto"/>
                <w:w w:val="89"/>
              </w:rPr>
              <w:t>1,277</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3,992</w:t>
            </w:r>
          </w:p>
        </w:tc>
        <w:tc>
          <w:tcPr>
            <w:tcW w:w="128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97"/>
              </w:rPr>
              <w:t>463</w:t>
            </w:r>
          </w:p>
        </w:tc>
        <w:tc>
          <w:tcPr>
            <w:tcW w:w="1280" w:type="dxa"/>
            <w:vAlign w:val="bottom"/>
            <w:tcBorders>
              <w:bottom w:val="single" w:sz="8" w:color="CCEEFF"/>
            </w:tcBorders>
            <w:shd w:val="clear" w:color="auto" w:fill="CCEEFF"/>
          </w:tcPr>
          <w:p>
            <w:pPr>
              <w:jc w:val="center"/>
              <w:ind w:left="159"/>
              <w:spacing w:after="0"/>
              <w:rPr>
                <w:sz w:val="20"/>
                <w:szCs w:val="20"/>
                <w:color w:val="auto"/>
              </w:rPr>
            </w:pPr>
            <w:r>
              <w:rPr>
                <w:rFonts w:ascii="Arial" w:cs="Arial" w:eastAsia="Arial" w:hAnsi="Arial"/>
                <w:sz w:val="16"/>
                <w:szCs w:val="16"/>
                <w:color w:val="auto"/>
                <w:w w:val="89"/>
              </w:rPr>
              <w:t>1,276</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4,456</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5,732</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1,684</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12/31/2007</w:t>
            </w:r>
          </w:p>
        </w:tc>
        <w:tc>
          <w:tcPr>
            <w:tcW w:w="1660" w:type="dxa"/>
            <w:vAlign w:val="bottom"/>
          </w:tcPr>
          <w:p>
            <w:pPr>
              <w:ind w:left="60"/>
              <w:spacing w:after="0"/>
              <w:rPr>
                <w:sz w:val="20"/>
                <w:szCs w:val="20"/>
                <w:color w:val="auto"/>
              </w:rPr>
            </w:pPr>
            <w:r>
              <w:rPr>
                <w:rFonts w:ascii="Arial" w:cs="Arial" w:eastAsia="Arial" w:hAnsi="Arial"/>
                <w:sz w:val="16"/>
                <w:szCs w:val="16"/>
                <w:color w:val="auto"/>
              </w:rPr>
              <w:t>Middletown</w:t>
            </w:r>
          </w:p>
        </w:tc>
        <w:tc>
          <w:tcPr>
            <w:tcW w:w="560" w:type="dxa"/>
            <w:vAlign w:val="bottom"/>
          </w:tcPr>
          <w:p>
            <w:pPr>
              <w:ind w:left="200"/>
              <w:spacing w:after="0"/>
              <w:rPr>
                <w:sz w:val="20"/>
                <w:szCs w:val="20"/>
                <w:color w:val="auto"/>
              </w:rPr>
            </w:pPr>
            <w:r>
              <w:rPr>
                <w:rFonts w:ascii="Arial" w:cs="Arial" w:eastAsia="Arial" w:hAnsi="Arial"/>
                <w:sz w:val="16"/>
                <w:szCs w:val="16"/>
                <w:color w:val="auto"/>
              </w:rPr>
              <w:t>CT</w:t>
            </w: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2,653</w:t>
            </w:r>
          </w:p>
        </w:tc>
        <w:tc>
          <w:tcPr>
            <w:tcW w:w="920" w:type="dxa"/>
            <w:vAlign w:val="bottom"/>
          </w:tcPr>
          <w:p>
            <w:pPr>
              <w:jc w:val="center"/>
              <w:ind w:right="39"/>
              <w:spacing w:after="0"/>
              <w:rPr>
                <w:sz w:val="20"/>
                <w:szCs w:val="20"/>
                <w:color w:val="auto"/>
              </w:rPr>
            </w:pPr>
            <w:r>
              <w:rPr>
                <w:rFonts w:ascii="Arial" w:cs="Arial" w:eastAsia="Arial" w:hAnsi="Arial"/>
                <w:sz w:val="16"/>
                <w:szCs w:val="16"/>
                <w:color w:val="auto"/>
                <w:w w:val="89"/>
              </w:rPr>
              <w:t>932</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2,810</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225</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932</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3,035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3,967</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752</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11/4/2013</w:t>
            </w:r>
          </w:p>
        </w:tc>
        <w:tc>
          <w:tcPr>
            <w:tcW w:w="16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Newington</w:t>
            </w:r>
          </w:p>
        </w:tc>
        <w:tc>
          <w:tcPr>
            <w:tcW w:w="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CT</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2,282</w:t>
            </w:r>
          </w:p>
        </w:tc>
        <w:tc>
          <w:tcPr>
            <w:tcW w:w="92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color w:val="auto"/>
                <w:w w:val="89"/>
              </w:rPr>
              <w:t>1,363</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2,978</w:t>
            </w:r>
          </w:p>
        </w:tc>
        <w:tc>
          <w:tcPr>
            <w:tcW w:w="128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97"/>
              </w:rPr>
              <w:t>682</w:t>
            </w:r>
          </w:p>
        </w:tc>
        <w:tc>
          <w:tcPr>
            <w:tcW w:w="1280" w:type="dxa"/>
            <w:vAlign w:val="bottom"/>
            <w:tcBorders>
              <w:bottom w:val="single" w:sz="8" w:color="CCEEFF"/>
            </w:tcBorders>
            <w:shd w:val="clear" w:color="auto" w:fill="CCEEFF"/>
          </w:tcPr>
          <w:p>
            <w:pPr>
              <w:jc w:val="center"/>
              <w:ind w:left="159"/>
              <w:spacing w:after="0"/>
              <w:rPr>
                <w:sz w:val="20"/>
                <w:szCs w:val="20"/>
                <w:color w:val="auto"/>
              </w:rPr>
            </w:pPr>
            <w:r>
              <w:rPr>
                <w:rFonts w:ascii="Arial" w:cs="Arial" w:eastAsia="Arial" w:hAnsi="Arial"/>
                <w:sz w:val="16"/>
                <w:szCs w:val="16"/>
                <w:color w:val="auto"/>
                <w:w w:val="89"/>
              </w:rPr>
              <w:t>1,363</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3,660</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5,023</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335</w:t>
            </w:r>
          </w:p>
        </w:tc>
        <w:tc>
          <w:tcPr>
            <w:tcW w:w="0" w:type="dxa"/>
            <w:vAlign w:val="bottom"/>
          </w:tcPr>
          <w:p>
            <w:pPr>
              <w:spacing w:after="0"/>
              <w:rPr>
                <w:sz w:val="1"/>
                <w:szCs w:val="1"/>
                <w:color w:val="auto"/>
              </w:rPr>
            </w:pPr>
          </w:p>
        </w:tc>
      </w:tr>
      <w:tr>
        <w:trPr>
          <w:trHeight w:val="219"/>
        </w:trPr>
        <w:tc>
          <w:tcPr>
            <w:tcW w:w="920" w:type="dxa"/>
            <w:vAlign w:val="bottom"/>
            <w:vMerge w:val="restart"/>
          </w:tcPr>
          <w:p>
            <w:pPr>
              <w:jc w:val="center"/>
              <w:spacing w:after="0"/>
              <w:rPr>
                <w:sz w:val="20"/>
                <w:szCs w:val="20"/>
                <w:color w:val="auto"/>
              </w:rPr>
            </w:pPr>
            <w:r>
              <w:rPr>
                <w:rFonts w:ascii="Arial" w:cs="Arial" w:eastAsia="Arial" w:hAnsi="Arial"/>
                <w:sz w:val="16"/>
                <w:szCs w:val="16"/>
                <w:color w:val="auto"/>
                <w:w w:val="89"/>
              </w:rPr>
              <w:t>9/16/2016</w:t>
            </w:r>
          </w:p>
        </w:tc>
        <w:tc>
          <w:tcPr>
            <w:tcW w:w="1660" w:type="dxa"/>
            <w:vAlign w:val="bottom"/>
          </w:tcPr>
          <w:p>
            <w:pPr>
              <w:ind w:left="60"/>
              <w:spacing w:after="0"/>
              <w:rPr>
                <w:sz w:val="20"/>
                <w:szCs w:val="20"/>
                <w:color w:val="auto"/>
              </w:rPr>
            </w:pPr>
            <w:r>
              <w:rPr>
                <w:rFonts w:ascii="Arial" w:cs="Arial" w:eastAsia="Arial" w:hAnsi="Arial"/>
                <w:sz w:val="16"/>
                <w:szCs w:val="16"/>
                <w:color w:val="auto"/>
              </w:rPr>
              <w:t>Wethersfield / Olesen</w:t>
            </w:r>
          </w:p>
        </w:tc>
        <w:tc>
          <w:tcPr>
            <w:tcW w:w="560" w:type="dxa"/>
            <w:vAlign w:val="bottom"/>
            <w:vMerge w:val="restart"/>
          </w:tcPr>
          <w:p>
            <w:pPr>
              <w:ind w:left="200"/>
              <w:spacing w:after="0"/>
              <w:rPr>
                <w:sz w:val="20"/>
                <w:szCs w:val="20"/>
                <w:color w:val="auto"/>
              </w:rPr>
            </w:pPr>
            <w:r>
              <w:rPr>
                <w:rFonts w:ascii="Arial" w:cs="Arial" w:eastAsia="Arial" w:hAnsi="Arial"/>
                <w:sz w:val="16"/>
                <w:szCs w:val="16"/>
                <w:color w:val="auto"/>
              </w:rPr>
              <w:t>CT</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920" w:type="dxa"/>
            <w:vAlign w:val="bottom"/>
            <w:vMerge w:val="restart"/>
          </w:tcPr>
          <w:p>
            <w:pPr>
              <w:jc w:val="center"/>
              <w:ind w:right="39"/>
              <w:spacing w:after="0"/>
              <w:rPr>
                <w:sz w:val="20"/>
                <w:szCs w:val="20"/>
                <w:color w:val="auto"/>
              </w:rPr>
            </w:pPr>
            <w:r>
              <w:rPr>
                <w:rFonts w:ascii="Arial" w:cs="Arial" w:eastAsia="Arial" w:hAnsi="Arial"/>
                <w:sz w:val="16"/>
                <w:szCs w:val="16"/>
                <w:color w:val="auto"/>
                <w:w w:val="89"/>
              </w:rPr>
              <w:t>2,502</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89"/>
              </w:rPr>
              <w:t>7,588</w:t>
            </w:r>
          </w:p>
        </w:tc>
        <w:tc>
          <w:tcPr>
            <w:tcW w:w="1280" w:type="dxa"/>
            <w:vAlign w:val="bottom"/>
            <w:vMerge w:val="restart"/>
          </w:tcPr>
          <w:p>
            <w:pPr>
              <w:jc w:val="center"/>
              <w:ind w:right="119"/>
              <w:spacing w:after="0"/>
              <w:rPr>
                <w:sz w:val="20"/>
                <w:szCs w:val="20"/>
                <w:color w:val="auto"/>
              </w:rPr>
            </w:pPr>
            <w:r>
              <w:rPr>
                <w:rFonts w:ascii="Arial" w:cs="Arial" w:eastAsia="Arial" w:hAnsi="Arial"/>
                <w:sz w:val="16"/>
                <w:szCs w:val="16"/>
                <w:color w:val="auto"/>
                <w:w w:val="89"/>
              </w:rPr>
              <w:t>81</w:t>
            </w:r>
          </w:p>
        </w:tc>
        <w:tc>
          <w:tcPr>
            <w:tcW w:w="1280" w:type="dxa"/>
            <w:vAlign w:val="bottom"/>
            <w:vMerge w:val="restart"/>
          </w:tcPr>
          <w:p>
            <w:pPr>
              <w:jc w:val="center"/>
              <w:ind w:left="159"/>
              <w:spacing w:after="0"/>
              <w:rPr>
                <w:sz w:val="20"/>
                <w:szCs w:val="20"/>
                <w:color w:val="auto"/>
              </w:rPr>
            </w:pPr>
            <w:r>
              <w:rPr>
                <w:rFonts w:ascii="Arial" w:cs="Arial" w:eastAsia="Arial" w:hAnsi="Arial"/>
                <w:sz w:val="16"/>
                <w:szCs w:val="16"/>
                <w:color w:val="auto"/>
                <w:w w:val="89"/>
              </w:rPr>
              <w:t>2,502</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4"/>
              </w:rPr>
              <w:t>7,669</w:t>
            </w:r>
          </w:p>
        </w:tc>
        <w:tc>
          <w:tcPr>
            <w:tcW w:w="1000" w:type="dxa"/>
            <w:vAlign w:val="bottom"/>
            <w:vMerge w:val="restart"/>
          </w:tcPr>
          <w:p>
            <w:pPr>
              <w:jc w:val="center"/>
              <w:spacing w:after="0"/>
              <w:rPr>
                <w:sz w:val="20"/>
                <w:szCs w:val="20"/>
                <w:color w:val="auto"/>
              </w:rPr>
            </w:pPr>
            <w:r>
              <w:rPr>
                <w:rFonts w:ascii="Arial" w:cs="Arial" w:eastAsia="Arial" w:hAnsi="Arial"/>
                <w:sz w:val="16"/>
                <w:szCs w:val="16"/>
                <w:color w:val="auto"/>
                <w:w w:val="89"/>
              </w:rPr>
              <w:t>10,171</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89"/>
              </w:rPr>
              <w:t>66</w:t>
            </w:r>
          </w:p>
        </w:tc>
        <w:tc>
          <w:tcPr>
            <w:tcW w:w="0" w:type="dxa"/>
            <w:vAlign w:val="bottom"/>
          </w:tcPr>
          <w:p>
            <w:pPr>
              <w:spacing w:after="0"/>
              <w:rPr>
                <w:sz w:val="1"/>
                <w:szCs w:val="1"/>
                <w:color w:val="auto"/>
              </w:rPr>
            </w:pPr>
          </w:p>
        </w:tc>
      </w:tr>
      <w:tr>
        <w:trPr>
          <w:trHeight w:val="98"/>
        </w:trPr>
        <w:tc>
          <w:tcPr>
            <w:tcW w:w="920" w:type="dxa"/>
            <w:vAlign w:val="bottom"/>
            <w:vMerge w:val="continue"/>
          </w:tcPr>
          <w:p>
            <w:pPr>
              <w:spacing w:after="0"/>
              <w:rPr>
                <w:sz w:val="8"/>
                <w:szCs w:val="8"/>
                <w:color w:val="auto"/>
              </w:rPr>
            </w:pPr>
          </w:p>
        </w:tc>
        <w:tc>
          <w:tcPr>
            <w:tcW w:w="1660" w:type="dxa"/>
            <w:vAlign w:val="bottom"/>
            <w:vMerge w:val="restart"/>
          </w:tcPr>
          <w:p>
            <w:pPr>
              <w:ind w:left="60"/>
              <w:spacing w:after="0"/>
              <w:rPr>
                <w:sz w:val="20"/>
                <w:szCs w:val="20"/>
                <w:color w:val="auto"/>
              </w:rPr>
            </w:pPr>
            <w:r>
              <w:rPr>
                <w:rFonts w:ascii="Arial" w:cs="Arial" w:eastAsia="Arial" w:hAnsi="Arial"/>
                <w:sz w:val="16"/>
                <w:szCs w:val="16"/>
                <w:color w:val="auto"/>
              </w:rPr>
              <w:t>Rd</w:t>
            </w:r>
          </w:p>
        </w:tc>
        <w:tc>
          <w:tcPr>
            <w:tcW w:w="5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8/16/2002</w:t>
            </w:r>
          </w:p>
        </w:tc>
        <w:tc>
          <w:tcPr>
            <w:tcW w:w="1660" w:type="dxa"/>
            <w:vAlign w:val="bottom"/>
            <w:shd w:val="clear" w:color="auto" w:fill="CCEEFF"/>
          </w:tcPr>
          <w:p>
            <w:pPr>
              <w:ind w:left="60"/>
              <w:spacing w:after="0"/>
              <w:rPr>
                <w:sz w:val="20"/>
                <w:szCs w:val="20"/>
                <w:color w:val="auto"/>
              </w:rPr>
            </w:pPr>
            <w:r>
              <w:rPr>
                <w:rFonts w:ascii="Arial" w:cs="Arial" w:eastAsia="Arial" w:hAnsi="Arial"/>
                <w:sz w:val="16"/>
                <w:szCs w:val="16"/>
                <w:color w:val="auto"/>
              </w:rPr>
              <w:t>Wethersfield / Silas</w:t>
            </w:r>
          </w:p>
        </w:tc>
        <w:tc>
          <w:tcPr>
            <w:tcW w:w="560" w:type="dxa"/>
            <w:vAlign w:val="bottom"/>
            <w:vMerge w:val="restart"/>
            <w:shd w:val="clear" w:color="auto" w:fill="CCEEFF"/>
          </w:tcPr>
          <w:p>
            <w:pPr>
              <w:ind w:left="200"/>
              <w:spacing w:after="0"/>
              <w:rPr>
                <w:sz w:val="20"/>
                <w:szCs w:val="20"/>
                <w:color w:val="auto"/>
              </w:rPr>
            </w:pPr>
            <w:r>
              <w:rPr>
                <w:rFonts w:ascii="Arial" w:cs="Arial" w:eastAsia="Arial" w:hAnsi="Arial"/>
                <w:sz w:val="16"/>
                <w:szCs w:val="16"/>
                <w:color w:val="auto"/>
              </w:rPr>
              <w:t>CT</w:t>
            </w: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6,533</w:t>
            </w:r>
          </w:p>
        </w:tc>
        <w:tc>
          <w:tcPr>
            <w:tcW w:w="920" w:type="dxa"/>
            <w:vAlign w:val="bottom"/>
            <w:vMerge w:val="restart"/>
            <w:shd w:val="clear" w:color="auto" w:fill="CCEEFF"/>
          </w:tcPr>
          <w:p>
            <w:pPr>
              <w:jc w:val="center"/>
              <w:ind w:right="39"/>
              <w:spacing w:after="0"/>
              <w:rPr>
                <w:sz w:val="20"/>
                <w:szCs w:val="20"/>
                <w:color w:val="auto"/>
              </w:rPr>
            </w:pPr>
            <w:r>
              <w:rPr>
                <w:rFonts w:ascii="Arial" w:cs="Arial" w:eastAsia="Arial" w:hAnsi="Arial"/>
                <w:sz w:val="16"/>
                <w:szCs w:val="16"/>
                <w:color w:val="auto"/>
                <w:w w:val="89"/>
              </w:rPr>
              <w:t>709</w:t>
            </w: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4,205</w:t>
            </w:r>
          </w:p>
        </w:tc>
        <w:tc>
          <w:tcPr>
            <w:tcW w:w="1280" w:type="dxa"/>
            <w:vAlign w:val="bottom"/>
            <w:vMerge w:val="restart"/>
            <w:shd w:val="clear" w:color="auto" w:fill="CCEEFF"/>
          </w:tcPr>
          <w:p>
            <w:pPr>
              <w:jc w:val="center"/>
              <w:ind w:right="99"/>
              <w:spacing w:after="0"/>
              <w:rPr>
                <w:sz w:val="20"/>
                <w:szCs w:val="20"/>
                <w:color w:val="auto"/>
              </w:rPr>
            </w:pPr>
            <w:r>
              <w:rPr>
                <w:rFonts w:ascii="Arial" w:cs="Arial" w:eastAsia="Arial" w:hAnsi="Arial"/>
                <w:sz w:val="16"/>
                <w:szCs w:val="16"/>
                <w:color w:val="auto"/>
                <w:w w:val="97"/>
              </w:rPr>
              <w:t>231</w:t>
            </w:r>
          </w:p>
        </w:tc>
        <w:tc>
          <w:tcPr>
            <w:tcW w:w="1280" w:type="dxa"/>
            <w:vAlign w:val="bottom"/>
            <w:vMerge w:val="restart"/>
            <w:shd w:val="clear" w:color="auto" w:fill="CCEEFF"/>
          </w:tcPr>
          <w:p>
            <w:pPr>
              <w:jc w:val="center"/>
              <w:ind w:left="159"/>
              <w:spacing w:after="0"/>
              <w:rPr>
                <w:sz w:val="20"/>
                <w:szCs w:val="20"/>
                <w:color w:val="auto"/>
              </w:rPr>
            </w:pPr>
            <w:r>
              <w:rPr>
                <w:rFonts w:ascii="Arial" w:cs="Arial" w:eastAsia="Arial" w:hAnsi="Arial"/>
                <w:sz w:val="16"/>
                <w:szCs w:val="16"/>
                <w:color w:val="auto"/>
                <w:w w:val="89"/>
              </w:rPr>
              <w:t>709</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4"/>
              </w:rPr>
              <w:t>4,436</w:t>
            </w: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5,145</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1,701</w:t>
            </w:r>
          </w:p>
        </w:tc>
        <w:tc>
          <w:tcPr>
            <w:tcW w:w="0" w:type="dxa"/>
            <w:vAlign w:val="bottom"/>
          </w:tcPr>
          <w:p>
            <w:pPr>
              <w:spacing w:after="0"/>
              <w:rPr>
                <w:sz w:val="1"/>
                <w:szCs w:val="1"/>
                <w:color w:val="auto"/>
              </w:rPr>
            </w:pPr>
          </w:p>
        </w:tc>
      </w:tr>
      <w:tr>
        <w:trPr>
          <w:trHeight w:val="98"/>
        </w:trPr>
        <w:tc>
          <w:tcPr>
            <w:tcW w:w="920" w:type="dxa"/>
            <w:vAlign w:val="bottom"/>
            <w:vMerge w:val="continue"/>
            <w:shd w:val="clear" w:color="auto" w:fill="CCEEFF"/>
          </w:tcPr>
          <w:p>
            <w:pPr>
              <w:spacing w:after="0"/>
              <w:rPr>
                <w:sz w:val="8"/>
                <w:szCs w:val="8"/>
                <w:color w:val="auto"/>
              </w:rPr>
            </w:pPr>
          </w:p>
        </w:tc>
        <w:tc>
          <w:tcPr>
            <w:tcW w:w="1660" w:type="dxa"/>
            <w:vAlign w:val="bottom"/>
            <w:vMerge w:val="restart"/>
            <w:shd w:val="clear" w:color="auto" w:fill="CCEEFF"/>
          </w:tcPr>
          <w:p>
            <w:pPr>
              <w:ind w:left="60"/>
              <w:spacing w:after="0"/>
              <w:rPr>
                <w:sz w:val="20"/>
                <w:szCs w:val="20"/>
                <w:color w:val="auto"/>
              </w:rPr>
            </w:pPr>
            <w:r>
              <w:rPr>
                <w:rFonts w:ascii="Arial" w:cs="Arial" w:eastAsia="Arial" w:hAnsi="Arial"/>
                <w:sz w:val="16"/>
                <w:szCs w:val="16"/>
                <w:color w:val="auto"/>
              </w:rPr>
              <w:t>Deane Hwy</w:t>
            </w:r>
          </w:p>
        </w:tc>
        <w:tc>
          <w:tcPr>
            <w:tcW w:w="56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280" w:type="dxa"/>
            <w:vAlign w:val="bottom"/>
            <w:vMerge w:val="continue"/>
            <w:shd w:val="clear" w:color="auto" w:fill="CCEEFF"/>
          </w:tcPr>
          <w:p>
            <w:pPr>
              <w:spacing w:after="0"/>
              <w:rPr>
                <w:sz w:val="8"/>
                <w:szCs w:val="8"/>
                <w:color w:val="auto"/>
              </w:rPr>
            </w:pPr>
          </w:p>
        </w:tc>
        <w:tc>
          <w:tcPr>
            <w:tcW w:w="1280" w:type="dxa"/>
            <w:vAlign w:val="bottom"/>
            <w:vMerge w:val="continue"/>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920" w:type="dxa"/>
            <w:vAlign w:val="bottom"/>
            <w:tcBorders>
              <w:bottom w:val="single" w:sz="8" w:color="CCEEFF"/>
            </w:tcBorders>
            <w:shd w:val="clear" w:color="auto" w:fill="CCEEFF"/>
          </w:tcPr>
          <w:p>
            <w:pPr>
              <w:spacing w:after="0"/>
              <w:rPr>
                <w:sz w:val="10"/>
                <w:szCs w:val="10"/>
                <w:color w:val="auto"/>
              </w:rPr>
            </w:pPr>
          </w:p>
        </w:tc>
        <w:tc>
          <w:tcPr>
            <w:tcW w:w="1660" w:type="dxa"/>
            <w:vAlign w:val="bottom"/>
            <w:tcBorders>
              <w:bottom w:val="single" w:sz="8" w:color="CCEEFF"/>
            </w:tcBorders>
            <w:vMerge w:val="continue"/>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shd w:val="clear" w:color="auto" w:fill="CCEEFF"/>
          </w:tcPr>
          <w:p>
            <w:pPr>
              <w:spacing w:after="0"/>
              <w:rPr>
                <w:sz w:val="10"/>
                <w:szCs w:val="10"/>
                <w:color w:val="auto"/>
              </w:rPr>
            </w:pPr>
          </w:p>
        </w:tc>
        <w:tc>
          <w:tcPr>
            <w:tcW w:w="1280" w:type="dxa"/>
            <w:vAlign w:val="bottom"/>
            <w:tcBorders>
              <w:bottom w:val="single" w:sz="8" w:color="CCEEFF"/>
            </w:tcBorders>
            <w:shd w:val="clear" w:color="auto" w:fill="CCEEFF"/>
          </w:tcPr>
          <w:p>
            <w:pPr>
              <w:spacing w:after="0"/>
              <w:rPr>
                <w:sz w:val="10"/>
                <w:szCs w:val="10"/>
                <w:color w:val="auto"/>
              </w:rPr>
            </w:pPr>
          </w:p>
        </w:tc>
        <w:tc>
          <w:tcPr>
            <w:tcW w:w="1280" w:type="dxa"/>
            <w:vAlign w:val="bottom"/>
            <w:tcBorders>
              <w:bottom w:val="single" w:sz="8" w:color="CCEEFF"/>
            </w:tcBorders>
            <w:shd w:val="clear" w:color="auto" w:fill="CCEEFF"/>
          </w:tcPr>
          <w:p>
            <w:pPr>
              <w:spacing w:after="0"/>
              <w:rPr>
                <w:sz w:val="10"/>
                <w:szCs w:val="10"/>
                <w:color w:val="auto"/>
              </w:rPr>
            </w:pPr>
          </w:p>
        </w:tc>
        <w:tc>
          <w:tcPr>
            <w:tcW w:w="106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5/5/2016</w:t>
            </w:r>
          </w:p>
        </w:tc>
        <w:tc>
          <w:tcPr>
            <w:tcW w:w="1660" w:type="dxa"/>
            <w:vAlign w:val="bottom"/>
          </w:tcPr>
          <w:p>
            <w:pPr>
              <w:ind w:left="60"/>
              <w:spacing w:after="0"/>
              <w:rPr>
                <w:sz w:val="20"/>
                <w:szCs w:val="20"/>
                <w:color w:val="auto"/>
              </w:rPr>
            </w:pPr>
            <w:r>
              <w:rPr>
                <w:rFonts w:ascii="Arial" w:cs="Arial" w:eastAsia="Arial" w:hAnsi="Arial"/>
                <w:sz w:val="16"/>
                <w:szCs w:val="16"/>
                <w:color w:val="auto"/>
              </w:rPr>
              <w:t>Washington</w:t>
            </w:r>
          </w:p>
        </w:tc>
        <w:tc>
          <w:tcPr>
            <w:tcW w:w="560" w:type="dxa"/>
            <w:vAlign w:val="bottom"/>
          </w:tcPr>
          <w:p>
            <w:pPr>
              <w:ind w:left="180"/>
              <w:spacing w:after="0"/>
              <w:rPr>
                <w:sz w:val="20"/>
                <w:szCs w:val="20"/>
                <w:color w:val="auto"/>
              </w:rPr>
            </w:pPr>
            <w:r>
              <w:rPr>
                <w:rFonts w:ascii="Arial" w:cs="Arial" w:eastAsia="Arial" w:hAnsi="Arial"/>
                <w:sz w:val="16"/>
                <w:szCs w:val="16"/>
                <w:color w:val="auto"/>
              </w:rPr>
              <w:t>DC</w:t>
            </w: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9,559</w:t>
            </w:r>
          </w:p>
        </w:tc>
        <w:tc>
          <w:tcPr>
            <w:tcW w:w="920" w:type="dxa"/>
            <w:vAlign w:val="bottom"/>
          </w:tcPr>
          <w:p>
            <w:pPr>
              <w:jc w:val="center"/>
              <w:ind w:right="39"/>
              <w:spacing w:after="0"/>
              <w:rPr>
                <w:sz w:val="20"/>
                <w:szCs w:val="20"/>
                <w:color w:val="auto"/>
              </w:rPr>
            </w:pPr>
            <w:r>
              <w:rPr>
                <w:rFonts w:ascii="Arial" w:cs="Arial" w:eastAsia="Arial" w:hAnsi="Arial"/>
                <w:sz w:val="16"/>
                <w:szCs w:val="16"/>
                <w:color w:val="auto"/>
                <w:w w:val="89"/>
              </w:rPr>
              <w:t>14,394</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18,172</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216</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14,394</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18,388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32,782</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319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30"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2"/>
        </w:trPr>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acquired</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9"/>
              </w:rPr>
              <w:t>or</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development</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completed</w:t>
            </w:r>
          </w:p>
        </w:tc>
        <w:tc>
          <w:tcPr>
            <w:tcW w:w="1620" w:type="dxa"/>
            <w:vAlign w:val="bottom"/>
          </w:tcPr>
          <w:p>
            <w:pPr>
              <w:ind w:left="400"/>
              <w:spacing w:after="0"/>
              <w:rPr>
                <w:sz w:val="20"/>
                <w:szCs w:val="20"/>
                <w:color w:val="auto"/>
              </w:rPr>
            </w:pPr>
            <w:r>
              <w:rPr>
                <w:rFonts w:ascii="Arial" w:cs="Arial" w:eastAsia="Arial" w:hAnsi="Arial"/>
                <w:sz w:val="16"/>
                <w:szCs w:val="16"/>
                <w:b w:val="1"/>
                <w:bCs w:val="1"/>
                <w:color w:val="auto"/>
              </w:rPr>
              <w:t>Store Name</w:t>
            </w:r>
          </w:p>
        </w:tc>
        <w:tc>
          <w:tcPr>
            <w:tcW w:w="0" w:type="dxa"/>
            <w:vAlign w:val="bottom"/>
          </w:tcPr>
          <w:p>
            <w:pPr>
              <w:spacing w:after="0"/>
              <w:rPr>
                <w:sz w:val="1"/>
                <w:szCs w:val="1"/>
                <w:color w:val="auto"/>
              </w:rPr>
            </w:pPr>
          </w:p>
        </w:tc>
      </w:tr>
      <w:tr>
        <w:trPr>
          <w:trHeight w:val="33"/>
        </w:trPr>
        <w:tc>
          <w:tcPr>
            <w:tcW w:w="9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11/19/2015</w:t>
            </w:r>
          </w:p>
        </w:tc>
        <w:tc>
          <w:tcPr>
            <w:tcW w:w="1620" w:type="dxa"/>
            <w:vAlign w:val="bottom"/>
          </w:tcPr>
          <w:p>
            <w:pPr>
              <w:ind w:left="20"/>
              <w:spacing w:after="0"/>
              <w:rPr>
                <w:sz w:val="20"/>
                <w:szCs w:val="20"/>
                <w:color w:val="auto"/>
              </w:rPr>
            </w:pPr>
            <w:r>
              <w:rPr>
                <w:rFonts w:ascii="Arial" w:cs="Arial" w:eastAsia="Arial" w:hAnsi="Arial"/>
                <w:sz w:val="16"/>
                <w:szCs w:val="16"/>
                <w:color w:val="auto"/>
              </w:rPr>
              <w:t>Apopka / Park Ave</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11/19/2015</w:t>
            </w:r>
          </w:p>
        </w:tc>
        <w:tc>
          <w:tcPr>
            <w:tcW w:w="1620" w:type="dxa"/>
            <w:vAlign w:val="bottom"/>
          </w:tcPr>
          <w:p>
            <w:pPr>
              <w:ind w:left="20"/>
              <w:spacing w:after="0"/>
              <w:rPr>
                <w:sz w:val="20"/>
                <w:szCs w:val="20"/>
                <w:color w:val="auto"/>
              </w:rPr>
            </w:pPr>
            <w:r>
              <w:rPr>
                <w:rFonts w:ascii="Arial" w:cs="Arial" w:eastAsia="Arial" w:hAnsi="Arial"/>
                <w:sz w:val="16"/>
                <w:szCs w:val="16"/>
                <w:color w:val="auto"/>
                <w:w w:val="93"/>
              </w:rPr>
              <w:t>Apopka / Semoran Blvd</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5/2/2012</w:t>
            </w:r>
          </w:p>
        </w:tc>
        <w:tc>
          <w:tcPr>
            <w:tcW w:w="1620" w:type="dxa"/>
            <w:vAlign w:val="bottom"/>
          </w:tcPr>
          <w:p>
            <w:pPr>
              <w:ind w:left="20"/>
              <w:spacing w:after="0"/>
              <w:rPr>
                <w:sz w:val="20"/>
                <w:szCs w:val="20"/>
                <w:color w:val="auto"/>
              </w:rPr>
            </w:pPr>
            <w:r>
              <w:rPr>
                <w:rFonts w:ascii="Arial" w:cs="Arial" w:eastAsia="Arial" w:hAnsi="Arial"/>
                <w:sz w:val="16"/>
                <w:szCs w:val="16"/>
                <w:color w:val="auto"/>
              </w:rPr>
              <w:t>Auburndale</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7/15/2009</w:t>
            </w:r>
          </w:p>
        </w:tc>
        <w:tc>
          <w:tcPr>
            <w:tcW w:w="1620" w:type="dxa"/>
            <w:vAlign w:val="bottom"/>
          </w:tcPr>
          <w:p>
            <w:pPr>
              <w:ind w:left="20"/>
              <w:spacing w:after="0"/>
              <w:rPr>
                <w:sz w:val="20"/>
                <w:szCs w:val="20"/>
                <w:color w:val="auto"/>
              </w:rPr>
            </w:pPr>
            <w:r>
              <w:rPr>
                <w:rFonts w:ascii="Arial" w:cs="Arial" w:eastAsia="Arial" w:hAnsi="Arial"/>
                <w:sz w:val="16"/>
                <w:szCs w:val="16"/>
                <w:color w:val="auto"/>
              </w:rPr>
              <w:t>Bonita Springs</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12/23/2014</w:t>
            </w:r>
          </w:p>
        </w:tc>
        <w:tc>
          <w:tcPr>
            <w:tcW w:w="1620" w:type="dxa"/>
            <w:vAlign w:val="bottom"/>
          </w:tcPr>
          <w:p>
            <w:pPr>
              <w:ind w:left="20"/>
              <w:spacing w:after="0"/>
              <w:rPr>
                <w:sz w:val="20"/>
                <w:szCs w:val="20"/>
                <w:color w:val="auto"/>
              </w:rPr>
            </w:pPr>
            <w:r>
              <w:rPr>
                <w:rFonts w:ascii="Arial" w:cs="Arial" w:eastAsia="Arial" w:hAnsi="Arial"/>
                <w:sz w:val="16"/>
                <w:szCs w:val="16"/>
                <w:color w:val="auto"/>
              </w:rPr>
              <w:t>Bradenton</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11/30/2012</w:t>
            </w:r>
          </w:p>
        </w:tc>
        <w:tc>
          <w:tcPr>
            <w:tcW w:w="1620" w:type="dxa"/>
            <w:vAlign w:val="bottom"/>
          </w:tcPr>
          <w:p>
            <w:pPr>
              <w:ind w:left="20"/>
              <w:spacing w:after="0"/>
              <w:rPr>
                <w:sz w:val="20"/>
                <w:szCs w:val="20"/>
                <w:color w:val="auto"/>
              </w:rPr>
            </w:pPr>
            <w:r>
              <w:rPr>
                <w:rFonts w:ascii="Arial" w:cs="Arial" w:eastAsia="Arial" w:hAnsi="Arial"/>
                <w:sz w:val="16"/>
                <w:szCs w:val="16"/>
                <w:color w:val="auto"/>
              </w:rPr>
              <w:t>Brandon</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6/19/2008</w:t>
            </w:r>
          </w:p>
        </w:tc>
        <w:tc>
          <w:tcPr>
            <w:tcW w:w="1620" w:type="dxa"/>
            <w:vAlign w:val="bottom"/>
          </w:tcPr>
          <w:p>
            <w:pPr>
              <w:ind w:left="20"/>
              <w:spacing w:after="0"/>
              <w:rPr>
                <w:sz w:val="20"/>
                <w:szCs w:val="20"/>
                <w:color w:val="auto"/>
              </w:rPr>
            </w:pPr>
            <w:r>
              <w:rPr>
                <w:rFonts w:ascii="Arial" w:cs="Arial" w:eastAsia="Arial" w:hAnsi="Arial"/>
                <w:sz w:val="16"/>
                <w:szCs w:val="16"/>
                <w:color w:val="auto"/>
              </w:rPr>
              <w:t>Coral Springs</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620" w:type="dxa"/>
            <w:vAlign w:val="bottom"/>
          </w:tcPr>
          <w:p>
            <w:pPr>
              <w:ind w:left="20"/>
              <w:spacing w:after="0"/>
              <w:rPr>
                <w:sz w:val="20"/>
                <w:szCs w:val="20"/>
                <w:color w:val="auto"/>
              </w:rPr>
            </w:pPr>
            <w:r>
              <w:rPr>
                <w:rFonts w:ascii="Arial" w:cs="Arial" w:eastAsia="Arial" w:hAnsi="Arial"/>
                <w:sz w:val="16"/>
                <w:szCs w:val="16"/>
                <w:color w:val="auto"/>
              </w:rPr>
              <w:t>Davie</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1/6/2006</w:t>
            </w:r>
          </w:p>
        </w:tc>
        <w:tc>
          <w:tcPr>
            <w:tcW w:w="1620" w:type="dxa"/>
            <w:vAlign w:val="bottom"/>
          </w:tcPr>
          <w:p>
            <w:pPr>
              <w:ind w:left="20"/>
              <w:spacing w:after="0"/>
              <w:rPr>
                <w:sz w:val="20"/>
                <w:szCs w:val="20"/>
                <w:color w:val="auto"/>
              </w:rPr>
            </w:pPr>
            <w:r>
              <w:rPr>
                <w:rFonts w:ascii="Arial" w:cs="Arial" w:eastAsia="Arial" w:hAnsi="Arial"/>
                <w:sz w:val="16"/>
                <w:szCs w:val="16"/>
                <w:color w:val="auto"/>
              </w:rPr>
              <w:t>Deland</w:t>
            </w:r>
          </w:p>
        </w:tc>
        <w:tc>
          <w:tcPr>
            <w:tcW w:w="0" w:type="dxa"/>
            <w:vAlign w:val="bottom"/>
          </w:tcPr>
          <w:p>
            <w:pPr>
              <w:spacing w:after="0"/>
              <w:rPr>
                <w:sz w:val="1"/>
                <w:szCs w:val="1"/>
                <w:color w:val="auto"/>
              </w:rPr>
            </w:pPr>
          </w:p>
        </w:tc>
      </w:tr>
      <w:tr>
        <w:trPr>
          <w:trHeight w:val="31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11/30/2012</w:t>
            </w:r>
          </w:p>
        </w:tc>
        <w:tc>
          <w:tcPr>
            <w:tcW w:w="1620" w:type="dxa"/>
            <w:vAlign w:val="bottom"/>
          </w:tcPr>
          <w:p>
            <w:pPr>
              <w:ind w:left="20"/>
              <w:spacing w:after="0"/>
              <w:rPr>
                <w:sz w:val="20"/>
                <w:szCs w:val="20"/>
                <w:color w:val="auto"/>
              </w:rPr>
            </w:pPr>
            <w:r>
              <w:rPr>
                <w:rFonts w:ascii="Arial" w:cs="Arial" w:eastAsia="Arial" w:hAnsi="Arial"/>
                <w:sz w:val="16"/>
                <w:szCs w:val="16"/>
                <w:color w:val="auto"/>
              </w:rPr>
              <w:t>Fort Lauderdale /</w:t>
            </w:r>
          </w:p>
        </w:tc>
        <w:tc>
          <w:tcPr>
            <w:tcW w:w="0" w:type="dxa"/>
            <w:vAlign w:val="bottom"/>
          </w:tcPr>
          <w:p>
            <w:pPr>
              <w:spacing w:after="0"/>
              <w:rPr>
                <w:sz w:val="1"/>
                <w:szCs w:val="1"/>
                <w:color w:val="auto"/>
              </w:rPr>
            </w:pPr>
          </w:p>
        </w:tc>
      </w:tr>
      <w:tr>
        <w:trPr>
          <w:trHeight w:val="206"/>
        </w:trPr>
        <w:tc>
          <w:tcPr>
            <w:tcW w:w="960" w:type="dxa"/>
            <w:vAlign w:val="bottom"/>
          </w:tcPr>
          <w:p>
            <w:pPr>
              <w:spacing w:after="0"/>
              <w:rPr>
                <w:sz w:val="17"/>
                <w:szCs w:val="17"/>
                <w:color w:val="auto"/>
              </w:rPr>
            </w:pPr>
          </w:p>
        </w:tc>
        <w:tc>
          <w:tcPr>
            <w:tcW w:w="1620" w:type="dxa"/>
            <w:vAlign w:val="bottom"/>
          </w:tcPr>
          <w:p>
            <w:pPr>
              <w:ind w:left="20"/>
              <w:spacing w:after="0"/>
              <w:rPr>
                <w:sz w:val="20"/>
                <w:szCs w:val="20"/>
                <w:color w:val="auto"/>
              </w:rPr>
            </w:pPr>
            <w:r>
              <w:rPr>
                <w:rFonts w:ascii="Arial" w:cs="Arial" w:eastAsia="Arial" w:hAnsi="Arial"/>
                <w:sz w:val="16"/>
                <w:szCs w:val="16"/>
                <w:color w:val="auto"/>
              </w:rPr>
              <w:t>Commercial Blvd</w:t>
            </w:r>
          </w:p>
        </w:tc>
        <w:tc>
          <w:tcPr>
            <w:tcW w:w="0" w:type="dxa"/>
            <w:vAlign w:val="bottom"/>
          </w:tcPr>
          <w:p>
            <w:pPr>
              <w:spacing w:after="0"/>
              <w:rPr>
                <w:sz w:val="1"/>
                <w:szCs w:val="1"/>
                <w:color w:val="auto"/>
              </w:rPr>
            </w:pPr>
          </w:p>
        </w:tc>
      </w:tr>
      <w:tr>
        <w:trPr>
          <w:trHeight w:val="20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8/26/2004</w:t>
            </w:r>
          </w:p>
        </w:tc>
        <w:tc>
          <w:tcPr>
            <w:tcW w:w="1620" w:type="dxa"/>
            <w:vAlign w:val="bottom"/>
          </w:tcPr>
          <w:p>
            <w:pPr>
              <w:ind w:left="20"/>
              <w:spacing w:after="0"/>
              <w:rPr>
                <w:sz w:val="20"/>
                <w:szCs w:val="20"/>
                <w:color w:val="auto"/>
              </w:rPr>
            </w:pPr>
            <w:r>
              <w:rPr>
                <w:rFonts w:ascii="Arial" w:cs="Arial" w:eastAsia="Arial" w:hAnsi="Arial"/>
                <w:sz w:val="16"/>
                <w:szCs w:val="16"/>
                <w:color w:val="auto"/>
              </w:rPr>
              <w:t>Fort Lauderdale / NW</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20" w:type="dxa"/>
            <w:vAlign w:val="bottom"/>
            <w:vMerge w:val="restart"/>
          </w:tcPr>
          <w:p>
            <w:pPr>
              <w:ind w:left="20"/>
              <w:spacing w:after="0"/>
              <w:rPr>
                <w:sz w:val="20"/>
                <w:szCs w:val="20"/>
                <w:color w:val="auto"/>
              </w:rPr>
            </w:pPr>
            <w:r>
              <w:rPr>
                <w:rFonts w:ascii="Arial" w:cs="Arial" w:eastAsia="Arial" w:hAnsi="Arial"/>
                <w:sz w:val="16"/>
                <w:szCs w:val="16"/>
                <w:color w:val="auto"/>
              </w:rPr>
              <w:t>31st Ave</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5/4/2011</w:t>
            </w:r>
          </w:p>
        </w:tc>
        <w:tc>
          <w:tcPr>
            <w:tcW w:w="1620" w:type="dxa"/>
            <w:vAlign w:val="bottom"/>
          </w:tcPr>
          <w:p>
            <w:pPr>
              <w:ind w:left="20"/>
              <w:spacing w:after="0"/>
              <w:rPr>
                <w:sz w:val="20"/>
                <w:szCs w:val="20"/>
                <w:color w:val="auto"/>
              </w:rPr>
            </w:pPr>
            <w:r>
              <w:rPr>
                <w:rFonts w:ascii="Arial" w:cs="Arial" w:eastAsia="Arial" w:hAnsi="Arial"/>
                <w:sz w:val="16"/>
                <w:szCs w:val="16"/>
                <w:color w:val="auto"/>
              </w:rPr>
              <w:t>Fort Lauderdale / S</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20" w:type="dxa"/>
            <w:vAlign w:val="bottom"/>
            <w:vMerge w:val="restart"/>
          </w:tcPr>
          <w:p>
            <w:pPr>
              <w:ind w:left="20"/>
              <w:spacing w:after="0"/>
              <w:rPr>
                <w:sz w:val="20"/>
                <w:szCs w:val="20"/>
                <w:color w:val="auto"/>
              </w:rPr>
            </w:pPr>
            <w:r>
              <w:rPr>
                <w:rFonts w:ascii="Arial" w:cs="Arial" w:eastAsia="Arial" w:hAnsi="Arial"/>
                <w:sz w:val="16"/>
                <w:szCs w:val="16"/>
                <w:color w:val="auto"/>
              </w:rPr>
              <w:t>State Rd 7</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8/26/2004</w:t>
            </w:r>
          </w:p>
        </w:tc>
        <w:tc>
          <w:tcPr>
            <w:tcW w:w="1620" w:type="dxa"/>
            <w:vAlign w:val="bottom"/>
          </w:tcPr>
          <w:p>
            <w:pPr>
              <w:ind w:left="20"/>
              <w:spacing w:after="0"/>
              <w:rPr>
                <w:sz w:val="20"/>
                <w:szCs w:val="20"/>
                <w:color w:val="auto"/>
              </w:rPr>
            </w:pPr>
            <w:r>
              <w:rPr>
                <w:rFonts w:ascii="Arial" w:cs="Arial" w:eastAsia="Arial" w:hAnsi="Arial"/>
                <w:sz w:val="16"/>
                <w:szCs w:val="16"/>
                <w:color w:val="auto"/>
              </w:rPr>
              <w:t>Fort Myers / Cypress</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20" w:type="dxa"/>
            <w:vAlign w:val="bottom"/>
            <w:vMerge w:val="restart"/>
          </w:tcPr>
          <w:p>
            <w:pPr>
              <w:ind w:left="20"/>
              <w:spacing w:after="0"/>
              <w:rPr>
                <w:sz w:val="20"/>
                <w:szCs w:val="20"/>
                <w:color w:val="auto"/>
              </w:rPr>
            </w:pPr>
            <w:r>
              <w:rPr>
                <w:rFonts w:ascii="Arial" w:cs="Arial" w:eastAsia="Arial" w:hAnsi="Arial"/>
                <w:sz w:val="16"/>
                <w:szCs w:val="16"/>
                <w:color w:val="auto"/>
              </w:rPr>
              <w:t>Lake Dr</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7/1/2005</w:t>
            </w:r>
          </w:p>
        </w:tc>
        <w:tc>
          <w:tcPr>
            <w:tcW w:w="1620" w:type="dxa"/>
            <w:vAlign w:val="bottom"/>
          </w:tcPr>
          <w:p>
            <w:pPr>
              <w:ind w:left="20"/>
              <w:spacing w:after="0"/>
              <w:rPr>
                <w:sz w:val="20"/>
                <w:szCs w:val="20"/>
                <w:color w:val="auto"/>
              </w:rPr>
            </w:pPr>
            <w:r>
              <w:rPr>
                <w:rFonts w:ascii="Arial" w:cs="Arial" w:eastAsia="Arial" w:hAnsi="Arial"/>
                <w:sz w:val="16"/>
                <w:szCs w:val="16"/>
                <w:color w:val="auto"/>
                <w:w w:val="93"/>
              </w:rPr>
              <w:t>Fort Myers / San Carlos</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20" w:type="dxa"/>
            <w:vAlign w:val="bottom"/>
            <w:vMerge w:val="restart"/>
          </w:tcPr>
          <w:p>
            <w:pPr>
              <w:ind w:left="20"/>
              <w:spacing w:after="0"/>
              <w:rPr>
                <w:sz w:val="20"/>
                <w:szCs w:val="20"/>
                <w:color w:val="auto"/>
              </w:rPr>
            </w:pPr>
            <w:r>
              <w:rPr>
                <w:rFonts w:ascii="Arial" w:cs="Arial" w:eastAsia="Arial" w:hAnsi="Arial"/>
                <w:sz w:val="16"/>
                <w:szCs w:val="16"/>
                <w:color w:val="auto"/>
              </w:rPr>
              <w:t>Blvd</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3/8/2005</w:t>
            </w:r>
          </w:p>
        </w:tc>
        <w:tc>
          <w:tcPr>
            <w:tcW w:w="1620" w:type="dxa"/>
            <w:vAlign w:val="bottom"/>
          </w:tcPr>
          <w:p>
            <w:pPr>
              <w:ind w:left="20"/>
              <w:spacing w:after="0"/>
              <w:rPr>
                <w:sz w:val="20"/>
                <w:szCs w:val="20"/>
                <w:color w:val="auto"/>
              </w:rPr>
            </w:pPr>
            <w:r>
              <w:rPr>
                <w:rFonts w:ascii="Arial" w:cs="Arial" w:eastAsia="Arial" w:hAnsi="Arial"/>
                <w:sz w:val="16"/>
                <w:szCs w:val="16"/>
                <w:color w:val="auto"/>
              </w:rPr>
              <w:t>Greenacres</w:t>
            </w: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620" w:type="dxa"/>
            <w:vAlign w:val="bottom"/>
          </w:tcPr>
          <w:p>
            <w:pPr>
              <w:ind w:left="20"/>
              <w:spacing w:after="0"/>
              <w:rPr>
                <w:sz w:val="20"/>
                <w:szCs w:val="20"/>
                <w:color w:val="auto"/>
              </w:rPr>
            </w:pPr>
            <w:r>
              <w:rPr>
                <w:rFonts w:ascii="Arial" w:cs="Arial" w:eastAsia="Arial" w:hAnsi="Arial"/>
                <w:sz w:val="16"/>
                <w:szCs w:val="16"/>
                <w:color w:val="auto"/>
              </w:rPr>
              <w:t>Gulf Breeze / Gulf</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20" w:type="dxa"/>
            <w:vAlign w:val="bottom"/>
            <w:vMerge w:val="restart"/>
          </w:tcPr>
          <w:p>
            <w:pPr>
              <w:ind w:left="20"/>
              <w:spacing w:after="0"/>
              <w:rPr>
                <w:sz w:val="20"/>
                <w:szCs w:val="20"/>
                <w:color w:val="auto"/>
              </w:rPr>
            </w:pPr>
            <w:r>
              <w:rPr>
                <w:rFonts w:ascii="Arial" w:cs="Arial" w:eastAsia="Arial" w:hAnsi="Arial"/>
                <w:sz w:val="16"/>
                <w:szCs w:val="16"/>
                <w:color w:val="auto"/>
              </w:rPr>
              <w:t>Breeze Pkwy</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620" w:type="dxa"/>
            <w:vAlign w:val="bottom"/>
          </w:tcPr>
          <w:p>
            <w:pPr>
              <w:ind w:left="20"/>
              <w:spacing w:after="0"/>
              <w:rPr>
                <w:sz w:val="20"/>
                <w:szCs w:val="20"/>
                <w:color w:val="auto"/>
              </w:rPr>
            </w:pPr>
            <w:r>
              <w:rPr>
                <w:rFonts w:ascii="Arial" w:cs="Arial" w:eastAsia="Arial" w:hAnsi="Arial"/>
                <w:sz w:val="16"/>
                <w:szCs w:val="16"/>
                <w:color w:val="auto"/>
              </w:rPr>
              <w:t>Gulf Breeze / McClure</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20" w:type="dxa"/>
            <w:vAlign w:val="bottom"/>
            <w:vMerge w:val="restart"/>
          </w:tcPr>
          <w:p>
            <w:pPr>
              <w:ind w:left="20"/>
              <w:spacing w:after="0"/>
              <w:rPr>
                <w:sz w:val="20"/>
                <w:szCs w:val="20"/>
                <w:color w:val="auto"/>
              </w:rPr>
            </w:pPr>
            <w:r>
              <w:rPr>
                <w:rFonts w:ascii="Arial" w:cs="Arial" w:eastAsia="Arial" w:hAnsi="Arial"/>
                <w:sz w:val="16"/>
                <w:szCs w:val="16"/>
                <w:color w:val="auto"/>
              </w:rPr>
              <w:t>Dr</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1/1/2010</w:t>
            </w:r>
          </w:p>
        </w:tc>
        <w:tc>
          <w:tcPr>
            <w:tcW w:w="1620" w:type="dxa"/>
            <w:vAlign w:val="bottom"/>
          </w:tcPr>
          <w:p>
            <w:pPr>
              <w:ind w:left="20"/>
              <w:spacing w:after="0"/>
              <w:rPr>
                <w:sz w:val="20"/>
                <w:szCs w:val="20"/>
                <w:color w:val="auto"/>
              </w:rPr>
            </w:pPr>
            <w:r>
              <w:rPr>
                <w:rFonts w:ascii="Arial" w:cs="Arial" w:eastAsia="Arial" w:hAnsi="Arial"/>
                <w:sz w:val="16"/>
                <w:szCs w:val="16"/>
                <w:color w:val="auto"/>
                <w:w w:val="98"/>
              </w:rPr>
              <w:t>Hialeah / E 65th Street</w:t>
            </w: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8/1/2008</w:t>
            </w:r>
          </w:p>
        </w:tc>
        <w:tc>
          <w:tcPr>
            <w:tcW w:w="1620" w:type="dxa"/>
            <w:vAlign w:val="bottom"/>
          </w:tcPr>
          <w:p>
            <w:pPr>
              <w:ind w:left="20"/>
              <w:spacing w:after="0"/>
              <w:rPr>
                <w:sz w:val="20"/>
                <w:szCs w:val="20"/>
                <w:color w:val="auto"/>
              </w:rPr>
            </w:pPr>
            <w:r>
              <w:rPr>
                <w:rFonts w:ascii="Arial" w:cs="Arial" w:eastAsia="Arial" w:hAnsi="Arial"/>
                <w:sz w:val="16"/>
                <w:szCs w:val="16"/>
                <w:color w:val="auto"/>
                <w:w w:val="99"/>
              </w:rPr>
              <w:t>Hialeah / Okeechobee</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20" w:type="dxa"/>
            <w:vAlign w:val="bottom"/>
            <w:vMerge w:val="restart"/>
          </w:tcPr>
          <w:p>
            <w:pPr>
              <w:ind w:left="20"/>
              <w:spacing w:after="0"/>
              <w:rPr>
                <w:sz w:val="20"/>
                <w:szCs w:val="20"/>
                <w:color w:val="auto"/>
              </w:rPr>
            </w:pPr>
            <w:r>
              <w:rPr>
                <w:rFonts w:ascii="Arial" w:cs="Arial" w:eastAsia="Arial" w:hAnsi="Arial"/>
                <w:sz w:val="16"/>
                <w:szCs w:val="16"/>
                <w:color w:val="auto"/>
              </w:rPr>
              <w:t>Rd</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9/1/2010</w:t>
            </w:r>
          </w:p>
        </w:tc>
        <w:tc>
          <w:tcPr>
            <w:tcW w:w="1620" w:type="dxa"/>
            <w:vAlign w:val="bottom"/>
          </w:tcPr>
          <w:p>
            <w:pPr>
              <w:ind w:left="20"/>
              <w:spacing w:after="0"/>
              <w:rPr>
                <w:sz w:val="20"/>
                <w:szCs w:val="20"/>
                <w:color w:val="auto"/>
              </w:rPr>
            </w:pPr>
            <w:r>
              <w:rPr>
                <w:rFonts w:ascii="Arial" w:cs="Arial" w:eastAsia="Arial" w:hAnsi="Arial"/>
                <w:sz w:val="16"/>
                <w:szCs w:val="16"/>
                <w:color w:val="auto"/>
              </w:rPr>
              <w:t>Hialeah / W 84th St</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11/20/2007</w:t>
            </w:r>
          </w:p>
        </w:tc>
        <w:tc>
          <w:tcPr>
            <w:tcW w:w="1620" w:type="dxa"/>
            <w:vAlign w:val="bottom"/>
          </w:tcPr>
          <w:p>
            <w:pPr>
              <w:ind w:left="20"/>
              <w:spacing w:after="0"/>
              <w:rPr>
                <w:sz w:val="20"/>
                <w:szCs w:val="20"/>
                <w:color w:val="auto"/>
              </w:rPr>
            </w:pPr>
            <w:r>
              <w:rPr>
                <w:rFonts w:ascii="Arial" w:cs="Arial" w:eastAsia="Arial" w:hAnsi="Arial"/>
                <w:sz w:val="16"/>
                <w:szCs w:val="16"/>
                <w:color w:val="auto"/>
              </w:rPr>
              <w:t>Hollywood</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1/12/2016</w:t>
            </w:r>
          </w:p>
        </w:tc>
        <w:tc>
          <w:tcPr>
            <w:tcW w:w="1620" w:type="dxa"/>
            <w:vAlign w:val="bottom"/>
          </w:tcPr>
          <w:p>
            <w:pPr>
              <w:ind w:left="20"/>
              <w:spacing w:after="0"/>
              <w:rPr>
                <w:sz w:val="20"/>
                <w:szCs w:val="20"/>
                <w:color w:val="auto"/>
              </w:rPr>
            </w:pPr>
            <w:r>
              <w:rPr>
                <w:rFonts w:ascii="Arial" w:cs="Arial" w:eastAsia="Arial" w:hAnsi="Arial"/>
                <w:sz w:val="16"/>
                <w:szCs w:val="16"/>
                <w:color w:val="auto"/>
                <w:w w:val="95"/>
              </w:rPr>
              <w:t>Jacksonville / Girvin Rd</w:t>
            </w: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620" w:type="dxa"/>
            <w:vAlign w:val="bottom"/>
          </w:tcPr>
          <w:p>
            <w:pPr>
              <w:ind w:left="20"/>
              <w:spacing w:after="0"/>
              <w:rPr>
                <w:sz w:val="20"/>
                <w:szCs w:val="20"/>
                <w:color w:val="auto"/>
              </w:rPr>
            </w:pPr>
            <w:r>
              <w:rPr>
                <w:rFonts w:ascii="Arial" w:cs="Arial" w:eastAsia="Arial" w:hAnsi="Arial"/>
                <w:sz w:val="16"/>
                <w:szCs w:val="16"/>
                <w:color w:val="auto"/>
              </w:rPr>
              <w:t>Jacksonville /</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20" w:type="dxa"/>
            <w:vAlign w:val="bottom"/>
            <w:vMerge w:val="restart"/>
          </w:tcPr>
          <w:p>
            <w:pPr>
              <w:ind w:left="20"/>
              <w:spacing w:after="0"/>
              <w:rPr>
                <w:sz w:val="20"/>
                <w:szCs w:val="20"/>
                <w:color w:val="auto"/>
              </w:rPr>
            </w:pPr>
            <w:r>
              <w:rPr>
                <w:rFonts w:ascii="Arial" w:cs="Arial" w:eastAsia="Arial" w:hAnsi="Arial"/>
                <w:sz w:val="16"/>
                <w:szCs w:val="16"/>
                <w:color w:val="auto"/>
              </w:rPr>
              <w:t>Monument Rd</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620" w:type="dxa"/>
            <w:vAlign w:val="bottom"/>
          </w:tcPr>
          <w:p>
            <w:pPr>
              <w:ind w:left="20"/>
              <w:spacing w:after="0"/>
              <w:rPr>
                <w:sz w:val="20"/>
                <w:szCs w:val="20"/>
                <w:color w:val="auto"/>
              </w:rPr>
            </w:pPr>
            <w:r>
              <w:rPr>
                <w:rFonts w:ascii="Arial" w:cs="Arial" w:eastAsia="Arial" w:hAnsi="Arial"/>
                <w:sz w:val="16"/>
                <w:szCs w:val="16"/>
                <w:color w:val="auto"/>
              </w:rPr>
              <w:t>Jacksonville /</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20" w:type="dxa"/>
            <w:vAlign w:val="bottom"/>
            <w:vMerge w:val="restart"/>
          </w:tcPr>
          <w:p>
            <w:pPr>
              <w:ind w:left="20"/>
              <w:spacing w:after="0"/>
              <w:rPr>
                <w:sz w:val="20"/>
                <w:szCs w:val="20"/>
                <w:color w:val="auto"/>
              </w:rPr>
            </w:pPr>
            <w:r>
              <w:rPr>
                <w:rFonts w:ascii="Arial" w:cs="Arial" w:eastAsia="Arial" w:hAnsi="Arial"/>
                <w:sz w:val="16"/>
                <w:szCs w:val="16"/>
                <w:color w:val="auto"/>
              </w:rPr>
              <w:t>Timuquana Rd</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12/28/2012</w:t>
            </w:r>
          </w:p>
        </w:tc>
        <w:tc>
          <w:tcPr>
            <w:tcW w:w="1620" w:type="dxa"/>
            <w:vAlign w:val="bottom"/>
          </w:tcPr>
          <w:p>
            <w:pPr>
              <w:ind w:left="20"/>
              <w:spacing w:after="0"/>
              <w:rPr>
                <w:sz w:val="20"/>
                <w:szCs w:val="20"/>
                <w:color w:val="auto"/>
              </w:rPr>
            </w:pPr>
            <w:r>
              <w:rPr>
                <w:rFonts w:ascii="Arial" w:cs="Arial" w:eastAsia="Arial" w:hAnsi="Arial"/>
                <w:sz w:val="16"/>
                <w:szCs w:val="16"/>
                <w:color w:val="auto"/>
              </w:rPr>
              <w:t>Kenneth City</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5/2/2012</w:t>
            </w:r>
          </w:p>
        </w:tc>
        <w:tc>
          <w:tcPr>
            <w:tcW w:w="1620" w:type="dxa"/>
            <w:vAlign w:val="bottom"/>
          </w:tcPr>
          <w:p>
            <w:pPr>
              <w:ind w:left="20"/>
              <w:spacing w:after="0"/>
              <w:rPr>
                <w:sz w:val="20"/>
                <w:szCs w:val="20"/>
                <w:color w:val="auto"/>
              </w:rPr>
            </w:pPr>
            <w:r>
              <w:rPr>
                <w:rFonts w:ascii="Arial" w:cs="Arial" w:eastAsia="Arial" w:hAnsi="Arial"/>
                <w:sz w:val="16"/>
                <w:szCs w:val="16"/>
                <w:color w:val="auto"/>
                <w:w w:val="94"/>
              </w:rPr>
              <w:t>Lakeland / Harden Blvd</w:t>
            </w: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5/2/2012</w:t>
            </w:r>
          </w:p>
        </w:tc>
        <w:tc>
          <w:tcPr>
            <w:tcW w:w="1620" w:type="dxa"/>
            <w:vAlign w:val="bottom"/>
          </w:tcPr>
          <w:p>
            <w:pPr>
              <w:ind w:left="20"/>
              <w:spacing w:after="0"/>
              <w:rPr>
                <w:sz w:val="20"/>
                <w:szCs w:val="20"/>
                <w:color w:val="auto"/>
              </w:rPr>
            </w:pPr>
            <w:r>
              <w:rPr>
                <w:rFonts w:ascii="Arial" w:cs="Arial" w:eastAsia="Arial" w:hAnsi="Arial"/>
                <w:sz w:val="16"/>
                <w:szCs w:val="16"/>
                <w:color w:val="auto"/>
              </w:rPr>
              <w:t>Lakeland / South</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20" w:type="dxa"/>
            <w:vAlign w:val="bottom"/>
            <w:vMerge w:val="restart"/>
          </w:tcPr>
          <w:p>
            <w:pPr>
              <w:ind w:left="20"/>
              <w:spacing w:after="0"/>
              <w:rPr>
                <w:sz w:val="20"/>
                <w:szCs w:val="20"/>
                <w:color w:val="auto"/>
              </w:rPr>
            </w:pPr>
            <w:r>
              <w:rPr>
                <w:rFonts w:ascii="Arial" w:cs="Arial" w:eastAsia="Arial" w:hAnsi="Arial"/>
                <w:sz w:val="16"/>
                <w:szCs w:val="16"/>
                <w:color w:val="auto"/>
              </w:rPr>
              <w:t>Florida Ave</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9/3/2014</w:t>
            </w:r>
          </w:p>
        </w:tc>
        <w:tc>
          <w:tcPr>
            <w:tcW w:w="1620" w:type="dxa"/>
            <w:vAlign w:val="bottom"/>
          </w:tcPr>
          <w:p>
            <w:pPr>
              <w:ind w:left="20"/>
              <w:spacing w:after="0"/>
              <w:rPr>
                <w:sz w:val="20"/>
                <w:szCs w:val="20"/>
                <w:color w:val="auto"/>
              </w:rPr>
            </w:pPr>
            <w:r>
              <w:rPr>
                <w:rFonts w:ascii="Arial" w:cs="Arial" w:eastAsia="Arial" w:hAnsi="Arial"/>
                <w:sz w:val="16"/>
                <w:szCs w:val="16"/>
                <w:color w:val="auto"/>
                <w:w w:val="99"/>
              </w:rPr>
              <w:t>Lakeland / US Hwy 98</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12/27/2012</w:t>
            </w:r>
          </w:p>
        </w:tc>
        <w:tc>
          <w:tcPr>
            <w:tcW w:w="1620" w:type="dxa"/>
            <w:vAlign w:val="bottom"/>
          </w:tcPr>
          <w:p>
            <w:pPr>
              <w:ind w:left="20"/>
              <w:spacing w:after="0"/>
              <w:rPr>
                <w:sz w:val="20"/>
                <w:szCs w:val="20"/>
                <w:color w:val="auto"/>
              </w:rPr>
            </w:pPr>
            <w:r>
              <w:rPr>
                <w:rFonts w:ascii="Arial" w:cs="Arial" w:eastAsia="Arial" w:hAnsi="Arial"/>
                <w:sz w:val="16"/>
                <w:szCs w:val="16"/>
                <w:color w:val="auto"/>
              </w:rPr>
              <w:t>Land O Lakes</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8/26/2004</w:t>
            </w:r>
          </w:p>
        </w:tc>
        <w:tc>
          <w:tcPr>
            <w:tcW w:w="1620" w:type="dxa"/>
            <w:vAlign w:val="bottom"/>
          </w:tcPr>
          <w:p>
            <w:pPr>
              <w:ind w:left="20"/>
              <w:spacing w:after="0"/>
              <w:rPr>
                <w:sz w:val="20"/>
                <w:szCs w:val="20"/>
                <w:color w:val="auto"/>
              </w:rPr>
            </w:pPr>
            <w:r>
              <w:rPr>
                <w:rFonts w:ascii="Arial" w:cs="Arial" w:eastAsia="Arial" w:hAnsi="Arial"/>
                <w:sz w:val="16"/>
                <w:szCs w:val="16"/>
                <w:color w:val="auto"/>
              </w:rPr>
              <w:t>Madeira Beach</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8/10/2000</w:t>
            </w:r>
          </w:p>
        </w:tc>
        <w:tc>
          <w:tcPr>
            <w:tcW w:w="1620" w:type="dxa"/>
            <w:vAlign w:val="bottom"/>
          </w:tcPr>
          <w:p>
            <w:pPr>
              <w:ind w:left="20"/>
              <w:spacing w:after="0"/>
              <w:rPr>
                <w:sz w:val="20"/>
                <w:szCs w:val="20"/>
                <w:color w:val="auto"/>
              </w:rPr>
            </w:pPr>
            <w:r>
              <w:rPr>
                <w:rFonts w:ascii="Arial" w:cs="Arial" w:eastAsia="Arial" w:hAnsi="Arial"/>
                <w:sz w:val="16"/>
                <w:szCs w:val="16"/>
                <w:color w:val="auto"/>
              </w:rPr>
              <w:t>Margate</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7/2/2012</w:t>
            </w:r>
          </w:p>
        </w:tc>
        <w:tc>
          <w:tcPr>
            <w:tcW w:w="1620" w:type="dxa"/>
            <w:vAlign w:val="bottom"/>
          </w:tcPr>
          <w:p>
            <w:pPr>
              <w:ind w:left="20"/>
              <w:spacing w:after="0"/>
              <w:rPr>
                <w:sz w:val="20"/>
                <w:szCs w:val="20"/>
                <w:color w:val="auto"/>
              </w:rPr>
            </w:pPr>
            <w:r>
              <w:rPr>
                <w:rFonts w:ascii="Arial" w:cs="Arial" w:eastAsia="Arial" w:hAnsi="Arial"/>
                <w:sz w:val="16"/>
                <w:szCs w:val="16"/>
                <w:color w:val="auto"/>
              </w:rPr>
              <w:t>Miami / Coral Way</w:t>
            </w:r>
          </w:p>
        </w:tc>
        <w:tc>
          <w:tcPr>
            <w:tcW w:w="0" w:type="dxa"/>
            <w:vAlign w:val="bottom"/>
          </w:tcPr>
          <w:p>
            <w:pPr>
              <w:spacing w:after="0"/>
              <w:rPr>
                <w:sz w:val="1"/>
                <w:szCs w:val="1"/>
                <w:color w:val="auto"/>
              </w:rPr>
            </w:pPr>
          </w:p>
        </w:tc>
      </w:tr>
      <w:tr>
        <w:trPr>
          <w:trHeight w:val="31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10/25/2011</w:t>
            </w:r>
          </w:p>
        </w:tc>
        <w:tc>
          <w:tcPr>
            <w:tcW w:w="1620" w:type="dxa"/>
            <w:vAlign w:val="bottom"/>
          </w:tcPr>
          <w:p>
            <w:pPr>
              <w:ind w:left="20"/>
              <w:spacing w:after="0"/>
              <w:rPr>
                <w:sz w:val="20"/>
                <w:szCs w:val="20"/>
                <w:color w:val="auto"/>
              </w:rPr>
            </w:pPr>
            <w:r>
              <w:rPr>
                <w:rFonts w:ascii="Arial" w:cs="Arial" w:eastAsia="Arial" w:hAnsi="Arial"/>
                <w:sz w:val="16"/>
                <w:szCs w:val="16"/>
                <w:color w:val="auto"/>
              </w:rPr>
              <w:t>Miami / Hammocks</w:t>
            </w:r>
          </w:p>
        </w:tc>
        <w:tc>
          <w:tcPr>
            <w:tcW w:w="0" w:type="dxa"/>
            <w:vAlign w:val="bottom"/>
          </w:tcPr>
          <w:p>
            <w:pPr>
              <w:spacing w:after="0"/>
              <w:rPr>
                <w:sz w:val="1"/>
                <w:szCs w:val="1"/>
                <w:color w:val="auto"/>
              </w:rPr>
            </w:pPr>
          </w:p>
        </w:tc>
      </w:tr>
      <w:tr>
        <w:trPr>
          <w:trHeight w:val="206"/>
        </w:trPr>
        <w:tc>
          <w:tcPr>
            <w:tcW w:w="960" w:type="dxa"/>
            <w:vAlign w:val="bottom"/>
          </w:tcPr>
          <w:p>
            <w:pPr>
              <w:spacing w:after="0"/>
              <w:rPr>
                <w:sz w:val="17"/>
                <w:szCs w:val="17"/>
                <w:color w:val="auto"/>
              </w:rPr>
            </w:pPr>
          </w:p>
        </w:tc>
        <w:tc>
          <w:tcPr>
            <w:tcW w:w="1620" w:type="dxa"/>
            <w:vAlign w:val="bottom"/>
          </w:tcPr>
          <w:p>
            <w:pPr>
              <w:ind w:left="20"/>
              <w:spacing w:after="0"/>
              <w:rPr>
                <w:sz w:val="20"/>
                <w:szCs w:val="20"/>
                <w:color w:val="auto"/>
              </w:rPr>
            </w:pPr>
            <w:r>
              <w:rPr>
                <w:rFonts w:ascii="Arial" w:cs="Arial" w:eastAsia="Arial" w:hAnsi="Arial"/>
                <w:sz w:val="16"/>
                <w:szCs w:val="16"/>
                <w:color w:val="auto"/>
              </w:rPr>
              <w:t>Blvd</w:t>
            </w:r>
          </w:p>
        </w:tc>
        <w:tc>
          <w:tcPr>
            <w:tcW w:w="0" w:type="dxa"/>
            <w:vAlign w:val="bottom"/>
          </w:tcPr>
          <w:p>
            <w:pPr>
              <w:spacing w:after="0"/>
              <w:rPr>
                <w:sz w:val="1"/>
                <w:szCs w:val="1"/>
                <w:color w:val="auto"/>
              </w:rPr>
            </w:pPr>
          </w:p>
        </w:tc>
      </w:tr>
      <w:tr>
        <w:trPr>
          <w:trHeight w:val="206"/>
        </w:trPr>
        <w:tc>
          <w:tcPr>
            <w:tcW w:w="960" w:type="dxa"/>
            <w:vAlign w:val="bottom"/>
          </w:tcPr>
          <w:p>
            <w:pPr>
              <w:jc w:val="center"/>
              <w:spacing w:after="0"/>
              <w:rPr>
                <w:sz w:val="20"/>
                <w:szCs w:val="20"/>
                <w:color w:val="auto"/>
              </w:rPr>
            </w:pPr>
            <w:r>
              <w:rPr>
                <w:rFonts w:ascii="Arial" w:cs="Arial" w:eastAsia="Arial" w:hAnsi="Arial"/>
                <w:sz w:val="16"/>
                <w:szCs w:val="16"/>
                <w:color w:val="auto"/>
                <w:w w:val="89"/>
              </w:rPr>
              <w:t>8/10/2000</w:t>
            </w:r>
          </w:p>
        </w:tc>
        <w:tc>
          <w:tcPr>
            <w:tcW w:w="1620" w:type="dxa"/>
            <w:vAlign w:val="bottom"/>
          </w:tcPr>
          <w:p>
            <w:pPr>
              <w:ind w:left="20"/>
              <w:spacing w:after="0"/>
              <w:rPr>
                <w:sz w:val="20"/>
                <w:szCs w:val="20"/>
                <w:color w:val="auto"/>
              </w:rPr>
            </w:pPr>
            <w:r>
              <w:rPr>
                <w:rFonts w:ascii="Arial" w:cs="Arial" w:eastAsia="Arial" w:hAnsi="Arial"/>
                <w:sz w:val="16"/>
                <w:szCs w:val="16"/>
                <w:color w:val="auto"/>
              </w:rPr>
              <w:t>Miami / NW 12th St</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7/2/2012</w:t>
            </w:r>
          </w:p>
        </w:tc>
        <w:tc>
          <w:tcPr>
            <w:tcW w:w="1620" w:type="dxa"/>
            <w:vAlign w:val="bottom"/>
          </w:tcPr>
          <w:p>
            <w:pPr>
              <w:ind w:left="20"/>
              <w:spacing w:after="0"/>
              <w:rPr>
                <w:sz w:val="20"/>
                <w:szCs w:val="20"/>
                <w:color w:val="auto"/>
              </w:rPr>
            </w:pPr>
            <w:r>
              <w:rPr>
                <w:rFonts w:ascii="Arial" w:cs="Arial" w:eastAsia="Arial" w:hAnsi="Arial"/>
                <w:sz w:val="16"/>
                <w:szCs w:val="16"/>
                <w:color w:val="auto"/>
              </w:rPr>
              <w:t>Miami / NW 2nd Ave</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9/16/2016</w:t>
            </w:r>
          </w:p>
        </w:tc>
        <w:tc>
          <w:tcPr>
            <w:tcW w:w="1620" w:type="dxa"/>
            <w:vAlign w:val="bottom"/>
          </w:tcPr>
          <w:p>
            <w:pPr>
              <w:ind w:left="20"/>
              <w:spacing w:after="0"/>
              <w:rPr>
                <w:sz w:val="20"/>
                <w:szCs w:val="20"/>
                <w:color w:val="auto"/>
              </w:rPr>
            </w:pPr>
            <w:r>
              <w:rPr>
                <w:rFonts w:ascii="Arial" w:cs="Arial" w:eastAsia="Arial" w:hAnsi="Arial"/>
                <w:sz w:val="16"/>
                <w:szCs w:val="16"/>
                <w:color w:val="auto"/>
              </w:rPr>
              <w:t>Miami / NW 79th Ave</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2/4/2011</w:t>
            </w:r>
          </w:p>
        </w:tc>
        <w:tc>
          <w:tcPr>
            <w:tcW w:w="1620" w:type="dxa"/>
            <w:vAlign w:val="bottom"/>
          </w:tcPr>
          <w:p>
            <w:pPr>
              <w:ind w:left="20"/>
              <w:spacing w:after="0"/>
              <w:rPr>
                <w:sz w:val="20"/>
                <w:szCs w:val="20"/>
                <w:color w:val="auto"/>
              </w:rPr>
            </w:pPr>
            <w:r>
              <w:rPr>
                <w:rFonts w:ascii="Arial" w:cs="Arial" w:eastAsia="Arial" w:hAnsi="Arial"/>
                <w:sz w:val="16"/>
                <w:szCs w:val="16"/>
                <w:color w:val="auto"/>
                <w:w w:val="99"/>
              </w:rPr>
              <w:t>Miami / SW 147th Ave</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5/31/2007</w:t>
            </w:r>
          </w:p>
        </w:tc>
        <w:tc>
          <w:tcPr>
            <w:tcW w:w="1620" w:type="dxa"/>
            <w:vAlign w:val="bottom"/>
          </w:tcPr>
          <w:p>
            <w:pPr>
              <w:ind w:left="20"/>
              <w:spacing w:after="0"/>
              <w:rPr>
                <w:sz w:val="20"/>
                <w:szCs w:val="20"/>
                <w:color w:val="auto"/>
              </w:rPr>
            </w:pPr>
            <w:r>
              <w:rPr>
                <w:rFonts w:ascii="Arial" w:cs="Arial" w:eastAsia="Arial" w:hAnsi="Arial"/>
                <w:sz w:val="16"/>
                <w:szCs w:val="16"/>
                <w:color w:val="auto"/>
              </w:rPr>
              <w:t>Miami / SW 186th St</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11/8/2013</w:t>
            </w:r>
          </w:p>
        </w:tc>
        <w:tc>
          <w:tcPr>
            <w:tcW w:w="1620" w:type="dxa"/>
            <w:vAlign w:val="bottom"/>
          </w:tcPr>
          <w:p>
            <w:pPr>
              <w:ind w:left="20"/>
              <w:spacing w:after="0"/>
              <w:rPr>
                <w:sz w:val="20"/>
                <w:szCs w:val="20"/>
                <w:color w:val="auto"/>
              </w:rPr>
            </w:pPr>
            <w:r>
              <w:rPr>
                <w:rFonts w:ascii="Arial" w:cs="Arial" w:eastAsia="Arial" w:hAnsi="Arial"/>
                <w:sz w:val="16"/>
                <w:szCs w:val="16"/>
                <w:color w:val="auto"/>
              </w:rPr>
              <w:t>Miami / SW 68th Ave</w:t>
            </w: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8/10/2000</w:t>
            </w:r>
          </w:p>
        </w:tc>
        <w:tc>
          <w:tcPr>
            <w:tcW w:w="1620" w:type="dxa"/>
            <w:vAlign w:val="bottom"/>
          </w:tcPr>
          <w:p>
            <w:pPr>
              <w:ind w:left="20"/>
              <w:spacing w:after="0"/>
              <w:rPr>
                <w:sz w:val="20"/>
                <w:szCs w:val="20"/>
                <w:color w:val="auto"/>
              </w:rPr>
            </w:pPr>
            <w:r>
              <w:rPr>
                <w:rFonts w:ascii="Arial" w:cs="Arial" w:eastAsia="Arial" w:hAnsi="Arial"/>
                <w:sz w:val="16"/>
                <w:szCs w:val="16"/>
                <w:color w:val="auto"/>
              </w:rPr>
              <w:t>Miami / SW 72nd</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20" w:type="dxa"/>
            <w:vAlign w:val="bottom"/>
            <w:vMerge w:val="restart"/>
          </w:tcPr>
          <w:p>
            <w:pPr>
              <w:ind w:left="20"/>
              <w:spacing w:after="0"/>
              <w:rPr>
                <w:sz w:val="20"/>
                <w:szCs w:val="20"/>
                <w:color w:val="auto"/>
              </w:rPr>
            </w:pPr>
            <w:r>
              <w:rPr>
                <w:rFonts w:ascii="Arial" w:cs="Arial" w:eastAsia="Arial" w:hAnsi="Arial"/>
                <w:sz w:val="16"/>
                <w:szCs w:val="16"/>
                <w:color w:val="auto"/>
              </w:rPr>
              <w:t>Street</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11/30/2009</w:t>
            </w:r>
          </w:p>
        </w:tc>
        <w:tc>
          <w:tcPr>
            <w:tcW w:w="1620" w:type="dxa"/>
            <w:vAlign w:val="bottom"/>
          </w:tcPr>
          <w:p>
            <w:pPr>
              <w:ind w:left="20"/>
              <w:spacing w:after="0"/>
              <w:rPr>
                <w:sz w:val="20"/>
                <w:szCs w:val="20"/>
                <w:color w:val="auto"/>
              </w:rPr>
            </w:pPr>
            <w:r>
              <w:rPr>
                <w:rFonts w:ascii="Arial" w:cs="Arial" w:eastAsia="Arial" w:hAnsi="Arial"/>
                <w:sz w:val="16"/>
                <w:szCs w:val="16"/>
                <w:color w:val="auto"/>
                <w:w w:val="97"/>
              </w:rPr>
              <w:t>Miami Gardens / 183rd</w:t>
            </w:r>
          </w:p>
        </w:tc>
        <w:tc>
          <w:tcPr>
            <w:tcW w:w="0" w:type="dxa"/>
            <w:vAlign w:val="bottom"/>
          </w:tcPr>
          <w:p>
            <w:pPr>
              <w:spacing w:after="0"/>
              <w:rPr>
                <w:sz w:val="1"/>
                <w:szCs w:val="1"/>
                <w:color w:val="auto"/>
              </w:rPr>
            </w:pPr>
          </w:p>
        </w:tc>
      </w:tr>
      <w:tr>
        <w:trPr>
          <w:trHeight w:val="206"/>
        </w:trPr>
        <w:tc>
          <w:tcPr>
            <w:tcW w:w="960" w:type="dxa"/>
            <w:vAlign w:val="bottom"/>
          </w:tcPr>
          <w:p>
            <w:pPr>
              <w:spacing w:after="0"/>
              <w:rPr>
                <w:sz w:val="17"/>
                <w:szCs w:val="17"/>
                <w:color w:val="auto"/>
              </w:rPr>
            </w:pPr>
          </w:p>
        </w:tc>
        <w:tc>
          <w:tcPr>
            <w:tcW w:w="1620" w:type="dxa"/>
            <w:vAlign w:val="bottom"/>
          </w:tcPr>
          <w:p>
            <w:pPr>
              <w:ind w:left="20"/>
              <w:spacing w:after="0"/>
              <w:rPr>
                <w:sz w:val="20"/>
                <w:szCs w:val="20"/>
                <w:color w:val="auto"/>
              </w:rPr>
            </w:pPr>
            <w:r>
              <w:rPr>
                <w:rFonts w:ascii="Arial" w:cs="Arial" w:eastAsia="Arial" w:hAnsi="Arial"/>
                <w:sz w:val="16"/>
                <w:szCs w:val="16"/>
                <w:color w:val="auto"/>
              </w:rPr>
              <w:t>Street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202"/>
        </w:trPr>
        <w:tc>
          <w:tcPr>
            <w:tcW w:w="740" w:type="dxa"/>
            <w:vAlign w:val="bottom"/>
            <w:vMerge w:val="restart"/>
          </w:tcPr>
          <w:p>
            <w:pPr>
              <w:jc w:val="right"/>
              <w:ind w:right="59"/>
              <w:spacing w:after="0"/>
              <w:rPr>
                <w:sz w:val="20"/>
                <w:szCs w:val="20"/>
                <w:color w:val="auto"/>
              </w:rPr>
            </w:pPr>
            <w:r>
              <w:rPr>
                <w:rFonts w:ascii="Arial" w:cs="Arial" w:eastAsia="Arial" w:hAnsi="Arial"/>
                <w:sz w:val="16"/>
                <w:szCs w:val="16"/>
                <w:color w:val="auto"/>
                <w:w w:val="93"/>
              </w:rPr>
              <w:t>2/2/2016</w:t>
            </w:r>
          </w:p>
        </w:tc>
        <w:tc>
          <w:tcPr>
            <w:tcW w:w="1460" w:type="dxa"/>
            <w:vAlign w:val="bottom"/>
          </w:tcPr>
          <w:p>
            <w:pPr>
              <w:ind w:left="80"/>
              <w:spacing w:after="0"/>
              <w:rPr>
                <w:sz w:val="20"/>
                <w:szCs w:val="20"/>
                <w:color w:val="auto"/>
              </w:rPr>
            </w:pPr>
            <w:r>
              <w:rPr>
                <w:rFonts w:ascii="Arial" w:cs="Arial" w:eastAsia="Arial" w:hAnsi="Arial"/>
                <w:sz w:val="16"/>
                <w:szCs w:val="16"/>
                <w:color w:val="auto"/>
                <w:w w:val="91"/>
              </w:rPr>
              <w:t>Miami Gardens / 2nd</w:t>
            </w:r>
          </w:p>
        </w:tc>
        <w:tc>
          <w:tcPr>
            <w:tcW w:w="0" w:type="dxa"/>
            <w:vAlign w:val="bottom"/>
          </w:tcPr>
          <w:p>
            <w:pPr>
              <w:spacing w:after="0"/>
              <w:rPr>
                <w:sz w:val="1"/>
                <w:szCs w:val="1"/>
                <w:color w:val="auto"/>
              </w:rPr>
            </w:pPr>
          </w:p>
        </w:tc>
      </w:tr>
      <w:tr>
        <w:trPr>
          <w:trHeight w:val="98"/>
        </w:trPr>
        <w:tc>
          <w:tcPr>
            <w:tcW w:w="740" w:type="dxa"/>
            <w:vAlign w:val="bottom"/>
            <w:vMerge w:val="continue"/>
          </w:tcPr>
          <w:p>
            <w:pPr>
              <w:spacing w:after="0"/>
              <w:rPr>
                <w:sz w:val="8"/>
                <w:szCs w:val="8"/>
                <w:color w:val="auto"/>
              </w:rPr>
            </w:pPr>
          </w:p>
        </w:tc>
        <w:tc>
          <w:tcPr>
            <w:tcW w:w="1460" w:type="dxa"/>
            <w:vAlign w:val="bottom"/>
            <w:vMerge w:val="restart"/>
          </w:tcPr>
          <w:p>
            <w:pPr>
              <w:ind w:left="80"/>
              <w:spacing w:after="0"/>
              <w:rPr>
                <w:sz w:val="20"/>
                <w:szCs w:val="20"/>
                <w:color w:val="auto"/>
              </w:rPr>
            </w:pPr>
            <w:r>
              <w:rPr>
                <w:rFonts w:ascii="Arial" w:cs="Arial" w:eastAsia="Arial" w:hAnsi="Arial"/>
                <w:sz w:val="16"/>
                <w:szCs w:val="16"/>
                <w:color w:val="auto"/>
              </w:rPr>
              <w:t>Ave</w:t>
            </w:r>
          </w:p>
        </w:tc>
        <w:tc>
          <w:tcPr>
            <w:tcW w:w="0" w:type="dxa"/>
            <w:vAlign w:val="bottom"/>
          </w:tcPr>
          <w:p>
            <w:pPr>
              <w:spacing w:after="0"/>
              <w:rPr>
                <w:sz w:val="1"/>
                <w:szCs w:val="1"/>
                <w:color w:val="auto"/>
              </w:rPr>
            </w:pPr>
          </w:p>
        </w:tc>
      </w:tr>
      <w:tr>
        <w:trPr>
          <w:trHeight w:val="108"/>
        </w:trPr>
        <w:tc>
          <w:tcPr>
            <w:tcW w:w="74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740" w:type="dxa"/>
            <w:vAlign w:val="bottom"/>
            <w:vMerge w:val="restart"/>
          </w:tcPr>
          <w:p>
            <w:pPr>
              <w:jc w:val="right"/>
              <w:ind w:right="19"/>
              <w:spacing w:after="0"/>
              <w:rPr>
                <w:sz w:val="20"/>
                <w:szCs w:val="20"/>
                <w:color w:val="auto"/>
              </w:rPr>
            </w:pPr>
            <w:r>
              <w:rPr>
                <w:rFonts w:ascii="Arial" w:cs="Arial" w:eastAsia="Arial" w:hAnsi="Arial"/>
                <w:sz w:val="16"/>
                <w:szCs w:val="16"/>
                <w:color w:val="auto"/>
                <w:w w:val="87"/>
              </w:rPr>
              <w:t>6/18/2015</w:t>
            </w:r>
          </w:p>
        </w:tc>
        <w:tc>
          <w:tcPr>
            <w:tcW w:w="1460" w:type="dxa"/>
            <w:vAlign w:val="bottom"/>
          </w:tcPr>
          <w:p>
            <w:pPr>
              <w:ind w:left="80"/>
              <w:spacing w:after="0"/>
              <w:rPr>
                <w:sz w:val="20"/>
                <w:szCs w:val="20"/>
                <w:color w:val="auto"/>
              </w:rPr>
            </w:pPr>
            <w:r>
              <w:rPr>
                <w:rFonts w:ascii="Arial" w:cs="Arial" w:eastAsia="Arial" w:hAnsi="Arial"/>
                <w:sz w:val="16"/>
                <w:szCs w:val="16"/>
                <w:color w:val="auto"/>
              </w:rPr>
              <w:t>Naples / Goodlette</w:t>
            </w:r>
          </w:p>
        </w:tc>
        <w:tc>
          <w:tcPr>
            <w:tcW w:w="0" w:type="dxa"/>
            <w:vAlign w:val="bottom"/>
          </w:tcPr>
          <w:p>
            <w:pPr>
              <w:spacing w:after="0"/>
              <w:rPr>
                <w:sz w:val="1"/>
                <w:szCs w:val="1"/>
                <w:color w:val="auto"/>
              </w:rPr>
            </w:pPr>
          </w:p>
        </w:tc>
      </w:tr>
      <w:tr>
        <w:trPr>
          <w:trHeight w:val="98"/>
        </w:trPr>
        <w:tc>
          <w:tcPr>
            <w:tcW w:w="740" w:type="dxa"/>
            <w:vAlign w:val="bottom"/>
            <w:vMerge w:val="continue"/>
          </w:tcPr>
          <w:p>
            <w:pPr>
              <w:spacing w:after="0"/>
              <w:rPr>
                <w:sz w:val="8"/>
                <w:szCs w:val="8"/>
                <w:color w:val="auto"/>
              </w:rPr>
            </w:pPr>
          </w:p>
        </w:tc>
        <w:tc>
          <w:tcPr>
            <w:tcW w:w="1460" w:type="dxa"/>
            <w:vAlign w:val="bottom"/>
            <w:vMerge w:val="restart"/>
          </w:tcPr>
          <w:p>
            <w:pPr>
              <w:ind w:left="80"/>
              <w:spacing w:after="0"/>
              <w:rPr>
                <w:sz w:val="20"/>
                <w:szCs w:val="20"/>
                <w:color w:val="auto"/>
              </w:rPr>
            </w:pPr>
            <w:r>
              <w:rPr>
                <w:rFonts w:ascii="Arial" w:cs="Arial" w:eastAsia="Arial" w:hAnsi="Arial"/>
                <w:sz w:val="16"/>
                <w:szCs w:val="16"/>
                <w:color w:val="auto"/>
              </w:rPr>
              <w:t>Road</w:t>
            </w:r>
          </w:p>
        </w:tc>
        <w:tc>
          <w:tcPr>
            <w:tcW w:w="0" w:type="dxa"/>
            <w:vAlign w:val="bottom"/>
          </w:tcPr>
          <w:p>
            <w:pPr>
              <w:spacing w:after="0"/>
              <w:rPr>
                <w:sz w:val="1"/>
                <w:szCs w:val="1"/>
                <w:color w:val="auto"/>
              </w:rPr>
            </w:pPr>
          </w:p>
        </w:tc>
      </w:tr>
      <w:tr>
        <w:trPr>
          <w:trHeight w:val="108"/>
        </w:trPr>
        <w:tc>
          <w:tcPr>
            <w:tcW w:w="74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4"/>
            <w:vMerge w:val="restart"/>
          </w:tcPr>
          <w:p>
            <w:pPr>
              <w:jc w:val="center"/>
              <w:ind w:right="680"/>
              <w:spacing w:after="0"/>
              <w:rPr>
                <w:sz w:val="20"/>
                <w:szCs w:val="20"/>
                <w:color w:val="auto"/>
              </w:rPr>
            </w:pPr>
            <w:r>
              <w:rPr>
                <w:rFonts w:ascii="Arial" w:cs="Arial" w:eastAsia="Arial" w:hAnsi="Arial"/>
                <w:sz w:val="16"/>
                <w:szCs w:val="16"/>
                <w:b w:val="1"/>
                <w:bCs w:val="1"/>
                <w:color w:val="auto"/>
                <w:w w:val="90"/>
              </w:rPr>
              <w:t>Adjustments</w:t>
            </w:r>
          </w:p>
        </w:tc>
        <w:tc>
          <w:tcPr>
            <w:tcW w:w="278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Gross carrying amount at</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4"/>
            <w:vMerge w:val="continue"/>
          </w:tcPr>
          <w:p>
            <w:pPr>
              <w:spacing w:after="0"/>
              <w:rPr>
                <w:sz w:val="13"/>
                <w:szCs w:val="13"/>
                <w:color w:val="auto"/>
              </w:rPr>
            </w:pPr>
          </w:p>
        </w:tc>
        <w:tc>
          <w:tcPr>
            <w:tcW w:w="680" w:type="dxa"/>
            <w:vAlign w:val="bottom"/>
          </w:tcPr>
          <w:p>
            <w:pPr>
              <w:spacing w:after="0"/>
              <w:rPr>
                <w:sz w:val="13"/>
                <w:szCs w:val="13"/>
                <w:color w:val="auto"/>
              </w:rPr>
            </w:pPr>
          </w:p>
        </w:tc>
        <w:tc>
          <w:tcPr>
            <w:tcW w:w="142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0"/>
              </w:rPr>
              <w:t>December 31, 2016</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Building and</w:t>
            </w:r>
          </w:p>
        </w:tc>
        <w:tc>
          <w:tcPr>
            <w:tcW w:w="1640" w:type="dxa"/>
            <w:vAlign w:val="bottom"/>
            <w:gridSpan w:val="4"/>
            <w:vMerge w:val="restart"/>
          </w:tcPr>
          <w:p>
            <w:pPr>
              <w:jc w:val="center"/>
              <w:ind w:right="660"/>
              <w:spacing w:after="0"/>
              <w:rPr>
                <w:sz w:val="20"/>
                <w:szCs w:val="20"/>
                <w:color w:val="auto"/>
              </w:rPr>
            </w:pPr>
            <w:r>
              <w:rPr>
                <w:rFonts w:ascii="Arial" w:cs="Arial" w:eastAsia="Arial" w:hAnsi="Arial"/>
                <w:sz w:val="16"/>
                <w:szCs w:val="16"/>
                <w:b w:val="1"/>
                <w:bCs w:val="1"/>
                <w:color w:val="auto"/>
                <w:w w:val="82"/>
              </w:rPr>
              <w:t>and costs</w:t>
            </w:r>
          </w:p>
        </w:tc>
        <w:tc>
          <w:tcPr>
            <w:tcW w:w="68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640" w:type="dxa"/>
            <w:vAlign w:val="bottom"/>
            <w:gridSpan w:val="4"/>
            <w:vMerge w:val="continue"/>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640" w:type="dxa"/>
            <w:vAlign w:val="bottom"/>
            <w:gridSpan w:val="4"/>
            <w:vMerge w:val="continue"/>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Land</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improvements</w:t>
            </w:r>
          </w:p>
        </w:tc>
        <w:tc>
          <w:tcPr>
            <w:tcW w:w="1640" w:type="dxa"/>
            <w:vAlign w:val="bottom"/>
            <w:gridSpan w:val="4"/>
          </w:tcPr>
          <w:p>
            <w:pPr>
              <w:jc w:val="center"/>
              <w:ind w:right="660"/>
              <w:spacing w:after="0"/>
              <w:rPr>
                <w:sz w:val="20"/>
                <w:szCs w:val="20"/>
                <w:color w:val="auto"/>
              </w:rPr>
            </w:pPr>
            <w:r>
              <w:rPr>
                <w:rFonts w:ascii="Arial" w:cs="Arial" w:eastAsia="Arial" w:hAnsi="Arial"/>
                <w:sz w:val="16"/>
                <w:szCs w:val="16"/>
                <w:b w:val="1"/>
                <w:bCs w:val="1"/>
                <w:color w:val="auto"/>
                <w:w w:val="86"/>
              </w:rPr>
              <w:t>subsequent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Building and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0" w:type="dxa"/>
            <w:vAlign w:val="bottom"/>
          </w:tcPr>
          <w:p>
            <w:pPr>
              <w:spacing w:after="0"/>
              <w:rPr>
                <w:sz w:val="1"/>
                <w:szCs w:val="1"/>
                <w:color w:val="auto"/>
              </w:rPr>
            </w:pPr>
          </w:p>
        </w:tc>
      </w:tr>
      <w:tr>
        <w:trPr>
          <w:trHeight w:val="210"/>
        </w:trPr>
        <w:tc>
          <w:tcPr>
            <w:tcW w:w="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State</w:t>
            </w:r>
          </w:p>
        </w:tc>
        <w:tc>
          <w:tcPr>
            <w:tcW w:w="680" w:type="dxa"/>
            <w:vAlign w:val="bottom"/>
            <w:gridSpan w:val="2"/>
          </w:tcPr>
          <w:p>
            <w:pPr>
              <w:ind w:left="120"/>
              <w:spacing w:after="0"/>
              <w:rPr>
                <w:sz w:val="20"/>
                <w:szCs w:val="20"/>
                <w:color w:val="auto"/>
              </w:rPr>
            </w:pPr>
            <w:r>
              <w:rPr>
                <w:rFonts w:ascii="Arial" w:cs="Arial" w:eastAsia="Arial" w:hAnsi="Arial"/>
                <w:sz w:val="16"/>
                <w:szCs w:val="16"/>
                <w:b w:val="1"/>
                <w:bCs w:val="1"/>
                <w:color w:val="auto"/>
              </w:rPr>
              <w:t>Debt</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initial cost</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initial cost</w:t>
            </w:r>
          </w:p>
        </w:tc>
        <w:tc>
          <w:tcPr>
            <w:tcW w:w="1640" w:type="dxa"/>
            <w:vAlign w:val="bottom"/>
            <w:gridSpan w:val="4"/>
          </w:tcPr>
          <w:p>
            <w:pPr>
              <w:ind w:left="20"/>
              <w:spacing w:after="0"/>
              <w:rPr>
                <w:sz w:val="20"/>
                <w:szCs w:val="20"/>
                <w:color w:val="auto"/>
              </w:rPr>
            </w:pPr>
            <w:r>
              <w:rPr>
                <w:rFonts w:ascii="Arial" w:cs="Arial" w:eastAsia="Arial" w:hAnsi="Arial"/>
                <w:sz w:val="16"/>
                <w:szCs w:val="16"/>
                <w:b w:val="1"/>
                <w:bCs w:val="1"/>
                <w:color w:val="auto"/>
              </w:rPr>
              <w:t>to acquisition  Notes</w:t>
            </w:r>
          </w:p>
        </w:tc>
        <w:tc>
          <w:tcPr>
            <w:tcW w:w="680" w:type="dxa"/>
            <w:vAlign w:val="bottom"/>
          </w:tcPr>
          <w:p>
            <w:pPr>
              <w:ind w:left="40"/>
              <w:spacing w:after="0"/>
              <w:rPr>
                <w:sz w:val="20"/>
                <w:szCs w:val="20"/>
                <w:color w:val="auto"/>
              </w:rPr>
            </w:pPr>
            <w:r>
              <w:rPr>
                <w:rFonts w:ascii="Arial" w:cs="Arial" w:eastAsia="Arial" w:hAnsi="Arial"/>
                <w:sz w:val="16"/>
                <w:szCs w:val="16"/>
                <w:b w:val="1"/>
                <w:bCs w:val="1"/>
                <w:color w:val="auto"/>
              </w:rPr>
              <w:t>Land</w:t>
            </w:r>
          </w:p>
        </w:tc>
        <w:tc>
          <w:tcPr>
            <w:tcW w:w="10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improvements</w:t>
            </w:r>
          </w:p>
        </w:tc>
        <w:tc>
          <w:tcPr>
            <w:tcW w:w="68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0"/>
              </w:rPr>
              <w:t>depreciation</w:t>
            </w:r>
          </w:p>
        </w:tc>
        <w:tc>
          <w:tcPr>
            <w:tcW w:w="0" w:type="dxa"/>
            <w:vAlign w:val="bottom"/>
          </w:tcPr>
          <w:p>
            <w:pPr>
              <w:spacing w:after="0"/>
              <w:rPr>
                <w:sz w:val="1"/>
                <w:szCs w:val="1"/>
                <w:color w:val="auto"/>
              </w:rPr>
            </w:pPr>
          </w:p>
        </w:tc>
      </w:tr>
      <w:tr>
        <w:trPr>
          <w:trHeight w:val="33"/>
        </w:trPr>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2,742</w:t>
            </w: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613</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5,228</w:t>
            </w: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277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613</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5,505</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6,118</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170</w:t>
            </w:r>
          </w:p>
        </w:tc>
        <w:tc>
          <w:tcPr>
            <w:tcW w:w="0" w:type="dxa"/>
            <w:vAlign w:val="bottom"/>
          </w:tcPr>
          <w:p>
            <w:pPr>
              <w:spacing w:after="0"/>
              <w:rPr>
                <w:sz w:val="1"/>
                <w:szCs w:val="1"/>
                <w:color w:val="auto"/>
              </w:rPr>
            </w:pPr>
          </w:p>
        </w:tc>
      </w:tr>
      <w:tr>
        <w:trPr>
          <w:trHeight w:val="270"/>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2,742</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888</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5,737</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439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888</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6,176</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7,064</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190</w:t>
            </w:r>
          </w:p>
        </w:tc>
        <w:tc>
          <w:tcPr>
            <w:tcW w:w="0" w:type="dxa"/>
            <w:vAlign w:val="bottom"/>
          </w:tcPr>
          <w:p>
            <w:pPr>
              <w:spacing w:after="0"/>
              <w:rPr>
                <w:sz w:val="1"/>
                <w:szCs w:val="1"/>
                <w:color w:val="auto"/>
              </w:rPr>
            </w:pPr>
          </w:p>
        </w:tc>
      </w:tr>
      <w:tr>
        <w:trPr>
          <w:trHeight w:val="270"/>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1,218</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470</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1,076</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155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470</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1,231</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1,701</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182</w:t>
            </w:r>
          </w:p>
        </w:tc>
        <w:tc>
          <w:tcPr>
            <w:tcW w:w="0" w:type="dxa"/>
            <w:vAlign w:val="bottom"/>
          </w:tcPr>
          <w:p>
            <w:pPr>
              <w:spacing w:after="0"/>
              <w:rPr>
                <w:sz w:val="1"/>
                <w:szCs w:val="1"/>
                <w:color w:val="auto"/>
              </w:rPr>
            </w:pPr>
          </w:p>
        </w:tc>
      </w:tr>
      <w:tr>
        <w:trPr>
          <w:trHeight w:val="270"/>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2,198</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8,215</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129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2,198</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8,344</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10,542</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1,577</w:t>
            </w:r>
          </w:p>
        </w:tc>
        <w:tc>
          <w:tcPr>
            <w:tcW w:w="0" w:type="dxa"/>
            <w:vAlign w:val="bottom"/>
          </w:tcPr>
          <w:p>
            <w:pPr>
              <w:spacing w:after="0"/>
              <w:rPr>
                <w:sz w:val="1"/>
                <w:szCs w:val="1"/>
                <w:color w:val="auto"/>
              </w:rPr>
            </w:pPr>
          </w:p>
        </w:tc>
      </w:tr>
      <w:tr>
        <w:trPr>
          <w:trHeight w:val="270"/>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3,728</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1,333</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3,677</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565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1,333</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4,242</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5,575</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274</w:t>
            </w:r>
          </w:p>
        </w:tc>
        <w:tc>
          <w:tcPr>
            <w:tcW w:w="0" w:type="dxa"/>
            <w:vAlign w:val="bottom"/>
          </w:tcPr>
          <w:p>
            <w:pPr>
              <w:spacing w:after="0"/>
              <w:rPr>
                <w:sz w:val="1"/>
                <w:szCs w:val="1"/>
                <w:color w:val="auto"/>
              </w:rPr>
            </w:pPr>
          </w:p>
        </w:tc>
      </w:tr>
      <w:tr>
        <w:trPr>
          <w:trHeight w:val="270"/>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4,595</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1,327</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5,656</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190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1,327</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5,846</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7,173</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658</w:t>
            </w:r>
          </w:p>
        </w:tc>
        <w:tc>
          <w:tcPr>
            <w:tcW w:w="0" w:type="dxa"/>
            <w:vAlign w:val="bottom"/>
          </w:tcPr>
          <w:p>
            <w:pPr>
              <w:spacing w:after="0"/>
              <w:rPr>
                <w:sz w:val="1"/>
                <w:szCs w:val="1"/>
                <w:color w:val="auto"/>
              </w:rPr>
            </w:pPr>
          </w:p>
        </w:tc>
      </w:tr>
      <w:tr>
        <w:trPr>
          <w:trHeight w:val="270"/>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5,923</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3,638</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6,590</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462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3,638</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7,052</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10,690</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1,664</w:t>
            </w:r>
          </w:p>
        </w:tc>
        <w:tc>
          <w:tcPr>
            <w:tcW w:w="0" w:type="dxa"/>
            <w:vAlign w:val="bottom"/>
          </w:tcPr>
          <w:p>
            <w:pPr>
              <w:spacing w:after="0"/>
              <w:rPr>
                <w:sz w:val="1"/>
                <w:szCs w:val="1"/>
                <w:color w:val="auto"/>
              </w:rPr>
            </w:pPr>
          </w:p>
        </w:tc>
      </w:tr>
      <w:tr>
        <w:trPr>
          <w:trHeight w:val="270"/>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7,993</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4,890</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11,679</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474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4,890</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12,153</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17,043</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421</w:t>
            </w:r>
          </w:p>
        </w:tc>
        <w:tc>
          <w:tcPr>
            <w:tcW w:w="0" w:type="dxa"/>
            <w:vAlign w:val="bottom"/>
          </w:tcPr>
          <w:p>
            <w:pPr>
              <w:spacing w:after="0"/>
              <w:rPr>
                <w:sz w:val="1"/>
                <w:szCs w:val="1"/>
                <w:color w:val="auto"/>
              </w:rPr>
            </w:pPr>
          </w:p>
        </w:tc>
      </w:tr>
      <w:tr>
        <w:trPr>
          <w:trHeight w:val="270"/>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3,087</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1,318</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3,971</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369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1,318</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4,340</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5,658</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1,312</w:t>
            </w:r>
          </w:p>
        </w:tc>
        <w:tc>
          <w:tcPr>
            <w:tcW w:w="0" w:type="dxa"/>
            <w:vAlign w:val="bottom"/>
          </w:tcPr>
          <w:p>
            <w:pPr>
              <w:spacing w:after="0"/>
              <w:rPr>
                <w:sz w:val="1"/>
                <w:szCs w:val="1"/>
                <w:color w:val="auto"/>
              </w:rPr>
            </w:pPr>
          </w:p>
        </w:tc>
      </w:tr>
      <w:tr>
        <w:trPr>
          <w:trHeight w:val="364"/>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5,078</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1,576</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5,397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363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1,576</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5,760</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7,336</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655</w:t>
            </w:r>
          </w:p>
        </w:tc>
        <w:tc>
          <w:tcPr>
            <w:tcW w:w="0" w:type="dxa"/>
            <w:vAlign w:val="bottom"/>
          </w:tcPr>
          <w:p>
            <w:pPr>
              <w:spacing w:after="0"/>
              <w:rPr>
                <w:sz w:val="1"/>
                <w:szCs w:val="1"/>
                <w:color w:val="auto"/>
              </w:rPr>
            </w:pPr>
          </w:p>
        </w:tc>
      </w:tr>
      <w:tr>
        <w:trPr>
          <w:trHeight w:val="459"/>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7,246</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1,587</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4,205</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501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1,587</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4,706</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6,293</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1,601</w:t>
            </w:r>
          </w:p>
        </w:tc>
        <w:tc>
          <w:tcPr>
            <w:tcW w:w="0" w:type="dxa"/>
            <w:vAlign w:val="bottom"/>
          </w:tcPr>
          <w:p>
            <w:pPr>
              <w:spacing w:after="0"/>
              <w:rPr>
                <w:sz w:val="1"/>
                <w:szCs w:val="1"/>
                <w:color w:val="auto"/>
              </w:rPr>
            </w:pPr>
          </w:p>
        </w:tc>
      </w:tr>
      <w:tr>
        <w:trPr>
          <w:trHeight w:val="459"/>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2,750</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7,002</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564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2,750</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7,566</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10,316</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1,163</w:t>
            </w:r>
          </w:p>
        </w:tc>
        <w:tc>
          <w:tcPr>
            <w:tcW w:w="0" w:type="dxa"/>
            <w:vAlign w:val="bottom"/>
          </w:tcPr>
          <w:p>
            <w:pPr>
              <w:spacing w:after="0"/>
              <w:rPr>
                <w:sz w:val="1"/>
                <w:szCs w:val="1"/>
                <w:color w:val="auto"/>
              </w:rPr>
            </w:pPr>
          </w:p>
        </w:tc>
      </w:tr>
      <w:tr>
        <w:trPr>
          <w:trHeight w:val="459"/>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5,902</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1,691</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4,711</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572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1,691</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5,283</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6,974</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1,733</w:t>
            </w:r>
          </w:p>
        </w:tc>
        <w:tc>
          <w:tcPr>
            <w:tcW w:w="0" w:type="dxa"/>
            <w:vAlign w:val="bottom"/>
          </w:tcPr>
          <w:p>
            <w:pPr>
              <w:spacing w:after="0"/>
              <w:rPr>
                <w:sz w:val="1"/>
                <w:szCs w:val="1"/>
                <w:color w:val="auto"/>
              </w:rPr>
            </w:pPr>
          </w:p>
        </w:tc>
      </w:tr>
      <w:tr>
        <w:trPr>
          <w:trHeight w:val="459"/>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4,756</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1,985</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4,983</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663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1,985</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5,646</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7,631</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1,846</w:t>
            </w:r>
          </w:p>
        </w:tc>
        <w:tc>
          <w:tcPr>
            <w:tcW w:w="0" w:type="dxa"/>
            <w:vAlign w:val="bottom"/>
          </w:tcPr>
          <w:p>
            <w:pPr>
              <w:spacing w:after="0"/>
              <w:rPr>
                <w:sz w:val="1"/>
                <w:szCs w:val="1"/>
                <w:color w:val="auto"/>
              </w:rPr>
            </w:pPr>
          </w:p>
        </w:tc>
      </w:tr>
      <w:tr>
        <w:trPr>
          <w:trHeight w:val="364"/>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2,765</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1,463</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3,244</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182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1,463</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3,426</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4,889</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1,125</w:t>
            </w:r>
          </w:p>
        </w:tc>
        <w:tc>
          <w:tcPr>
            <w:tcW w:w="0" w:type="dxa"/>
            <w:vAlign w:val="bottom"/>
          </w:tcPr>
          <w:p>
            <w:pPr>
              <w:spacing w:after="0"/>
              <w:rPr>
                <w:sz w:val="1"/>
                <w:szCs w:val="1"/>
                <w:color w:val="auto"/>
              </w:rPr>
            </w:pPr>
          </w:p>
        </w:tc>
      </w:tr>
      <w:tr>
        <w:trPr>
          <w:trHeight w:val="364"/>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2,900</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620</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2,886</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247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620</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3,133</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3,753</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107</w:t>
            </w:r>
          </w:p>
        </w:tc>
        <w:tc>
          <w:tcPr>
            <w:tcW w:w="0" w:type="dxa"/>
            <w:vAlign w:val="bottom"/>
          </w:tcPr>
          <w:p>
            <w:pPr>
              <w:spacing w:after="0"/>
              <w:rPr>
                <w:sz w:val="1"/>
                <w:szCs w:val="1"/>
                <w:color w:val="auto"/>
              </w:rPr>
            </w:pPr>
          </w:p>
        </w:tc>
      </w:tr>
      <w:tr>
        <w:trPr>
          <w:trHeight w:val="459"/>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6,256</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660</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12,590</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277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660</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12,867</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13,527</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416</w:t>
            </w:r>
          </w:p>
        </w:tc>
        <w:tc>
          <w:tcPr>
            <w:tcW w:w="0" w:type="dxa"/>
            <w:vAlign w:val="bottom"/>
          </w:tcPr>
          <w:p>
            <w:pPr>
              <w:spacing w:after="0"/>
              <w:rPr>
                <w:sz w:val="1"/>
                <w:szCs w:val="1"/>
                <w:color w:val="auto"/>
              </w:rPr>
            </w:pPr>
          </w:p>
        </w:tc>
      </w:tr>
      <w:tr>
        <w:trPr>
          <w:trHeight w:val="364"/>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5,643</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1,750</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7,150</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157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1,750</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7,307</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9,057</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1,328</w:t>
            </w:r>
          </w:p>
        </w:tc>
        <w:tc>
          <w:tcPr>
            <w:tcW w:w="0" w:type="dxa"/>
            <w:vAlign w:val="bottom"/>
          </w:tcPr>
          <w:p>
            <w:pPr>
              <w:spacing w:after="0"/>
              <w:rPr>
                <w:sz w:val="1"/>
                <w:szCs w:val="1"/>
                <w:color w:val="auto"/>
              </w:rPr>
            </w:pPr>
          </w:p>
        </w:tc>
      </w:tr>
      <w:tr>
        <w:trPr>
          <w:trHeight w:val="364"/>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2,800</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7,588</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135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2,800</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7,723</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10,523</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1,701</w:t>
            </w:r>
          </w:p>
        </w:tc>
        <w:tc>
          <w:tcPr>
            <w:tcW w:w="0" w:type="dxa"/>
            <w:vAlign w:val="bottom"/>
          </w:tcPr>
          <w:p>
            <w:pPr>
              <w:spacing w:after="0"/>
              <w:rPr>
                <w:sz w:val="1"/>
                <w:szCs w:val="1"/>
                <w:color w:val="auto"/>
              </w:rPr>
            </w:pPr>
          </w:p>
        </w:tc>
      </w:tr>
      <w:tr>
        <w:trPr>
          <w:trHeight w:val="364"/>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5,643</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1,678</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6,807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98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1,678</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6,905</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8,583</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1,132</w:t>
            </w:r>
          </w:p>
        </w:tc>
        <w:tc>
          <w:tcPr>
            <w:tcW w:w="0" w:type="dxa"/>
            <w:vAlign w:val="bottom"/>
          </w:tcPr>
          <w:p>
            <w:pPr>
              <w:spacing w:after="0"/>
              <w:rPr>
                <w:sz w:val="1"/>
                <w:szCs w:val="1"/>
                <w:color w:val="auto"/>
              </w:rPr>
            </w:pPr>
          </w:p>
        </w:tc>
      </w:tr>
      <w:tr>
        <w:trPr>
          <w:trHeight w:val="270"/>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580" w:type="dxa"/>
            <w:vAlign w:val="bottom"/>
          </w:tcPr>
          <w:p>
            <w:pPr>
              <w:jc w:val="center"/>
              <w:spacing w:after="0"/>
              <w:rPr>
                <w:sz w:val="20"/>
                <w:szCs w:val="20"/>
                <w:color w:val="auto"/>
              </w:rPr>
            </w:pPr>
            <w:r>
              <w:rPr>
                <w:rFonts w:ascii="Arial" w:cs="Arial" w:eastAsia="Arial" w:hAnsi="Arial"/>
                <w:sz w:val="16"/>
                <w:szCs w:val="16"/>
                <w:color w:val="auto"/>
                <w:w w:val="93"/>
              </w:rPr>
              <w:t>12,328</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3,214</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8,689</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376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3,214</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9,065</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12,279</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2,275</w:t>
            </w:r>
          </w:p>
        </w:tc>
        <w:tc>
          <w:tcPr>
            <w:tcW w:w="0" w:type="dxa"/>
            <w:vAlign w:val="bottom"/>
          </w:tcPr>
          <w:p>
            <w:pPr>
              <w:spacing w:after="0"/>
              <w:rPr>
                <w:sz w:val="1"/>
                <w:szCs w:val="1"/>
                <w:color w:val="auto"/>
              </w:rPr>
            </w:pPr>
          </w:p>
        </w:tc>
      </w:tr>
      <w:tr>
        <w:trPr>
          <w:trHeight w:val="270"/>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841</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8,102</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159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841</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8,261</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9,102</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215</w:t>
            </w:r>
          </w:p>
        </w:tc>
        <w:tc>
          <w:tcPr>
            <w:tcW w:w="0" w:type="dxa"/>
            <w:vAlign w:val="bottom"/>
          </w:tcPr>
          <w:p>
            <w:pPr>
              <w:spacing w:after="0"/>
              <w:rPr>
                <w:sz w:val="1"/>
                <w:szCs w:val="1"/>
                <w:color w:val="auto"/>
              </w:rPr>
            </w:pPr>
          </w:p>
        </w:tc>
      </w:tr>
      <w:tr>
        <w:trPr>
          <w:trHeight w:val="364"/>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5,609</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490</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10,708</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385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490</w:t>
            </w:r>
          </w:p>
        </w:tc>
        <w:tc>
          <w:tcPr>
            <w:tcW w:w="13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11,093</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11,583</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378</w:t>
            </w:r>
          </w:p>
        </w:tc>
        <w:tc>
          <w:tcPr>
            <w:tcW w:w="0" w:type="dxa"/>
            <w:vAlign w:val="bottom"/>
          </w:tcPr>
          <w:p>
            <w:pPr>
              <w:spacing w:after="0"/>
              <w:rPr>
                <w:sz w:val="1"/>
                <w:szCs w:val="1"/>
                <w:color w:val="auto"/>
              </w:rPr>
            </w:pPr>
          </w:p>
        </w:tc>
      </w:tr>
      <w:tr>
        <w:trPr>
          <w:trHeight w:val="459"/>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4,600</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1,000</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3,744</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304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1,000</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4,048</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5,048</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146</w:t>
            </w:r>
          </w:p>
        </w:tc>
        <w:tc>
          <w:tcPr>
            <w:tcW w:w="0" w:type="dxa"/>
            <w:vAlign w:val="bottom"/>
          </w:tcPr>
          <w:p>
            <w:pPr>
              <w:spacing w:after="0"/>
              <w:rPr>
                <w:sz w:val="1"/>
                <w:szCs w:val="1"/>
                <w:color w:val="auto"/>
              </w:rPr>
            </w:pPr>
          </w:p>
        </w:tc>
      </w:tr>
      <w:tr>
        <w:trPr>
          <w:trHeight w:val="364"/>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4,000</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805</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3,345</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86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805</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3,431</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4,236</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369</w:t>
            </w:r>
          </w:p>
        </w:tc>
        <w:tc>
          <w:tcPr>
            <w:tcW w:w="0" w:type="dxa"/>
            <w:vAlign w:val="bottom"/>
          </w:tcPr>
          <w:p>
            <w:pPr>
              <w:spacing w:after="0"/>
              <w:rPr>
                <w:sz w:val="1"/>
                <w:szCs w:val="1"/>
                <w:color w:val="auto"/>
              </w:rPr>
            </w:pPr>
          </w:p>
        </w:tc>
      </w:tr>
      <w:tr>
        <w:trPr>
          <w:trHeight w:val="270"/>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3,687</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593</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4,701</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224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593</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4,925</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5,518</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670</w:t>
            </w:r>
          </w:p>
        </w:tc>
        <w:tc>
          <w:tcPr>
            <w:tcW w:w="0" w:type="dxa"/>
            <w:vAlign w:val="bottom"/>
          </w:tcPr>
          <w:p>
            <w:pPr>
              <w:spacing w:after="0"/>
              <w:rPr>
                <w:sz w:val="1"/>
                <w:szCs w:val="1"/>
                <w:color w:val="auto"/>
              </w:rPr>
            </w:pPr>
          </w:p>
        </w:tc>
      </w:tr>
      <w:tr>
        <w:trPr>
          <w:trHeight w:val="364"/>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5,297</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871</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6,905</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272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871</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7,177</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8,048</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908</w:t>
            </w:r>
          </w:p>
        </w:tc>
        <w:tc>
          <w:tcPr>
            <w:tcW w:w="0" w:type="dxa"/>
            <w:vAlign w:val="bottom"/>
          </w:tcPr>
          <w:p>
            <w:pPr>
              <w:spacing w:after="0"/>
              <w:rPr>
                <w:sz w:val="1"/>
                <w:szCs w:val="1"/>
                <w:color w:val="auto"/>
              </w:rPr>
            </w:pPr>
          </w:p>
        </w:tc>
      </w:tr>
      <w:tr>
        <w:trPr>
          <w:trHeight w:val="364"/>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529</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3,604</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134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529</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3,738</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4,267</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243</w:t>
            </w:r>
          </w:p>
        </w:tc>
        <w:tc>
          <w:tcPr>
            <w:tcW w:w="0" w:type="dxa"/>
            <w:vAlign w:val="bottom"/>
          </w:tcPr>
          <w:p>
            <w:pPr>
              <w:spacing w:after="0"/>
              <w:rPr>
                <w:sz w:val="1"/>
                <w:szCs w:val="1"/>
                <w:color w:val="auto"/>
              </w:rPr>
            </w:pPr>
          </w:p>
        </w:tc>
      </w:tr>
      <w:tr>
        <w:trPr>
          <w:trHeight w:val="270"/>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6,207</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798</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4,490</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799</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4,499</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5,298</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509</w:t>
            </w:r>
          </w:p>
        </w:tc>
        <w:tc>
          <w:tcPr>
            <w:tcW w:w="0" w:type="dxa"/>
            <w:vAlign w:val="bottom"/>
          </w:tcPr>
          <w:p>
            <w:pPr>
              <w:spacing w:after="0"/>
              <w:rPr>
                <w:sz w:val="1"/>
                <w:szCs w:val="1"/>
                <w:color w:val="auto"/>
              </w:rPr>
            </w:pPr>
          </w:p>
        </w:tc>
      </w:tr>
      <w:tr>
        <w:trPr>
          <w:trHeight w:val="270"/>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5,661</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1,686</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5,163</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316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1,686</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5,479</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7,165</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1,826</w:t>
            </w:r>
          </w:p>
        </w:tc>
        <w:tc>
          <w:tcPr>
            <w:tcW w:w="0" w:type="dxa"/>
            <w:vAlign w:val="bottom"/>
          </w:tcPr>
          <w:p>
            <w:pPr>
              <w:spacing w:after="0"/>
              <w:rPr>
                <w:sz w:val="1"/>
                <w:szCs w:val="1"/>
                <w:color w:val="auto"/>
              </w:rPr>
            </w:pPr>
          </w:p>
        </w:tc>
      </w:tr>
      <w:tr>
        <w:trPr>
          <w:trHeight w:val="270"/>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3,136</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430</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3,139</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4"/>
              </w:rPr>
              <w:t>1,498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469</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4,598</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5,067</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1,740</w:t>
            </w:r>
          </w:p>
        </w:tc>
        <w:tc>
          <w:tcPr>
            <w:tcW w:w="0" w:type="dxa"/>
            <w:vAlign w:val="bottom"/>
          </w:tcPr>
          <w:p>
            <w:pPr>
              <w:spacing w:after="0"/>
              <w:rPr>
                <w:sz w:val="1"/>
                <w:szCs w:val="1"/>
                <w:color w:val="auto"/>
              </w:rPr>
            </w:pPr>
          </w:p>
        </w:tc>
      </w:tr>
      <w:tr>
        <w:trPr>
          <w:trHeight w:val="270"/>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7,777</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3,257</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9,713</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195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3,257</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9,908</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13,165</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1,179</w:t>
            </w:r>
          </w:p>
        </w:tc>
        <w:tc>
          <w:tcPr>
            <w:tcW w:w="0" w:type="dxa"/>
            <w:vAlign w:val="bottom"/>
          </w:tcPr>
          <w:p>
            <w:pPr>
              <w:spacing w:after="0"/>
              <w:rPr>
                <w:sz w:val="1"/>
                <w:szCs w:val="1"/>
                <w:color w:val="auto"/>
              </w:rPr>
            </w:pPr>
          </w:p>
        </w:tc>
      </w:tr>
      <w:tr>
        <w:trPr>
          <w:trHeight w:val="364"/>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6,114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521</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5,198</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133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521</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5,331</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5,852</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785</w:t>
            </w:r>
          </w:p>
        </w:tc>
        <w:tc>
          <w:tcPr>
            <w:tcW w:w="0" w:type="dxa"/>
            <w:vAlign w:val="bottom"/>
          </w:tcPr>
          <w:p>
            <w:pPr>
              <w:spacing w:after="0"/>
              <w:rPr>
                <w:sz w:val="1"/>
                <w:szCs w:val="1"/>
                <w:color w:val="auto"/>
              </w:rPr>
            </w:pPr>
          </w:p>
        </w:tc>
      </w:tr>
      <w:tr>
        <w:trPr>
          <w:trHeight w:val="364"/>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7,475</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1,325</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4,395</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4"/>
              </w:rPr>
              <w:t>2,172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1,419</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6,473</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7,892</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2,420</w:t>
            </w:r>
          </w:p>
        </w:tc>
        <w:tc>
          <w:tcPr>
            <w:tcW w:w="0" w:type="dxa"/>
            <w:vAlign w:val="bottom"/>
          </w:tcPr>
          <w:p>
            <w:pPr>
              <w:spacing w:after="0"/>
              <w:rPr>
                <w:sz w:val="1"/>
                <w:szCs w:val="1"/>
                <w:color w:val="auto"/>
              </w:rPr>
            </w:pPr>
          </w:p>
        </w:tc>
      </w:tr>
      <w:tr>
        <w:trPr>
          <w:trHeight w:val="270"/>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8,742</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1,979</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6,513</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201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1,979</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6,714</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8,693</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825</w:t>
            </w:r>
          </w:p>
        </w:tc>
        <w:tc>
          <w:tcPr>
            <w:tcW w:w="0" w:type="dxa"/>
            <w:vAlign w:val="bottom"/>
          </w:tcPr>
          <w:p>
            <w:pPr>
              <w:spacing w:after="0"/>
              <w:rPr>
                <w:sz w:val="1"/>
                <w:szCs w:val="1"/>
                <w:color w:val="auto"/>
              </w:rPr>
            </w:pPr>
          </w:p>
        </w:tc>
      </w:tr>
      <w:tr>
        <w:trPr>
          <w:trHeight w:val="270"/>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4,872</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9,846</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4,872</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9,854</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14,726</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84</w:t>
            </w:r>
          </w:p>
        </w:tc>
        <w:tc>
          <w:tcPr>
            <w:tcW w:w="0" w:type="dxa"/>
            <w:vAlign w:val="bottom"/>
          </w:tcPr>
          <w:p>
            <w:pPr>
              <w:spacing w:after="0"/>
              <w:rPr>
                <w:sz w:val="1"/>
                <w:szCs w:val="1"/>
                <w:color w:val="auto"/>
              </w:rPr>
            </w:pPr>
          </w:p>
        </w:tc>
      </w:tr>
      <w:tr>
        <w:trPr>
          <w:trHeight w:val="270"/>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2,375</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5,543</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2"/>
              </w:rPr>
              <w:t>117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2,374</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5,661</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8,035</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818</w:t>
            </w:r>
          </w:p>
        </w:tc>
        <w:tc>
          <w:tcPr>
            <w:tcW w:w="0" w:type="dxa"/>
            <w:vAlign w:val="bottom"/>
          </w:tcPr>
          <w:p>
            <w:pPr>
              <w:spacing w:after="0"/>
              <w:rPr>
                <w:sz w:val="1"/>
                <w:szCs w:val="1"/>
                <w:color w:val="auto"/>
              </w:rPr>
            </w:pPr>
          </w:p>
        </w:tc>
      </w:tr>
      <w:tr>
        <w:trPr>
          <w:trHeight w:val="270"/>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4,181</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1,238</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7,597</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506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1,238</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8,103</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9,341</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2,131</w:t>
            </w:r>
          </w:p>
        </w:tc>
        <w:tc>
          <w:tcPr>
            <w:tcW w:w="0" w:type="dxa"/>
            <w:vAlign w:val="bottom"/>
          </w:tcPr>
          <w:p>
            <w:pPr>
              <w:spacing w:after="0"/>
              <w:rPr>
                <w:sz w:val="1"/>
                <w:szCs w:val="1"/>
                <w:color w:val="auto"/>
              </w:rPr>
            </w:pPr>
          </w:p>
        </w:tc>
      </w:tr>
      <w:tr>
        <w:trPr>
          <w:trHeight w:val="270"/>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9,678</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3,305</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11,997</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68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3,305</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12,065</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15,370</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974</w:t>
            </w:r>
          </w:p>
        </w:tc>
        <w:tc>
          <w:tcPr>
            <w:tcW w:w="0" w:type="dxa"/>
            <w:vAlign w:val="bottom"/>
          </w:tcPr>
          <w:p>
            <w:pPr>
              <w:spacing w:after="0"/>
              <w:rPr>
                <w:sz w:val="1"/>
                <w:szCs w:val="1"/>
                <w:color w:val="auto"/>
              </w:rPr>
            </w:pPr>
          </w:p>
        </w:tc>
      </w:tr>
      <w:tr>
        <w:trPr>
          <w:trHeight w:val="364"/>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5,315</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4,305</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2,117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5,859</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5,878</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11,737</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2,276</w:t>
            </w:r>
          </w:p>
        </w:tc>
        <w:tc>
          <w:tcPr>
            <w:tcW w:w="0" w:type="dxa"/>
            <w:vAlign w:val="bottom"/>
          </w:tcPr>
          <w:p>
            <w:pPr>
              <w:spacing w:after="0"/>
              <w:rPr>
                <w:sz w:val="1"/>
                <w:szCs w:val="1"/>
                <w:color w:val="auto"/>
              </w:rPr>
            </w:pPr>
          </w:p>
        </w:tc>
      </w:tr>
      <w:tr>
        <w:trPr>
          <w:trHeight w:val="459"/>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6,564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4,798</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9,475</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149</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4,798</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9,624</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14,422</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1,777</w:t>
            </w:r>
          </w:p>
        </w:tc>
        <w:tc>
          <w:tcPr>
            <w:tcW w:w="0" w:type="dxa"/>
            <w:vAlign w:val="bottom"/>
          </w:tcPr>
          <w:p>
            <w:pPr>
              <w:spacing w:after="0"/>
              <w:rPr>
                <w:sz w:val="1"/>
                <w:szCs w:val="1"/>
                <w:color w:val="auto"/>
              </w:rPr>
            </w:pPr>
          </w:p>
        </w:tc>
      </w:tr>
      <w:tr>
        <w:trPr>
          <w:trHeight w:val="459"/>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2,633</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1,052</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2,716</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1,052</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2,748</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3,800</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65</w:t>
            </w:r>
          </w:p>
        </w:tc>
        <w:tc>
          <w:tcPr>
            <w:tcW w:w="0" w:type="dxa"/>
            <w:vAlign w:val="bottom"/>
          </w:tcPr>
          <w:p>
            <w:pPr>
              <w:spacing w:after="0"/>
              <w:rPr>
                <w:sz w:val="1"/>
                <w:szCs w:val="1"/>
                <w:color w:val="auto"/>
              </w:rPr>
            </w:pPr>
          </w:p>
        </w:tc>
      </w:tr>
      <w:tr>
        <w:trPr>
          <w:trHeight w:val="459"/>
        </w:trPr>
        <w:tc>
          <w:tcPr>
            <w:tcW w:w="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FL</w:t>
            </w:r>
          </w:p>
        </w:tc>
        <w:tc>
          <w:tcPr>
            <w:tcW w:w="580" w:type="dxa"/>
            <w:vAlign w:val="bottom"/>
          </w:tcPr>
          <w:p>
            <w:pPr>
              <w:jc w:val="center"/>
              <w:spacing w:after="0"/>
              <w:rPr>
                <w:sz w:val="20"/>
                <w:szCs w:val="20"/>
                <w:color w:val="auto"/>
              </w:rPr>
            </w:pPr>
            <w:r>
              <w:rPr>
                <w:rFonts w:ascii="Arial" w:cs="Arial" w:eastAsia="Arial" w:hAnsi="Arial"/>
                <w:sz w:val="16"/>
                <w:szCs w:val="16"/>
                <w:color w:val="auto"/>
                <w:w w:val="93"/>
              </w:rPr>
              <w:t>13,148</w:t>
            </w:r>
          </w:p>
        </w:tc>
        <w:tc>
          <w:tcPr>
            <w:tcW w:w="100" w:type="dxa"/>
            <w:vAlign w:val="bottom"/>
          </w:tcPr>
          <w:p>
            <w:pPr>
              <w:spacing w:after="0"/>
              <w:rPr>
                <w:sz w:val="24"/>
                <w:szCs w:val="2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17,220</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169</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17,389</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17,389</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674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-9203690</wp:posOffset>
            </wp:positionV>
            <wp:extent cx="7246620" cy="1797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970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-8852535</wp:posOffset>
            </wp:positionV>
            <wp:extent cx="724662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-8510270</wp:posOffset>
            </wp:positionV>
            <wp:extent cx="724662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-8167370</wp:posOffset>
            </wp:positionV>
            <wp:extent cx="724662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-7824470</wp:posOffset>
            </wp:positionV>
            <wp:extent cx="724662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-7362190</wp:posOffset>
            </wp:positionV>
            <wp:extent cx="7246620" cy="291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-6779895</wp:posOffset>
            </wp:positionV>
            <wp:extent cx="7246620" cy="291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-6196965</wp:posOffset>
            </wp:positionV>
            <wp:extent cx="724662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-5734685</wp:posOffset>
            </wp:positionV>
            <wp:extent cx="7246620" cy="291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-5272405</wp:posOffset>
            </wp:positionV>
            <wp:extent cx="7246620" cy="291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-4809490</wp:posOffset>
            </wp:positionV>
            <wp:extent cx="7246620"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-4467225</wp:posOffset>
            </wp:positionV>
            <wp:extent cx="7246620" cy="291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-3884295</wp:posOffset>
            </wp:positionV>
            <wp:extent cx="724662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-3542030</wp:posOffset>
            </wp:positionV>
            <wp:extent cx="7246620" cy="291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-3079115</wp:posOffset>
            </wp:positionV>
            <wp:extent cx="724662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-2736850</wp:posOffset>
            </wp:positionV>
            <wp:extent cx="724662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-2393950</wp:posOffset>
            </wp:positionV>
            <wp:extent cx="7246620" cy="291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-1931670</wp:posOffset>
            </wp:positionV>
            <wp:extent cx="724662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-1588770</wp:posOffset>
            </wp:positionV>
            <wp:extent cx="724662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-1246505</wp:posOffset>
            </wp:positionV>
            <wp:extent cx="724662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-783590</wp:posOffset>
            </wp:positionV>
            <wp:extent cx="7246620" cy="291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-201295</wp:posOffset>
            </wp:positionV>
            <wp:extent cx="7246620" cy="291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ectPr>
          <w:pgSz w:w="11900" w:h="16838" w:orient="portrait"/>
          <w:cols w:equalWidth="0" w:num="2">
            <w:col w:w="2580" w:space="120"/>
            <w:col w:w="8720"/>
          </w:cols>
          <w:pgMar w:left="240" w:top="962" w:right="239" w:bottom="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0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11/1/2013</w:t>
            </w:r>
          </w:p>
        </w:tc>
        <w:tc>
          <w:tcPr>
            <w:tcW w:w="1620" w:type="dxa"/>
            <w:vAlign w:val="bottom"/>
          </w:tcPr>
          <w:p>
            <w:pPr>
              <w:ind w:left="60"/>
              <w:spacing w:after="0"/>
              <w:rPr>
                <w:sz w:val="20"/>
                <w:szCs w:val="20"/>
                <w:color w:val="auto"/>
              </w:rPr>
            </w:pPr>
            <w:r>
              <w:rPr>
                <w:rFonts w:ascii="Arial" w:cs="Arial" w:eastAsia="Arial" w:hAnsi="Arial"/>
                <w:sz w:val="16"/>
                <w:szCs w:val="16"/>
                <w:color w:val="auto"/>
              </w:rPr>
              <w:t>Naples / Old US 41</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11/8/2013</w:t>
            </w:r>
          </w:p>
        </w:tc>
        <w:tc>
          <w:tcPr>
            <w:tcW w:w="1620" w:type="dxa"/>
            <w:vAlign w:val="bottom"/>
          </w:tcPr>
          <w:p>
            <w:pPr>
              <w:ind w:left="60"/>
              <w:spacing w:after="0"/>
              <w:rPr>
                <w:sz w:val="20"/>
                <w:szCs w:val="20"/>
                <w:color w:val="auto"/>
              </w:rPr>
            </w:pPr>
            <w:r>
              <w:rPr>
                <w:rFonts w:ascii="Arial" w:cs="Arial" w:eastAsia="Arial" w:hAnsi="Arial"/>
                <w:sz w:val="16"/>
                <w:szCs w:val="16"/>
                <w:color w:val="auto"/>
              </w:rPr>
              <w:t>Naranja</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8/10/2000</w:t>
            </w:r>
          </w:p>
        </w:tc>
        <w:tc>
          <w:tcPr>
            <w:tcW w:w="1620" w:type="dxa"/>
            <w:vAlign w:val="bottom"/>
          </w:tcPr>
          <w:p>
            <w:pPr>
              <w:ind w:left="60"/>
              <w:spacing w:after="0"/>
              <w:rPr>
                <w:sz w:val="20"/>
                <w:szCs w:val="20"/>
                <w:color w:val="auto"/>
              </w:rPr>
            </w:pPr>
            <w:r>
              <w:rPr>
                <w:rFonts w:ascii="Arial" w:cs="Arial" w:eastAsia="Arial" w:hAnsi="Arial"/>
                <w:sz w:val="16"/>
                <w:szCs w:val="16"/>
                <w:color w:val="auto"/>
              </w:rPr>
              <w:t>North Lauderdale</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6/1/2004</w:t>
            </w:r>
          </w:p>
        </w:tc>
        <w:tc>
          <w:tcPr>
            <w:tcW w:w="1620" w:type="dxa"/>
            <w:vAlign w:val="bottom"/>
          </w:tcPr>
          <w:p>
            <w:pPr>
              <w:ind w:left="60"/>
              <w:spacing w:after="0"/>
              <w:rPr>
                <w:sz w:val="20"/>
                <w:szCs w:val="20"/>
                <w:color w:val="auto"/>
              </w:rPr>
            </w:pPr>
            <w:r>
              <w:rPr>
                <w:rFonts w:ascii="Arial" w:cs="Arial" w:eastAsia="Arial" w:hAnsi="Arial"/>
                <w:sz w:val="16"/>
                <w:szCs w:val="16"/>
                <w:color w:val="auto"/>
              </w:rPr>
              <w:t>North Miami</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620" w:type="dxa"/>
            <w:vAlign w:val="bottom"/>
          </w:tcPr>
          <w:p>
            <w:pPr>
              <w:ind w:left="60"/>
              <w:spacing w:after="0"/>
              <w:rPr>
                <w:sz w:val="20"/>
                <w:szCs w:val="20"/>
                <w:color w:val="auto"/>
              </w:rPr>
            </w:pPr>
            <w:r>
              <w:rPr>
                <w:rFonts w:ascii="Arial" w:cs="Arial" w:eastAsia="Arial" w:hAnsi="Arial"/>
                <w:sz w:val="16"/>
                <w:szCs w:val="16"/>
                <w:color w:val="auto"/>
              </w:rPr>
              <w:t>Oakland Park</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3/8/2005</w:t>
            </w:r>
          </w:p>
        </w:tc>
        <w:tc>
          <w:tcPr>
            <w:tcW w:w="1620" w:type="dxa"/>
            <w:vAlign w:val="bottom"/>
          </w:tcPr>
          <w:p>
            <w:pPr>
              <w:ind w:left="60"/>
              <w:spacing w:after="0"/>
              <w:rPr>
                <w:sz w:val="20"/>
                <w:szCs w:val="20"/>
                <w:color w:val="auto"/>
              </w:rPr>
            </w:pPr>
            <w:r>
              <w:rPr>
                <w:rFonts w:ascii="Arial" w:cs="Arial" w:eastAsia="Arial" w:hAnsi="Arial"/>
                <w:sz w:val="16"/>
                <w:szCs w:val="16"/>
                <w:color w:val="auto"/>
              </w:rPr>
              <w:t>Ocoee</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11/19/2015</w:t>
            </w:r>
          </w:p>
        </w:tc>
        <w:tc>
          <w:tcPr>
            <w:tcW w:w="1620" w:type="dxa"/>
            <w:vAlign w:val="bottom"/>
          </w:tcPr>
          <w:p>
            <w:pPr>
              <w:ind w:left="60"/>
              <w:spacing w:after="0"/>
              <w:rPr>
                <w:sz w:val="20"/>
                <w:szCs w:val="20"/>
                <w:color w:val="auto"/>
              </w:rPr>
            </w:pPr>
            <w:r>
              <w:rPr>
                <w:rFonts w:ascii="Arial" w:cs="Arial" w:eastAsia="Arial" w:hAnsi="Arial"/>
                <w:sz w:val="16"/>
                <w:szCs w:val="16"/>
                <w:color w:val="auto"/>
                <w:w w:val="99"/>
              </w:rPr>
              <w:t>Orlando / Hoffner Ave</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3/8/2005</w:t>
            </w:r>
          </w:p>
        </w:tc>
        <w:tc>
          <w:tcPr>
            <w:tcW w:w="1620" w:type="dxa"/>
            <w:vAlign w:val="bottom"/>
          </w:tcPr>
          <w:p>
            <w:pPr>
              <w:ind w:left="60"/>
              <w:spacing w:after="0"/>
              <w:rPr>
                <w:sz w:val="20"/>
                <w:szCs w:val="20"/>
                <w:color w:val="auto"/>
              </w:rPr>
            </w:pPr>
            <w:r>
              <w:rPr>
                <w:rFonts w:ascii="Arial" w:cs="Arial" w:eastAsia="Arial" w:hAnsi="Arial"/>
                <w:sz w:val="16"/>
                <w:szCs w:val="16"/>
                <w:color w:val="auto"/>
              </w:rPr>
              <w:t>Orlando / Hunters</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20" w:type="dxa"/>
            <w:vAlign w:val="bottom"/>
            <w:vMerge w:val="restart"/>
          </w:tcPr>
          <w:p>
            <w:pPr>
              <w:ind w:left="60"/>
              <w:spacing w:after="0"/>
              <w:rPr>
                <w:sz w:val="20"/>
                <w:szCs w:val="20"/>
                <w:color w:val="auto"/>
              </w:rPr>
            </w:pPr>
            <w:r>
              <w:rPr>
                <w:rFonts w:ascii="Arial" w:cs="Arial" w:eastAsia="Arial" w:hAnsi="Arial"/>
                <w:sz w:val="16"/>
                <w:szCs w:val="16"/>
                <w:color w:val="auto"/>
              </w:rPr>
              <w:t>Creek</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8/26/2004</w:t>
            </w:r>
          </w:p>
        </w:tc>
        <w:tc>
          <w:tcPr>
            <w:tcW w:w="1620" w:type="dxa"/>
            <w:vAlign w:val="bottom"/>
          </w:tcPr>
          <w:p>
            <w:pPr>
              <w:ind w:left="60"/>
              <w:spacing w:after="0"/>
              <w:rPr>
                <w:sz w:val="20"/>
                <w:szCs w:val="20"/>
                <w:color w:val="auto"/>
              </w:rPr>
            </w:pPr>
            <w:r>
              <w:rPr>
                <w:rFonts w:ascii="Arial" w:cs="Arial" w:eastAsia="Arial" w:hAnsi="Arial"/>
                <w:sz w:val="16"/>
                <w:szCs w:val="16"/>
                <w:color w:val="auto"/>
              </w:rPr>
              <w:t>Orlando / LB McLeod</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20" w:type="dxa"/>
            <w:vAlign w:val="bottom"/>
            <w:vMerge w:val="restart"/>
          </w:tcPr>
          <w:p>
            <w:pPr>
              <w:ind w:left="60"/>
              <w:spacing w:after="0"/>
              <w:rPr>
                <w:sz w:val="20"/>
                <w:szCs w:val="20"/>
                <w:color w:val="auto"/>
              </w:rPr>
            </w:pPr>
            <w:r>
              <w:rPr>
                <w:rFonts w:ascii="Arial" w:cs="Arial" w:eastAsia="Arial" w:hAnsi="Arial"/>
                <w:sz w:val="16"/>
                <w:szCs w:val="16"/>
                <w:color w:val="auto"/>
              </w:rPr>
              <w:t>Rd</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6/17/2015</w:t>
            </w:r>
          </w:p>
        </w:tc>
        <w:tc>
          <w:tcPr>
            <w:tcW w:w="1620" w:type="dxa"/>
            <w:vAlign w:val="bottom"/>
          </w:tcPr>
          <w:p>
            <w:pPr>
              <w:ind w:left="60"/>
              <w:spacing w:after="0"/>
              <w:rPr>
                <w:sz w:val="20"/>
                <w:szCs w:val="20"/>
                <w:color w:val="auto"/>
              </w:rPr>
            </w:pPr>
            <w:r>
              <w:rPr>
                <w:rFonts w:ascii="Arial" w:cs="Arial" w:eastAsia="Arial" w:hAnsi="Arial"/>
                <w:sz w:val="16"/>
                <w:szCs w:val="16"/>
                <w:color w:val="auto"/>
              </w:rPr>
              <w:t>Orlando / Lee Rd</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3/8/2005</w:t>
            </w:r>
          </w:p>
        </w:tc>
        <w:tc>
          <w:tcPr>
            <w:tcW w:w="1620" w:type="dxa"/>
            <w:vAlign w:val="bottom"/>
          </w:tcPr>
          <w:p>
            <w:pPr>
              <w:ind w:left="60"/>
              <w:spacing w:after="0"/>
              <w:rPr>
                <w:sz w:val="20"/>
                <w:szCs w:val="20"/>
                <w:color w:val="auto"/>
              </w:rPr>
            </w:pPr>
            <w:r>
              <w:rPr>
                <w:rFonts w:ascii="Arial" w:cs="Arial" w:eastAsia="Arial" w:hAnsi="Arial"/>
                <w:sz w:val="16"/>
                <w:szCs w:val="16"/>
                <w:color w:val="auto"/>
              </w:rPr>
              <w:t>Orlando / Metrowest</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7/15/2010</w:t>
            </w:r>
          </w:p>
        </w:tc>
        <w:tc>
          <w:tcPr>
            <w:tcW w:w="1620" w:type="dxa"/>
            <w:vAlign w:val="bottom"/>
          </w:tcPr>
          <w:p>
            <w:pPr>
              <w:ind w:left="60"/>
              <w:spacing w:after="0"/>
              <w:rPr>
                <w:sz w:val="20"/>
                <w:szCs w:val="20"/>
                <w:color w:val="auto"/>
              </w:rPr>
            </w:pPr>
            <w:r>
              <w:rPr>
                <w:rFonts w:ascii="Arial" w:cs="Arial" w:eastAsia="Arial" w:hAnsi="Arial"/>
                <w:sz w:val="16"/>
                <w:szCs w:val="16"/>
                <w:color w:val="auto"/>
              </w:rPr>
              <w:t>Orlando / Orange</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20" w:type="dxa"/>
            <w:vAlign w:val="bottom"/>
            <w:vMerge w:val="restart"/>
          </w:tcPr>
          <w:p>
            <w:pPr>
              <w:ind w:left="60"/>
              <w:spacing w:after="0"/>
              <w:rPr>
                <w:sz w:val="20"/>
                <w:szCs w:val="20"/>
                <w:color w:val="auto"/>
              </w:rPr>
            </w:pPr>
            <w:r>
              <w:rPr>
                <w:rFonts w:ascii="Arial" w:cs="Arial" w:eastAsia="Arial" w:hAnsi="Arial"/>
                <w:sz w:val="16"/>
                <w:szCs w:val="16"/>
                <w:color w:val="auto"/>
              </w:rPr>
              <w:t>Blossom Trail</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3/8/2005</w:t>
            </w:r>
          </w:p>
        </w:tc>
        <w:tc>
          <w:tcPr>
            <w:tcW w:w="1620" w:type="dxa"/>
            <w:vAlign w:val="bottom"/>
          </w:tcPr>
          <w:p>
            <w:pPr>
              <w:ind w:left="60"/>
              <w:spacing w:after="0"/>
              <w:rPr>
                <w:sz w:val="20"/>
                <w:szCs w:val="20"/>
                <w:color w:val="auto"/>
              </w:rPr>
            </w:pPr>
            <w:r>
              <w:rPr>
                <w:rFonts w:ascii="Arial" w:cs="Arial" w:eastAsia="Arial" w:hAnsi="Arial"/>
                <w:sz w:val="16"/>
                <w:szCs w:val="16"/>
                <w:color w:val="auto"/>
              </w:rPr>
              <w:t>Orlando / Waterford</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20" w:type="dxa"/>
            <w:vAlign w:val="bottom"/>
            <w:vMerge w:val="restart"/>
          </w:tcPr>
          <w:p>
            <w:pPr>
              <w:ind w:left="60"/>
              <w:spacing w:after="0"/>
              <w:rPr>
                <w:sz w:val="20"/>
                <w:szCs w:val="20"/>
                <w:color w:val="auto"/>
              </w:rPr>
            </w:pPr>
            <w:r>
              <w:rPr>
                <w:rFonts w:ascii="Arial" w:cs="Arial" w:eastAsia="Arial" w:hAnsi="Arial"/>
                <w:sz w:val="16"/>
                <w:szCs w:val="16"/>
                <w:color w:val="auto"/>
              </w:rPr>
              <w:t>Lakes</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11/7/2013</w:t>
            </w:r>
          </w:p>
        </w:tc>
        <w:tc>
          <w:tcPr>
            <w:tcW w:w="1620" w:type="dxa"/>
            <w:vAlign w:val="bottom"/>
          </w:tcPr>
          <w:p>
            <w:pPr>
              <w:ind w:left="60"/>
              <w:spacing w:after="0"/>
              <w:rPr>
                <w:sz w:val="20"/>
                <w:szCs w:val="20"/>
                <w:color w:val="auto"/>
              </w:rPr>
            </w:pPr>
            <w:r>
              <w:rPr>
                <w:rFonts w:ascii="Arial" w:cs="Arial" w:eastAsia="Arial" w:hAnsi="Arial"/>
                <w:sz w:val="16"/>
                <w:szCs w:val="16"/>
                <w:color w:val="auto"/>
              </w:rPr>
              <w:t>Palm Springs</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5/31/2013</w:t>
            </w:r>
          </w:p>
        </w:tc>
        <w:tc>
          <w:tcPr>
            <w:tcW w:w="1620" w:type="dxa"/>
            <w:vAlign w:val="bottom"/>
          </w:tcPr>
          <w:p>
            <w:pPr>
              <w:ind w:left="60"/>
              <w:spacing w:after="0"/>
              <w:rPr>
                <w:sz w:val="20"/>
                <w:szCs w:val="20"/>
                <w:color w:val="auto"/>
              </w:rPr>
            </w:pPr>
            <w:r>
              <w:rPr>
                <w:rFonts w:ascii="Arial" w:cs="Arial" w:eastAsia="Arial" w:hAnsi="Arial"/>
                <w:sz w:val="16"/>
                <w:szCs w:val="16"/>
                <w:color w:val="auto"/>
              </w:rPr>
              <w:t>Plantation</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8/26/2004</w:t>
            </w:r>
          </w:p>
        </w:tc>
        <w:tc>
          <w:tcPr>
            <w:tcW w:w="1620" w:type="dxa"/>
            <w:vAlign w:val="bottom"/>
          </w:tcPr>
          <w:p>
            <w:pPr>
              <w:ind w:left="60"/>
              <w:spacing w:after="0"/>
              <w:rPr>
                <w:sz w:val="20"/>
                <w:szCs w:val="20"/>
                <w:color w:val="auto"/>
              </w:rPr>
            </w:pPr>
            <w:r>
              <w:rPr>
                <w:rFonts w:ascii="Arial" w:cs="Arial" w:eastAsia="Arial" w:hAnsi="Arial"/>
                <w:sz w:val="16"/>
                <w:szCs w:val="16"/>
                <w:color w:val="auto"/>
              </w:rPr>
              <w:t>Port Charlotte</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8/26/2004</w:t>
            </w:r>
          </w:p>
        </w:tc>
        <w:tc>
          <w:tcPr>
            <w:tcW w:w="1620" w:type="dxa"/>
            <w:vAlign w:val="bottom"/>
          </w:tcPr>
          <w:p>
            <w:pPr>
              <w:ind w:left="60"/>
              <w:spacing w:after="0"/>
              <w:rPr>
                <w:sz w:val="20"/>
                <w:szCs w:val="20"/>
                <w:color w:val="auto"/>
              </w:rPr>
            </w:pPr>
            <w:r>
              <w:rPr>
                <w:rFonts w:ascii="Arial" w:cs="Arial" w:eastAsia="Arial" w:hAnsi="Arial"/>
                <w:sz w:val="16"/>
                <w:szCs w:val="16"/>
                <w:color w:val="auto"/>
              </w:rPr>
              <w:t>Riverview</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11/30/2012</w:t>
            </w:r>
          </w:p>
        </w:tc>
        <w:tc>
          <w:tcPr>
            <w:tcW w:w="1620" w:type="dxa"/>
            <w:vAlign w:val="bottom"/>
          </w:tcPr>
          <w:p>
            <w:pPr>
              <w:ind w:left="60"/>
              <w:spacing w:after="0"/>
              <w:rPr>
                <w:sz w:val="20"/>
                <w:szCs w:val="20"/>
                <w:color w:val="auto"/>
              </w:rPr>
            </w:pPr>
            <w:r>
              <w:rPr>
                <w:rFonts w:ascii="Arial" w:cs="Arial" w:eastAsia="Arial" w:hAnsi="Arial"/>
                <w:sz w:val="16"/>
                <w:szCs w:val="16"/>
                <w:color w:val="auto"/>
              </w:rPr>
              <w:t>Sarasota / Clark Rd</w:t>
            </w:r>
          </w:p>
        </w:tc>
        <w:tc>
          <w:tcPr>
            <w:tcW w:w="0" w:type="dxa"/>
            <w:vAlign w:val="bottom"/>
          </w:tcPr>
          <w:p>
            <w:pPr>
              <w:spacing w:after="0"/>
              <w:rPr>
                <w:sz w:val="1"/>
                <w:szCs w:val="1"/>
                <w:color w:val="auto"/>
              </w:rPr>
            </w:pPr>
          </w:p>
        </w:tc>
      </w:tr>
      <w:tr>
        <w:trPr>
          <w:trHeight w:val="31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12/23/2014</w:t>
            </w:r>
          </w:p>
        </w:tc>
        <w:tc>
          <w:tcPr>
            <w:tcW w:w="1620" w:type="dxa"/>
            <w:vAlign w:val="bottom"/>
          </w:tcPr>
          <w:p>
            <w:pPr>
              <w:ind w:left="60"/>
              <w:spacing w:after="0"/>
              <w:rPr>
                <w:sz w:val="20"/>
                <w:szCs w:val="20"/>
                <w:color w:val="auto"/>
              </w:rPr>
            </w:pPr>
            <w:r>
              <w:rPr>
                <w:rFonts w:ascii="Arial" w:cs="Arial" w:eastAsia="Arial" w:hAnsi="Arial"/>
                <w:sz w:val="16"/>
                <w:szCs w:val="16"/>
                <w:color w:val="auto"/>
                <w:w w:val="95"/>
              </w:rPr>
              <w:t>Sarasota / Washington</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1620" w:type="dxa"/>
            <w:vAlign w:val="bottom"/>
          </w:tcPr>
          <w:p>
            <w:pPr>
              <w:ind w:left="60"/>
              <w:spacing w:after="0"/>
              <w:rPr>
                <w:sz w:val="20"/>
                <w:szCs w:val="20"/>
                <w:color w:val="auto"/>
              </w:rPr>
            </w:pPr>
            <w:r>
              <w:rPr>
                <w:rFonts w:ascii="Arial" w:cs="Arial" w:eastAsia="Arial" w:hAnsi="Arial"/>
                <w:sz w:val="16"/>
                <w:szCs w:val="16"/>
                <w:color w:val="auto"/>
              </w:rPr>
              <w:t>Blvd</w:t>
            </w:r>
          </w:p>
        </w:tc>
        <w:tc>
          <w:tcPr>
            <w:tcW w:w="0" w:type="dxa"/>
            <w:vAlign w:val="bottom"/>
          </w:tcPr>
          <w:p>
            <w:pPr>
              <w:spacing w:after="0"/>
              <w:rPr>
                <w:sz w:val="1"/>
                <w:szCs w:val="1"/>
                <w:color w:val="auto"/>
              </w:rPr>
            </w:pPr>
          </w:p>
        </w:tc>
      </w:tr>
      <w:tr>
        <w:trPr>
          <w:trHeight w:val="20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12/3/2012</w:t>
            </w:r>
          </w:p>
        </w:tc>
        <w:tc>
          <w:tcPr>
            <w:tcW w:w="1620" w:type="dxa"/>
            <w:vAlign w:val="bottom"/>
          </w:tcPr>
          <w:p>
            <w:pPr>
              <w:ind w:left="60"/>
              <w:spacing w:after="0"/>
              <w:rPr>
                <w:sz w:val="20"/>
                <w:szCs w:val="20"/>
                <w:color w:val="auto"/>
              </w:rPr>
            </w:pPr>
            <w:r>
              <w:rPr>
                <w:rFonts w:ascii="Arial" w:cs="Arial" w:eastAsia="Arial" w:hAnsi="Arial"/>
                <w:sz w:val="16"/>
                <w:szCs w:val="16"/>
                <w:color w:val="auto"/>
              </w:rPr>
              <w:t>Seminole</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12/23/2014</w:t>
            </w:r>
          </w:p>
        </w:tc>
        <w:tc>
          <w:tcPr>
            <w:tcW w:w="1620" w:type="dxa"/>
            <w:vAlign w:val="bottom"/>
          </w:tcPr>
          <w:p>
            <w:pPr>
              <w:ind w:left="60"/>
              <w:spacing w:after="0"/>
              <w:rPr>
                <w:sz w:val="20"/>
                <w:szCs w:val="20"/>
                <w:color w:val="auto"/>
              </w:rPr>
            </w:pPr>
            <w:r>
              <w:rPr>
                <w:rFonts w:ascii="Arial" w:cs="Arial" w:eastAsia="Arial" w:hAnsi="Arial"/>
                <w:sz w:val="16"/>
                <w:szCs w:val="16"/>
                <w:color w:val="auto"/>
              </w:rPr>
              <w:t>South Pasadena</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4/15/2014</w:t>
            </w:r>
          </w:p>
        </w:tc>
        <w:tc>
          <w:tcPr>
            <w:tcW w:w="1620" w:type="dxa"/>
            <w:vAlign w:val="bottom"/>
          </w:tcPr>
          <w:p>
            <w:pPr>
              <w:ind w:left="60"/>
              <w:spacing w:after="0"/>
              <w:rPr>
                <w:sz w:val="20"/>
                <w:szCs w:val="20"/>
                <w:color w:val="auto"/>
              </w:rPr>
            </w:pPr>
            <w:r>
              <w:rPr>
                <w:rFonts w:ascii="Arial" w:cs="Arial" w:eastAsia="Arial" w:hAnsi="Arial"/>
                <w:sz w:val="16"/>
                <w:szCs w:val="16"/>
                <w:color w:val="auto"/>
                <w:w w:val="93"/>
              </w:rPr>
              <w:t>Stuart / Gran Park Way</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620" w:type="dxa"/>
            <w:vAlign w:val="bottom"/>
          </w:tcPr>
          <w:p>
            <w:pPr>
              <w:ind w:left="60"/>
              <w:spacing w:after="0"/>
              <w:rPr>
                <w:sz w:val="20"/>
                <w:szCs w:val="20"/>
                <w:color w:val="auto"/>
              </w:rPr>
            </w:pPr>
            <w:r>
              <w:rPr>
                <w:rFonts w:ascii="Arial" w:cs="Arial" w:eastAsia="Arial" w:hAnsi="Arial"/>
                <w:sz w:val="16"/>
                <w:szCs w:val="16"/>
                <w:color w:val="auto"/>
              </w:rPr>
              <w:t>Stuart / Kanner Hwy</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620" w:type="dxa"/>
            <w:vAlign w:val="bottom"/>
          </w:tcPr>
          <w:p>
            <w:pPr>
              <w:ind w:left="60"/>
              <w:spacing w:after="0"/>
              <w:rPr>
                <w:sz w:val="20"/>
                <w:szCs w:val="20"/>
                <w:color w:val="auto"/>
              </w:rPr>
            </w:pPr>
            <w:r>
              <w:rPr>
                <w:rFonts w:ascii="Arial" w:cs="Arial" w:eastAsia="Arial" w:hAnsi="Arial"/>
                <w:sz w:val="16"/>
                <w:szCs w:val="16"/>
                <w:color w:val="auto"/>
              </w:rPr>
              <w:t>Stuart / NW Federal</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20" w:type="dxa"/>
            <w:vAlign w:val="bottom"/>
            <w:vMerge w:val="restart"/>
          </w:tcPr>
          <w:p>
            <w:pPr>
              <w:ind w:left="60"/>
              <w:spacing w:after="0"/>
              <w:rPr>
                <w:sz w:val="20"/>
                <w:szCs w:val="20"/>
                <w:color w:val="auto"/>
              </w:rPr>
            </w:pPr>
            <w:r>
              <w:rPr>
                <w:rFonts w:ascii="Arial" w:cs="Arial" w:eastAsia="Arial" w:hAnsi="Arial"/>
                <w:sz w:val="16"/>
                <w:szCs w:val="16"/>
                <w:color w:val="auto"/>
              </w:rPr>
              <w:t>Hwy 1</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620" w:type="dxa"/>
            <w:vAlign w:val="bottom"/>
          </w:tcPr>
          <w:p>
            <w:pPr>
              <w:ind w:left="60"/>
              <w:spacing w:after="0"/>
              <w:rPr>
                <w:sz w:val="20"/>
                <w:szCs w:val="20"/>
                <w:color w:val="auto"/>
              </w:rPr>
            </w:pPr>
            <w:r>
              <w:rPr>
                <w:rFonts w:ascii="Arial" w:cs="Arial" w:eastAsia="Arial" w:hAnsi="Arial"/>
                <w:sz w:val="16"/>
                <w:szCs w:val="16"/>
                <w:color w:val="auto"/>
              </w:rPr>
              <w:t>Tallahassee</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11/1/2013</w:t>
            </w:r>
          </w:p>
        </w:tc>
        <w:tc>
          <w:tcPr>
            <w:tcW w:w="1620" w:type="dxa"/>
            <w:vAlign w:val="bottom"/>
          </w:tcPr>
          <w:p>
            <w:pPr>
              <w:ind w:left="60"/>
              <w:spacing w:after="0"/>
              <w:rPr>
                <w:sz w:val="20"/>
                <w:szCs w:val="20"/>
                <w:color w:val="auto"/>
              </w:rPr>
            </w:pPr>
            <w:r>
              <w:rPr>
                <w:rFonts w:ascii="Arial" w:cs="Arial" w:eastAsia="Arial" w:hAnsi="Arial"/>
                <w:sz w:val="16"/>
                <w:szCs w:val="16"/>
                <w:color w:val="auto"/>
              </w:rPr>
              <w:t>Tamiami</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11/22/2006</w:t>
            </w:r>
          </w:p>
        </w:tc>
        <w:tc>
          <w:tcPr>
            <w:tcW w:w="1620" w:type="dxa"/>
            <w:vAlign w:val="bottom"/>
          </w:tcPr>
          <w:p>
            <w:pPr>
              <w:ind w:left="60"/>
              <w:spacing w:after="0"/>
              <w:rPr>
                <w:sz w:val="20"/>
                <w:szCs w:val="20"/>
                <w:color w:val="auto"/>
              </w:rPr>
            </w:pPr>
            <w:r>
              <w:rPr>
                <w:rFonts w:ascii="Arial" w:cs="Arial" w:eastAsia="Arial" w:hAnsi="Arial"/>
                <w:sz w:val="16"/>
                <w:szCs w:val="16"/>
                <w:color w:val="auto"/>
              </w:rPr>
              <w:t>Tampa / Cypress St</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3/27/2007</w:t>
            </w:r>
          </w:p>
        </w:tc>
        <w:tc>
          <w:tcPr>
            <w:tcW w:w="1620" w:type="dxa"/>
            <w:vAlign w:val="bottom"/>
          </w:tcPr>
          <w:p>
            <w:pPr>
              <w:ind w:left="60"/>
              <w:spacing w:after="0"/>
              <w:rPr>
                <w:sz w:val="20"/>
                <w:szCs w:val="20"/>
                <w:color w:val="auto"/>
              </w:rPr>
            </w:pPr>
            <w:r>
              <w:rPr>
                <w:rFonts w:ascii="Arial" w:cs="Arial" w:eastAsia="Arial" w:hAnsi="Arial"/>
                <w:sz w:val="16"/>
                <w:szCs w:val="16"/>
                <w:color w:val="auto"/>
              </w:rPr>
              <w:t>Tampa / W Cleveland</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20" w:type="dxa"/>
            <w:vAlign w:val="bottom"/>
            <w:vMerge w:val="restart"/>
          </w:tcPr>
          <w:p>
            <w:pPr>
              <w:ind w:left="60"/>
              <w:spacing w:after="0"/>
              <w:rPr>
                <w:sz w:val="20"/>
                <w:szCs w:val="20"/>
                <w:color w:val="auto"/>
              </w:rPr>
            </w:pPr>
            <w:r>
              <w:rPr>
                <w:rFonts w:ascii="Arial" w:cs="Arial" w:eastAsia="Arial" w:hAnsi="Arial"/>
                <w:sz w:val="16"/>
                <w:szCs w:val="16"/>
                <w:color w:val="auto"/>
              </w:rPr>
              <w:t>St</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800" w:type="dxa"/>
            <w:vAlign w:val="bottom"/>
          </w:tcPr>
          <w:p>
            <w:pPr>
              <w:jc w:val="center"/>
              <w:spacing w:after="0"/>
              <w:rPr>
                <w:sz w:val="20"/>
                <w:szCs w:val="20"/>
                <w:color w:val="auto"/>
              </w:rPr>
            </w:pPr>
            <w:r>
              <w:rPr>
                <w:rFonts w:ascii="Arial" w:cs="Arial" w:eastAsia="Arial" w:hAnsi="Arial"/>
                <w:sz w:val="16"/>
                <w:szCs w:val="16"/>
                <w:color w:val="auto"/>
                <w:w w:val="89"/>
              </w:rPr>
              <w:t>12/23/2014</w:t>
            </w:r>
          </w:p>
        </w:tc>
        <w:tc>
          <w:tcPr>
            <w:tcW w:w="1620" w:type="dxa"/>
            <w:vAlign w:val="bottom"/>
          </w:tcPr>
          <w:p>
            <w:pPr>
              <w:ind w:left="60"/>
              <w:spacing w:after="0"/>
              <w:rPr>
                <w:sz w:val="20"/>
                <w:szCs w:val="20"/>
                <w:color w:val="auto"/>
              </w:rPr>
            </w:pPr>
            <w:r>
              <w:rPr>
                <w:rFonts w:ascii="Arial" w:cs="Arial" w:eastAsia="Arial" w:hAnsi="Arial"/>
                <w:sz w:val="16"/>
                <w:szCs w:val="16"/>
                <w:color w:val="auto"/>
              </w:rPr>
              <w:t>Tampa / W</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1620" w:type="dxa"/>
            <w:vAlign w:val="bottom"/>
          </w:tcPr>
          <w:p>
            <w:pPr>
              <w:ind w:left="60"/>
              <w:spacing w:after="0"/>
              <w:rPr>
                <w:sz w:val="20"/>
                <w:szCs w:val="20"/>
                <w:color w:val="auto"/>
              </w:rPr>
            </w:pPr>
            <w:r>
              <w:rPr>
                <w:rFonts w:ascii="Arial" w:cs="Arial" w:eastAsia="Arial" w:hAnsi="Arial"/>
                <w:sz w:val="16"/>
                <w:szCs w:val="16"/>
                <w:color w:val="auto"/>
              </w:rPr>
              <w:t>Hillsborough Ave</w:t>
            </w:r>
          </w:p>
        </w:tc>
        <w:tc>
          <w:tcPr>
            <w:tcW w:w="0" w:type="dxa"/>
            <w:vAlign w:val="bottom"/>
          </w:tcPr>
          <w:p>
            <w:pPr>
              <w:spacing w:after="0"/>
              <w:rPr>
                <w:sz w:val="1"/>
                <w:szCs w:val="1"/>
                <w:color w:val="auto"/>
              </w:rPr>
            </w:pPr>
          </w:p>
        </w:tc>
      </w:tr>
      <w:tr>
        <w:trPr>
          <w:trHeight w:val="206"/>
        </w:trPr>
        <w:tc>
          <w:tcPr>
            <w:tcW w:w="800" w:type="dxa"/>
            <w:vAlign w:val="bottom"/>
          </w:tcPr>
          <w:p>
            <w:pPr>
              <w:jc w:val="center"/>
              <w:spacing w:after="0"/>
              <w:rPr>
                <w:sz w:val="20"/>
                <w:szCs w:val="20"/>
                <w:color w:val="auto"/>
              </w:rPr>
            </w:pPr>
            <w:r>
              <w:rPr>
                <w:rFonts w:ascii="Arial" w:cs="Arial" w:eastAsia="Arial" w:hAnsi="Arial"/>
                <w:sz w:val="16"/>
                <w:szCs w:val="16"/>
                <w:color w:val="auto"/>
                <w:w w:val="89"/>
              </w:rPr>
              <w:t>8/26/2004</w:t>
            </w:r>
          </w:p>
        </w:tc>
        <w:tc>
          <w:tcPr>
            <w:tcW w:w="1620" w:type="dxa"/>
            <w:vAlign w:val="bottom"/>
          </w:tcPr>
          <w:p>
            <w:pPr>
              <w:ind w:left="60"/>
              <w:spacing w:after="0"/>
              <w:rPr>
                <w:sz w:val="20"/>
                <w:szCs w:val="20"/>
                <w:color w:val="auto"/>
              </w:rPr>
            </w:pPr>
            <w:r>
              <w:rPr>
                <w:rFonts w:ascii="Arial" w:cs="Arial" w:eastAsia="Arial" w:hAnsi="Arial"/>
                <w:sz w:val="16"/>
                <w:szCs w:val="16"/>
                <w:color w:val="auto"/>
              </w:rPr>
              <w:t>Valrico</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1/13/2006</w:t>
            </w:r>
          </w:p>
        </w:tc>
        <w:tc>
          <w:tcPr>
            <w:tcW w:w="1620" w:type="dxa"/>
            <w:vAlign w:val="bottom"/>
          </w:tcPr>
          <w:p>
            <w:pPr>
              <w:ind w:left="60"/>
              <w:spacing w:after="0"/>
              <w:rPr>
                <w:sz w:val="20"/>
                <w:szCs w:val="20"/>
                <w:color w:val="auto"/>
              </w:rPr>
            </w:pPr>
            <w:r>
              <w:rPr>
                <w:rFonts w:ascii="Arial" w:cs="Arial" w:eastAsia="Arial" w:hAnsi="Arial"/>
                <w:sz w:val="16"/>
                <w:szCs w:val="16"/>
                <w:color w:val="auto"/>
              </w:rPr>
              <w:t>Venice</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8/10/2000</w:t>
            </w:r>
          </w:p>
        </w:tc>
        <w:tc>
          <w:tcPr>
            <w:tcW w:w="1620" w:type="dxa"/>
            <w:vAlign w:val="bottom"/>
          </w:tcPr>
          <w:p>
            <w:pPr>
              <w:ind w:left="60"/>
              <w:spacing w:after="0"/>
              <w:rPr>
                <w:sz w:val="20"/>
                <w:szCs w:val="20"/>
                <w:color w:val="auto"/>
              </w:rPr>
            </w:pPr>
            <w:r>
              <w:rPr>
                <w:rFonts w:ascii="Arial" w:cs="Arial" w:eastAsia="Arial" w:hAnsi="Arial"/>
                <w:sz w:val="16"/>
                <w:szCs w:val="16"/>
                <w:color w:val="auto"/>
              </w:rPr>
              <w:t>West Palm Beach /</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20" w:type="dxa"/>
            <w:vAlign w:val="bottom"/>
            <w:vMerge w:val="restart"/>
          </w:tcPr>
          <w:p>
            <w:pPr>
              <w:ind w:left="60"/>
              <w:spacing w:after="0"/>
              <w:rPr>
                <w:sz w:val="20"/>
                <w:szCs w:val="20"/>
                <w:color w:val="auto"/>
              </w:rPr>
            </w:pPr>
            <w:r>
              <w:rPr>
                <w:rFonts w:ascii="Arial" w:cs="Arial" w:eastAsia="Arial" w:hAnsi="Arial"/>
                <w:sz w:val="16"/>
                <w:szCs w:val="16"/>
                <w:color w:val="auto"/>
              </w:rPr>
              <w:t>Forest Hill Bl</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8/10/2000</w:t>
            </w:r>
          </w:p>
        </w:tc>
        <w:tc>
          <w:tcPr>
            <w:tcW w:w="1620" w:type="dxa"/>
            <w:vAlign w:val="bottom"/>
          </w:tcPr>
          <w:p>
            <w:pPr>
              <w:ind w:left="60"/>
              <w:spacing w:after="0"/>
              <w:rPr>
                <w:sz w:val="20"/>
                <w:szCs w:val="20"/>
                <w:color w:val="auto"/>
              </w:rPr>
            </w:pPr>
            <w:r>
              <w:rPr>
                <w:rFonts w:ascii="Arial" w:cs="Arial" w:eastAsia="Arial" w:hAnsi="Arial"/>
                <w:sz w:val="16"/>
                <w:szCs w:val="16"/>
                <w:color w:val="auto"/>
              </w:rPr>
              <w:t>West Palm Beach / N</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20" w:type="dxa"/>
            <w:vAlign w:val="bottom"/>
            <w:vMerge w:val="restart"/>
          </w:tcPr>
          <w:p>
            <w:pPr>
              <w:ind w:left="60"/>
              <w:spacing w:after="0"/>
              <w:rPr>
                <w:sz w:val="20"/>
                <w:szCs w:val="20"/>
                <w:color w:val="auto"/>
              </w:rPr>
            </w:pPr>
            <w:r>
              <w:rPr>
                <w:rFonts w:ascii="Arial" w:cs="Arial" w:eastAsia="Arial" w:hAnsi="Arial"/>
                <w:sz w:val="16"/>
                <w:szCs w:val="16"/>
                <w:color w:val="auto"/>
              </w:rPr>
              <w:t>Military Trail 1</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11/1/2013</w:t>
            </w:r>
          </w:p>
        </w:tc>
        <w:tc>
          <w:tcPr>
            <w:tcW w:w="1620" w:type="dxa"/>
            <w:vAlign w:val="bottom"/>
          </w:tcPr>
          <w:p>
            <w:pPr>
              <w:ind w:left="60"/>
              <w:spacing w:after="0"/>
              <w:rPr>
                <w:sz w:val="20"/>
                <w:szCs w:val="20"/>
                <w:color w:val="auto"/>
              </w:rPr>
            </w:pPr>
            <w:r>
              <w:rPr>
                <w:rFonts w:ascii="Arial" w:cs="Arial" w:eastAsia="Arial" w:hAnsi="Arial"/>
                <w:sz w:val="16"/>
                <w:szCs w:val="16"/>
                <w:color w:val="auto"/>
              </w:rPr>
              <w:t>West Palm Beach / N</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20" w:type="dxa"/>
            <w:vAlign w:val="bottom"/>
            <w:vMerge w:val="restart"/>
          </w:tcPr>
          <w:p>
            <w:pPr>
              <w:ind w:left="60"/>
              <w:spacing w:after="0"/>
              <w:rPr>
                <w:sz w:val="20"/>
                <w:szCs w:val="20"/>
                <w:color w:val="auto"/>
              </w:rPr>
            </w:pPr>
            <w:r>
              <w:rPr>
                <w:rFonts w:ascii="Arial" w:cs="Arial" w:eastAsia="Arial" w:hAnsi="Arial"/>
                <w:sz w:val="16"/>
                <w:szCs w:val="16"/>
                <w:color w:val="auto"/>
              </w:rPr>
              <w:t>Military Trail 2</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12/1/2011</w:t>
            </w:r>
          </w:p>
        </w:tc>
        <w:tc>
          <w:tcPr>
            <w:tcW w:w="1620" w:type="dxa"/>
            <w:vAlign w:val="bottom"/>
          </w:tcPr>
          <w:p>
            <w:pPr>
              <w:ind w:left="60"/>
              <w:spacing w:after="0"/>
              <w:rPr>
                <w:sz w:val="20"/>
                <w:szCs w:val="20"/>
                <w:color w:val="auto"/>
              </w:rPr>
            </w:pPr>
            <w:r>
              <w:rPr>
                <w:rFonts w:ascii="Arial" w:cs="Arial" w:eastAsia="Arial" w:hAnsi="Arial"/>
                <w:sz w:val="16"/>
                <w:szCs w:val="16"/>
                <w:color w:val="auto"/>
              </w:rPr>
              <w:t>West Palm Beach / S</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20" w:type="dxa"/>
            <w:vAlign w:val="bottom"/>
            <w:vMerge w:val="restart"/>
          </w:tcPr>
          <w:p>
            <w:pPr>
              <w:ind w:left="60"/>
              <w:spacing w:after="0"/>
              <w:rPr>
                <w:sz w:val="20"/>
                <w:szCs w:val="20"/>
                <w:color w:val="auto"/>
              </w:rPr>
            </w:pPr>
            <w:r>
              <w:rPr>
                <w:rFonts w:ascii="Arial" w:cs="Arial" w:eastAsia="Arial" w:hAnsi="Arial"/>
                <w:sz w:val="16"/>
                <w:szCs w:val="16"/>
                <w:color w:val="auto"/>
              </w:rPr>
              <w:t>Military Trail</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7/1/2005</w:t>
            </w:r>
          </w:p>
        </w:tc>
        <w:tc>
          <w:tcPr>
            <w:tcW w:w="1620" w:type="dxa"/>
            <w:vAlign w:val="bottom"/>
          </w:tcPr>
          <w:p>
            <w:pPr>
              <w:ind w:left="60"/>
              <w:spacing w:after="0"/>
              <w:rPr>
                <w:sz w:val="20"/>
                <w:szCs w:val="20"/>
                <w:color w:val="auto"/>
              </w:rPr>
            </w:pPr>
            <w:r>
              <w:rPr>
                <w:rFonts w:ascii="Arial" w:cs="Arial" w:eastAsia="Arial" w:hAnsi="Arial"/>
                <w:sz w:val="16"/>
                <w:szCs w:val="16"/>
                <w:color w:val="auto"/>
              </w:rPr>
              <w:t>West Palm Beach /</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20" w:type="dxa"/>
            <w:vAlign w:val="bottom"/>
            <w:vMerge w:val="restart"/>
          </w:tcPr>
          <w:p>
            <w:pPr>
              <w:ind w:left="60"/>
              <w:spacing w:after="0"/>
              <w:rPr>
                <w:sz w:val="20"/>
                <w:szCs w:val="20"/>
                <w:color w:val="auto"/>
              </w:rPr>
            </w:pPr>
            <w:r>
              <w:rPr>
                <w:rFonts w:ascii="Arial" w:cs="Arial" w:eastAsia="Arial" w:hAnsi="Arial"/>
                <w:sz w:val="16"/>
                <w:szCs w:val="16"/>
                <w:color w:val="auto"/>
              </w:rPr>
              <w:t>Southern Blvd</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620" w:type="dxa"/>
            <w:vAlign w:val="bottom"/>
          </w:tcPr>
          <w:p>
            <w:pPr>
              <w:ind w:left="60"/>
              <w:spacing w:after="0"/>
              <w:rPr>
                <w:sz w:val="20"/>
                <w:szCs w:val="20"/>
                <w:color w:val="auto"/>
              </w:rPr>
            </w:pPr>
            <w:r>
              <w:rPr>
                <w:rFonts w:ascii="Arial" w:cs="Arial" w:eastAsia="Arial" w:hAnsi="Arial"/>
                <w:sz w:val="16"/>
                <w:szCs w:val="16"/>
                <w:color w:val="auto"/>
              </w:rPr>
              <w:t>Weston</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11/17/2016</w:t>
            </w:r>
          </w:p>
        </w:tc>
        <w:tc>
          <w:tcPr>
            <w:tcW w:w="1620" w:type="dxa"/>
            <w:vAlign w:val="bottom"/>
          </w:tcPr>
          <w:p>
            <w:pPr>
              <w:ind w:left="60"/>
              <w:spacing w:after="0"/>
              <w:rPr>
                <w:sz w:val="20"/>
                <w:szCs w:val="20"/>
                <w:color w:val="auto"/>
              </w:rPr>
            </w:pPr>
            <w:r>
              <w:rPr>
                <w:rFonts w:ascii="Arial" w:cs="Arial" w:eastAsia="Arial" w:hAnsi="Arial"/>
                <w:sz w:val="16"/>
                <w:szCs w:val="16"/>
                <w:color w:val="auto"/>
              </w:rPr>
              <w:t>Acworth</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8/26/2004</w:t>
            </w:r>
          </w:p>
        </w:tc>
        <w:tc>
          <w:tcPr>
            <w:tcW w:w="1620" w:type="dxa"/>
            <w:vAlign w:val="bottom"/>
          </w:tcPr>
          <w:p>
            <w:pPr>
              <w:ind w:left="60"/>
              <w:spacing w:after="0"/>
              <w:rPr>
                <w:sz w:val="20"/>
                <w:szCs w:val="20"/>
                <w:color w:val="auto"/>
              </w:rPr>
            </w:pPr>
            <w:r>
              <w:rPr>
                <w:rFonts w:ascii="Arial" w:cs="Arial" w:eastAsia="Arial" w:hAnsi="Arial"/>
                <w:sz w:val="16"/>
                <w:szCs w:val="16"/>
                <w:color w:val="auto"/>
              </w:rPr>
              <w:t>Alpharetta / Holcomb</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20" w:type="dxa"/>
            <w:vAlign w:val="bottom"/>
            <w:vMerge w:val="restart"/>
          </w:tcPr>
          <w:p>
            <w:pPr>
              <w:ind w:left="60"/>
              <w:spacing w:after="0"/>
              <w:rPr>
                <w:sz w:val="20"/>
                <w:szCs w:val="20"/>
                <w:color w:val="auto"/>
              </w:rPr>
            </w:pPr>
            <w:r>
              <w:rPr>
                <w:rFonts w:ascii="Arial" w:cs="Arial" w:eastAsia="Arial" w:hAnsi="Arial"/>
                <w:sz w:val="16"/>
                <w:szCs w:val="16"/>
                <w:color w:val="auto"/>
              </w:rPr>
              <w:t>Bridge Rd</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620" w:type="dxa"/>
            <w:vAlign w:val="bottom"/>
          </w:tcPr>
          <w:p>
            <w:pPr>
              <w:ind w:left="60"/>
              <w:spacing w:after="0"/>
              <w:rPr>
                <w:sz w:val="20"/>
                <w:szCs w:val="20"/>
                <w:color w:val="auto"/>
              </w:rPr>
            </w:pPr>
            <w:r>
              <w:rPr>
                <w:rFonts w:ascii="Arial" w:cs="Arial" w:eastAsia="Arial" w:hAnsi="Arial"/>
                <w:sz w:val="16"/>
                <w:szCs w:val="16"/>
                <w:color w:val="auto"/>
              </w:rPr>
              <w:t>Alpharetta / Jones</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20" w:type="dxa"/>
            <w:vAlign w:val="bottom"/>
            <w:vMerge w:val="restart"/>
          </w:tcPr>
          <w:p>
            <w:pPr>
              <w:ind w:left="60"/>
              <w:spacing w:after="0"/>
              <w:rPr>
                <w:sz w:val="20"/>
                <w:szCs w:val="20"/>
                <w:color w:val="auto"/>
              </w:rPr>
            </w:pPr>
            <w:r>
              <w:rPr>
                <w:rFonts w:ascii="Arial" w:cs="Arial" w:eastAsia="Arial" w:hAnsi="Arial"/>
                <w:sz w:val="16"/>
                <w:szCs w:val="16"/>
                <w:color w:val="auto"/>
              </w:rPr>
              <w:t>Bridge Rd</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8/8/2006</w:t>
            </w:r>
          </w:p>
        </w:tc>
        <w:tc>
          <w:tcPr>
            <w:tcW w:w="1620" w:type="dxa"/>
            <w:vAlign w:val="bottom"/>
          </w:tcPr>
          <w:p>
            <w:pPr>
              <w:ind w:left="60"/>
              <w:spacing w:after="0"/>
              <w:rPr>
                <w:sz w:val="20"/>
                <w:szCs w:val="20"/>
                <w:color w:val="auto"/>
              </w:rPr>
            </w:pPr>
            <w:r>
              <w:rPr>
                <w:rFonts w:ascii="Arial" w:cs="Arial" w:eastAsia="Arial" w:hAnsi="Arial"/>
                <w:sz w:val="16"/>
                <w:szCs w:val="16"/>
                <w:color w:val="auto"/>
                <w:w w:val="93"/>
              </w:rPr>
              <w:t>Alpharetta / North Main</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20" w:type="dxa"/>
            <w:vAlign w:val="bottom"/>
            <w:vMerge w:val="restart"/>
          </w:tcPr>
          <w:p>
            <w:pPr>
              <w:ind w:left="60"/>
              <w:spacing w:after="0"/>
              <w:rPr>
                <w:sz w:val="20"/>
                <w:szCs w:val="20"/>
                <w:color w:val="auto"/>
              </w:rPr>
            </w:pPr>
            <w:r>
              <w:rPr>
                <w:rFonts w:ascii="Arial" w:cs="Arial" w:eastAsia="Arial" w:hAnsi="Arial"/>
                <w:sz w:val="16"/>
                <w:szCs w:val="16"/>
                <w:color w:val="auto"/>
              </w:rPr>
              <w:t>St</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8/6/2014</w:t>
            </w:r>
          </w:p>
        </w:tc>
        <w:tc>
          <w:tcPr>
            <w:tcW w:w="1620" w:type="dxa"/>
            <w:vAlign w:val="bottom"/>
          </w:tcPr>
          <w:p>
            <w:pPr>
              <w:ind w:left="60"/>
              <w:spacing w:after="0"/>
              <w:rPr>
                <w:sz w:val="20"/>
                <w:szCs w:val="20"/>
                <w:color w:val="auto"/>
              </w:rPr>
            </w:pPr>
            <w:r>
              <w:rPr>
                <w:rFonts w:ascii="Arial" w:cs="Arial" w:eastAsia="Arial" w:hAnsi="Arial"/>
                <w:sz w:val="16"/>
                <w:szCs w:val="16"/>
                <w:color w:val="auto"/>
                <w:w w:val="89"/>
              </w:rPr>
              <w:t>Atlanta / Chattahoochee</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20" w:type="dxa"/>
            <w:vAlign w:val="bottom"/>
            <w:vMerge w:val="restart"/>
          </w:tcPr>
          <w:p>
            <w:pPr>
              <w:ind w:left="60"/>
              <w:spacing w:after="0"/>
              <w:rPr>
                <w:sz w:val="20"/>
                <w:szCs w:val="20"/>
                <w:color w:val="auto"/>
              </w:rPr>
            </w:pPr>
            <w:r>
              <w:rPr>
                <w:rFonts w:ascii="Arial" w:cs="Arial" w:eastAsia="Arial" w:hAnsi="Arial"/>
                <w:sz w:val="16"/>
                <w:szCs w:val="16"/>
                <w:color w:val="auto"/>
              </w:rPr>
              <w:t>Ave</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8/26/2004</w:t>
            </w:r>
          </w:p>
        </w:tc>
        <w:tc>
          <w:tcPr>
            <w:tcW w:w="1620" w:type="dxa"/>
            <w:vAlign w:val="bottom"/>
          </w:tcPr>
          <w:p>
            <w:pPr>
              <w:ind w:left="60"/>
              <w:spacing w:after="0"/>
              <w:rPr>
                <w:sz w:val="20"/>
                <w:szCs w:val="20"/>
                <w:color w:val="auto"/>
              </w:rPr>
            </w:pPr>
            <w:r>
              <w:rPr>
                <w:rFonts w:ascii="Arial" w:cs="Arial" w:eastAsia="Arial" w:hAnsi="Arial"/>
                <w:sz w:val="16"/>
                <w:szCs w:val="16"/>
                <w:color w:val="auto"/>
              </w:rPr>
              <w:t>Atlanta / Cheshire</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20" w:type="dxa"/>
            <w:vAlign w:val="bottom"/>
            <w:vMerge w:val="restart"/>
          </w:tcPr>
          <w:p>
            <w:pPr>
              <w:ind w:left="60"/>
              <w:spacing w:after="0"/>
              <w:rPr>
                <w:sz w:val="20"/>
                <w:szCs w:val="20"/>
                <w:color w:val="auto"/>
              </w:rPr>
            </w:pPr>
            <w:r>
              <w:rPr>
                <w:rFonts w:ascii="Arial" w:cs="Arial" w:eastAsia="Arial" w:hAnsi="Arial"/>
                <w:sz w:val="16"/>
                <w:szCs w:val="16"/>
                <w:color w:val="auto"/>
              </w:rPr>
              <w:t>Bridge Rd NE</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10/22/2014</w:t>
            </w:r>
          </w:p>
        </w:tc>
        <w:tc>
          <w:tcPr>
            <w:tcW w:w="1620" w:type="dxa"/>
            <w:vAlign w:val="bottom"/>
          </w:tcPr>
          <w:p>
            <w:pPr>
              <w:ind w:left="60"/>
              <w:spacing w:after="0"/>
              <w:rPr>
                <w:sz w:val="20"/>
                <w:szCs w:val="20"/>
                <w:color w:val="auto"/>
              </w:rPr>
            </w:pPr>
            <w:r>
              <w:rPr>
                <w:rFonts w:ascii="Arial" w:cs="Arial" w:eastAsia="Arial" w:hAnsi="Arial"/>
                <w:sz w:val="16"/>
                <w:szCs w:val="16"/>
                <w:color w:val="auto"/>
              </w:rPr>
              <w:t>Atlanta / Edgewood</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1620" w:type="dxa"/>
            <w:vAlign w:val="bottom"/>
          </w:tcPr>
          <w:p>
            <w:pPr>
              <w:ind w:left="60"/>
              <w:spacing w:after="0"/>
              <w:rPr>
                <w:sz w:val="20"/>
                <w:szCs w:val="20"/>
                <w:color w:val="auto"/>
              </w:rPr>
            </w:pPr>
            <w:r>
              <w:rPr>
                <w:rFonts w:ascii="Arial" w:cs="Arial" w:eastAsia="Arial" w:hAnsi="Arial"/>
                <w:sz w:val="16"/>
                <w:szCs w:val="16"/>
                <w:color w:val="auto"/>
              </w:rPr>
              <w:t>Ave SE</w:t>
            </w:r>
          </w:p>
        </w:tc>
        <w:tc>
          <w:tcPr>
            <w:tcW w:w="0" w:type="dxa"/>
            <w:vAlign w:val="bottom"/>
          </w:tcPr>
          <w:p>
            <w:pPr>
              <w:spacing w:after="0"/>
              <w:rPr>
                <w:sz w:val="1"/>
                <w:szCs w:val="1"/>
                <w:color w:val="auto"/>
              </w:rPr>
            </w:pPr>
          </w:p>
        </w:tc>
      </w:tr>
      <w:tr>
        <w:trPr>
          <w:trHeight w:val="20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4/3/2014</w:t>
            </w:r>
          </w:p>
        </w:tc>
        <w:tc>
          <w:tcPr>
            <w:tcW w:w="1620" w:type="dxa"/>
            <w:vAlign w:val="bottom"/>
          </w:tcPr>
          <w:p>
            <w:pPr>
              <w:ind w:left="60"/>
              <w:spacing w:after="0"/>
              <w:rPr>
                <w:sz w:val="20"/>
                <w:szCs w:val="20"/>
                <w:color w:val="auto"/>
              </w:rPr>
            </w:pPr>
            <w:r>
              <w:rPr>
                <w:rFonts w:ascii="Arial" w:cs="Arial" w:eastAsia="Arial" w:hAnsi="Arial"/>
                <w:sz w:val="16"/>
                <w:szCs w:val="16"/>
                <w:color w:val="auto"/>
              </w:rPr>
              <w:t>Atlanta / Mt Vernon</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20" w:type="dxa"/>
            <w:vAlign w:val="bottom"/>
            <w:vMerge w:val="restart"/>
          </w:tcPr>
          <w:p>
            <w:pPr>
              <w:ind w:left="60"/>
              <w:spacing w:after="0"/>
              <w:rPr>
                <w:sz w:val="20"/>
                <w:szCs w:val="20"/>
                <w:color w:val="auto"/>
              </w:rPr>
            </w:pPr>
            <w:r>
              <w:rPr>
                <w:rFonts w:ascii="Arial" w:cs="Arial" w:eastAsia="Arial" w:hAnsi="Arial"/>
                <w:sz w:val="16"/>
                <w:szCs w:val="16"/>
                <w:color w:val="auto"/>
              </w:rPr>
              <w:t>Hwy</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8/26/2004</w:t>
            </w:r>
          </w:p>
        </w:tc>
        <w:tc>
          <w:tcPr>
            <w:tcW w:w="1620" w:type="dxa"/>
            <w:vAlign w:val="bottom"/>
          </w:tcPr>
          <w:p>
            <w:pPr>
              <w:ind w:left="60"/>
              <w:spacing w:after="0"/>
              <w:rPr>
                <w:sz w:val="20"/>
                <w:szCs w:val="20"/>
                <w:color w:val="auto"/>
              </w:rPr>
            </w:pPr>
            <w:r>
              <w:rPr>
                <w:rFonts w:ascii="Arial" w:cs="Arial" w:eastAsia="Arial" w:hAnsi="Arial"/>
                <w:sz w:val="16"/>
                <w:szCs w:val="16"/>
                <w:color w:val="auto"/>
              </w:rPr>
              <w:t>Atlanta / Roswell Rd</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2/28/2005</w:t>
            </w:r>
          </w:p>
        </w:tc>
        <w:tc>
          <w:tcPr>
            <w:tcW w:w="1620" w:type="dxa"/>
            <w:vAlign w:val="bottom"/>
          </w:tcPr>
          <w:p>
            <w:pPr>
              <w:ind w:left="60"/>
              <w:spacing w:after="0"/>
              <w:rPr>
                <w:sz w:val="20"/>
                <w:szCs w:val="20"/>
                <w:color w:val="auto"/>
              </w:rPr>
            </w:pPr>
            <w:r>
              <w:rPr>
                <w:rFonts w:ascii="Arial" w:cs="Arial" w:eastAsia="Arial" w:hAnsi="Arial"/>
                <w:sz w:val="16"/>
                <w:szCs w:val="16"/>
                <w:color w:val="auto"/>
              </w:rPr>
              <w:t>Atlanta / Virginia Ave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6,098</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1,990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4,887</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644</w:t>
            </w:r>
          </w:p>
        </w:tc>
        <w:tc>
          <w:tcPr>
            <w:tcW w:w="640" w:type="dxa"/>
            <w:vAlign w:val="bottom"/>
          </w:tcPr>
          <w:p>
            <w:pPr>
              <w:spacing w:after="0"/>
              <w:rPr>
                <w:sz w:val="17"/>
                <w:szCs w:val="17"/>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1,990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5,531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7,521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835</w:t>
            </w:r>
          </w:p>
        </w:tc>
      </w:tr>
      <w:tr>
        <w:trPr>
          <w:trHeight w:val="270"/>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8,231</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603</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11,223</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109</w:t>
            </w:r>
          </w:p>
        </w:tc>
        <w:tc>
          <w:tcPr>
            <w:tcW w:w="64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603</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11,332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11,935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920</w:t>
            </w:r>
          </w:p>
        </w:tc>
      </w:tr>
      <w:tr>
        <w:trPr>
          <w:trHeight w:val="270"/>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3,931</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428</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3,516</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1,947</w:t>
            </w:r>
          </w:p>
        </w:tc>
        <w:tc>
          <w:tcPr>
            <w:tcW w:w="64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459</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5,432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5,891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2,141</w:t>
            </w:r>
          </w:p>
        </w:tc>
      </w:tr>
      <w:tr>
        <w:trPr>
          <w:trHeight w:val="270"/>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8,231</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1,256</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6,535</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659</w:t>
            </w:r>
          </w:p>
        </w:tc>
        <w:tc>
          <w:tcPr>
            <w:tcW w:w="64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1,256</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7,194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8,450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2,562</w:t>
            </w:r>
          </w:p>
        </w:tc>
      </w:tr>
      <w:tr>
        <w:trPr>
          <w:trHeight w:val="270"/>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9,862</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2,030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19,241</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407</w:t>
            </w:r>
          </w:p>
        </w:tc>
        <w:tc>
          <w:tcPr>
            <w:tcW w:w="64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2,030</w:t>
            </w: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19,648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21,678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658</w:t>
            </w:r>
          </w:p>
        </w:tc>
      </w:tr>
      <w:tr>
        <w:trPr>
          <w:trHeight w:val="270"/>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3,000</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872</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3,642</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529</w:t>
            </w:r>
          </w:p>
        </w:tc>
        <w:tc>
          <w:tcPr>
            <w:tcW w:w="64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872</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4,171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5,043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1,337</w:t>
            </w:r>
          </w:p>
        </w:tc>
      </w:tr>
      <w:tr>
        <w:trPr>
          <w:trHeight w:val="270"/>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2,793</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512</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6,697</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328</w:t>
            </w:r>
          </w:p>
        </w:tc>
        <w:tc>
          <w:tcPr>
            <w:tcW w:w="64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512</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7,025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7,537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214</w:t>
            </w:r>
          </w:p>
        </w:tc>
      </w:tr>
      <w:tr>
        <w:trPr>
          <w:trHeight w:val="364"/>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9,563</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2,233</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9,223</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679</w:t>
            </w:r>
          </w:p>
        </w:tc>
        <w:tc>
          <w:tcPr>
            <w:tcW w:w="64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2,233</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9,902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12,135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3,159</w:t>
            </w:r>
          </w:p>
        </w:tc>
      </w:tr>
      <w:tr>
        <w:trPr>
          <w:trHeight w:val="459"/>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8,284</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1,216</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5,008</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528</w:t>
            </w:r>
          </w:p>
        </w:tc>
        <w:tc>
          <w:tcPr>
            <w:tcW w:w="64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1,216</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5,536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6,752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1,903</w:t>
            </w:r>
          </w:p>
        </w:tc>
      </w:tr>
      <w:tr>
        <w:trPr>
          <w:trHeight w:val="364"/>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3,979</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535</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5,364</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64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535</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5,385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5,920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203</w:t>
            </w:r>
          </w:p>
        </w:tc>
      </w:tr>
      <w:tr>
        <w:trPr>
          <w:trHeight w:val="270"/>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5,600</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1,474</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6,101</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323</w:t>
            </w:r>
          </w:p>
        </w:tc>
        <w:tc>
          <w:tcPr>
            <w:tcW w:w="64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1,474</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6,424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7,898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2,077</w:t>
            </w:r>
          </w:p>
        </w:tc>
      </w:tr>
      <w:tr>
        <w:trPr>
          <w:trHeight w:val="364"/>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2,632</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625</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2,133</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109</w:t>
            </w:r>
          </w:p>
        </w:tc>
        <w:tc>
          <w:tcPr>
            <w:tcW w:w="64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625</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2,242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2,867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415</w:t>
            </w:r>
          </w:p>
        </w:tc>
      </w:tr>
      <w:tr>
        <w:trPr>
          <w:trHeight w:val="459"/>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6,293</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1,166</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4,816</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1,341</w:t>
            </w:r>
          </w:p>
        </w:tc>
        <w:tc>
          <w:tcPr>
            <w:tcW w:w="64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1,166</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6,157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7,323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1,911</w:t>
            </w:r>
          </w:p>
        </w:tc>
      </w:tr>
      <w:tr>
        <w:trPr>
          <w:trHeight w:val="364"/>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5,544</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2,108</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8,028</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2,355</w:t>
            </w:r>
          </w:p>
        </w:tc>
        <w:tc>
          <w:tcPr>
            <w:tcW w:w="64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2,108</w:t>
            </w: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10,383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12,491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709</w:t>
            </w:r>
          </w:p>
        </w:tc>
      </w:tr>
      <w:tr>
        <w:trPr>
          <w:trHeight w:val="270"/>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3,850</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90"/>
              </w:rPr>
              <w:t>(1,504)</w:t>
            </w:r>
          </w:p>
        </w:tc>
        <w:tc>
          <w:tcPr>
            <w:tcW w:w="640" w:type="dxa"/>
            <w:vAlign w:val="bottom"/>
          </w:tcPr>
          <w:p>
            <w:pPr>
              <w:ind w:left="260"/>
              <w:spacing w:after="0"/>
              <w:rPr>
                <w:sz w:val="20"/>
                <w:szCs w:val="20"/>
                <w:color w:val="auto"/>
              </w:rPr>
            </w:pPr>
            <w:r>
              <w:rPr>
                <w:rFonts w:ascii="Arial" w:cs="Arial" w:eastAsia="Arial" w:hAnsi="Arial"/>
                <w:sz w:val="16"/>
                <w:szCs w:val="16"/>
                <w:color w:val="auto"/>
              </w:rPr>
              <w:t>(d)</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2,346</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2,346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99"/>
              </w:rPr>
              <w:t>—</w:t>
            </w:r>
          </w:p>
        </w:tc>
      </w:tr>
      <w:tr>
        <w:trPr>
          <w:trHeight w:val="270"/>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1,389</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4,632</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318</w:t>
            </w:r>
          </w:p>
        </w:tc>
        <w:tc>
          <w:tcPr>
            <w:tcW w:w="64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1,389</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4,950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6,339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1,639</w:t>
            </w:r>
          </w:p>
        </w:tc>
      </w:tr>
      <w:tr>
        <w:trPr>
          <w:trHeight w:val="270"/>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4,503</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654</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2,953</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328</w:t>
            </w:r>
          </w:p>
        </w:tc>
        <w:tc>
          <w:tcPr>
            <w:tcW w:w="64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654</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3,281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3,935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1,129</w:t>
            </w:r>
          </w:p>
        </w:tc>
      </w:tr>
      <w:tr>
        <w:trPr>
          <w:trHeight w:val="270"/>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4,666</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9,016</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523</w:t>
            </w:r>
          </w:p>
        </w:tc>
        <w:tc>
          <w:tcPr>
            <w:tcW w:w="64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4,666</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9,539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14,205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1,061</w:t>
            </w:r>
          </w:p>
        </w:tc>
      </w:tr>
      <w:tr>
        <w:trPr>
          <w:trHeight w:val="364"/>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3,883</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1,192</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2,919</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63</w:t>
            </w:r>
          </w:p>
        </w:tc>
        <w:tc>
          <w:tcPr>
            <w:tcW w:w="64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1,192</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2,982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4,174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162</w:t>
            </w:r>
          </w:p>
        </w:tc>
      </w:tr>
      <w:tr>
        <w:trPr>
          <w:trHeight w:val="364"/>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3,918</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1,133</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3,017</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326</w:t>
            </w:r>
          </w:p>
        </w:tc>
        <w:tc>
          <w:tcPr>
            <w:tcW w:w="64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1,133</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3,343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4,476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374</w:t>
            </w:r>
          </w:p>
        </w:tc>
      </w:tr>
      <w:tr>
        <w:trPr>
          <w:trHeight w:val="270"/>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3"/>
              </w:rPr>
              <w:t>10,078</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8,890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10,106</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132</w:t>
            </w:r>
          </w:p>
        </w:tc>
        <w:tc>
          <w:tcPr>
            <w:tcW w:w="64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8,890</w:t>
            </w: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10,238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19,128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548</w:t>
            </w:r>
          </w:p>
        </w:tc>
      </w:tr>
      <w:tr>
        <w:trPr>
          <w:trHeight w:val="270"/>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6,791</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1,640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8,358</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163</w:t>
            </w:r>
          </w:p>
        </w:tc>
        <w:tc>
          <w:tcPr>
            <w:tcW w:w="64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1,640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8,521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10,161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627</w:t>
            </w:r>
          </w:p>
        </w:tc>
      </w:tr>
      <w:tr>
        <w:trPr>
          <w:trHeight w:val="270"/>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1,250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5,007</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324</w:t>
            </w:r>
          </w:p>
        </w:tc>
        <w:tc>
          <w:tcPr>
            <w:tcW w:w="64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1,250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5,331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6,581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199</w:t>
            </w:r>
          </w:p>
        </w:tc>
      </w:tr>
      <w:tr>
        <w:trPr>
          <w:trHeight w:val="364"/>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760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3,125</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277</w:t>
            </w:r>
          </w:p>
        </w:tc>
        <w:tc>
          <w:tcPr>
            <w:tcW w:w="64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760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3,402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4,162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131</w:t>
            </w:r>
          </w:p>
        </w:tc>
      </w:tr>
      <w:tr>
        <w:trPr>
          <w:trHeight w:val="364"/>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1,460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21,471</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259</w:t>
            </w:r>
          </w:p>
        </w:tc>
        <w:tc>
          <w:tcPr>
            <w:tcW w:w="64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1,460</w:t>
            </w: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21,730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23,190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692</w:t>
            </w:r>
          </w:p>
        </w:tc>
      </w:tr>
      <w:tr>
        <w:trPr>
          <w:trHeight w:val="270"/>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5,016</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5,042</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7,164</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384</w:t>
            </w:r>
          </w:p>
        </w:tc>
        <w:tc>
          <w:tcPr>
            <w:tcW w:w="64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5,042</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7,548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12,590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1,248</w:t>
            </w:r>
          </w:p>
        </w:tc>
      </w:tr>
      <w:tr>
        <w:trPr>
          <w:trHeight w:val="270"/>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3,445</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883</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3,533</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191</w:t>
            </w:r>
          </w:p>
        </w:tc>
        <w:tc>
          <w:tcPr>
            <w:tcW w:w="64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881</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3,726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4,607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1,033</w:t>
            </w:r>
          </w:p>
        </w:tc>
      </w:tr>
      <w:tr>
        <w:trPr>
          <w:trHeight w:val="364"/>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5,511</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1,425</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4,766</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489</w:t>
            </w:r>
          </w:p>
        </w:tc>
        <w:tc>
          <w:tcPr>
            <w:tcW w:w="64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1,425</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5,255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6,680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1,464</w:t>
            </w:r>
          </w:p>
        </w:tc>
      </w:tr>
      <w:tr>
        <w:trPr>
          <w:trHeight w:val="459"/>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2,319</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1,086</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2,937</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402</w:t>
            </w:r>
          </w:p>
        </w:tc>
        <w:tc>
          <w:tcPr>
            <w:tcW w:w="64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1,086</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3,339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4,425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194</w:t>
            </w:r>
          </w:p>
        </w:tc>
      </w:tr>
      <w:tr>
        <w:trPr>
          <w:trHeight w:val="364"/>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4,235</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1,197</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4,411</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307</w:t>
            </w:r>
          </w:p>
        </w:tc>
        <w:tc>
          <w:tcPr>
            <w:tcW w:w="64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1,197</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4,718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5,915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1,617</w:t>
            </w:r>
          </w:p>
        </w:tc>
      </w:tr>
      <w:tr>
        <w:trPr>
          <w:trHeight w:val="270"/>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1,969</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5,903</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332</w:t>
            </w:r>
          </w:p>
        </w:tc>
        <w:tc>
          <w:tcPr>
            <w:tcW w:w="64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1,970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6,234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8,204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1,927</w:t>
            </w:r>
          </w:p>
        </w:tc>
      </w:tr>
      <w:tr>
        <w:trPr>
          <w:trHeight w:val="364"/>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3,467</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1,164</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2,511</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1,056</w:t>
            </w:r>
          </w:p>
        </w:tc>
        <w:tc>
          <w:tcPr>
            <w:tcW w:w="64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1,246</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3,485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4,731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1,443</w:t>
            </w:r>
          </w:p>
        </w:tc>
      </w:tr>
      <w:tr>
        <w:trPr>
          <w:trHeight w:val="459"/>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4,345</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1,312</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2,511</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1,906</w:t>
            </w:r>
          </w:p>
        </w:tc>
        <w:tc>
          <w:tcPr>
            <w:tcW w:w="64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1,416</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4,313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5,729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1,548</w:t>
            </w:r>
          </w:p>
        </w:tc>
      </w:tr>
      <w:tr>
        <w:trPr>
          <w:trHeight w:val="459"/>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3,659</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1,595</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2,833</w:t>
            </w:r>
          </w:p>
        </w:tc>
        <w:tc>
          <w:tcPr>
            <w:tcW w:w="1060" w:type="dxa"/>
            <w:vAlign w:val="bottom"/>
          </w:tcPr>
          <w:p>
            <w:pPr>
              <w:jc w:val="center"/>
              <w:spacing w:after="0"/>
              <w:rPr>
                <w:sz w:val="20"/>
                <w:szCs w:val="20"/>
                <w:color w:val="auto"/>
              </w:rPr>
            </w:pPr>
            <w:r>
              <w:rPr>
                <w:rFonts w:ascii="Arial" w:cs="Arial" w:eastAsia="Arial" w:hAnsi="Arial"/>
                <w:sz w:val="16"/>
                <w:szCs w:val="16"/>
                <w:color w:val="auto"/>
                <w:w w:val="82"/>
              </w:rPr>
              <w:t>111</w:t>
            </w:r>
          </w:p>
        </w:tc>
        <w:tc>
          <w:tcPr>
            <w:tcW w:w="64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1,595</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2,944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4,539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528</w:t>
            </w:r>
          </w:p>
        </w:tc>
      </w:tr>
      <w:tr>
        <w:trPr>
          <w:trHeight w:val="459"/>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3,280</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1,729</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4,058</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129</w:t>
            </w:r>
          </w:p>
        </w:tc>
        <w:tc>
          <w:tcPr>
            <w:tcW w:w="64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1,730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4,186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5,916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585</w:t>
            </w:r>
          </w:p>
        </w:tc>
      </w:tr>
      <w:tr>
        <w:trPr>
          <w:trHeight w:val="459"/>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5,346</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1,752</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4,909</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514</w:t>
            </w:r>
          </w:p>
        </w:tc>
        <w:tc>
          <w:tcPr>
            <w:tcW w:w="64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1,752</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5,423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7,175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1,851</w:t>
            </w:r>
          </w:p>
        </w:tc>
      </w:tr>
      <w:tr>
        <w:trPr>
          <w:trHeight w:val="364"/>
        </w:trPr>
        <w:tc>
          <w:tcPr>
            <w:tcW w:w="360" w:type="dxa"/>
            <w:vAlign w:val="bottom"/>
          </w:tcPr>
          <w:p>
            <w:pPr>
              <w:ind w:left="20"/>
              <w:spacing w:after="0"/>
              <w:rPr>
                <w:sz w:val="20"/>
                <w:szCs w:val="20"/>
                <w:color w:val="auto"/>
              </w:rPr>
            </w:pPr>
            <w:r>
              <w:rPr>
                <w:rFonts w:ascii="Arial" w:cs="Arial" w:eastAsia="Arial" w:hAnsi="Arial"/>
                <w:sz w:val="16"/>
                <w:szCs w:val="16"/>
                <w:color w:val="auto"/>
              </w:rPr>
              <w:t>FL</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7,039</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1,680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11,342</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355</w:t>
            </w:r>
          </w:p>
        </w:tc>
        <w:tc>
          <w:tcPr>
            <w:tcW w:w="64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1,680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11,697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13,377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391</w:t>
            </w:r>
          </w:p>
        </w:tc>
      </w:tr>
      <w:tr>
        <w:trPr>
          <w:trHeight w:val="270"/>
        </w:trPr>
        <w:tc>
          <w:tcPr>
            <w:tcW w:w="360" w:type="dxa"/>
            <w:vAlign w:val="bottom"/>
          </w:tcPr>
          <w:p>
            <w:pPr>
              <w:spacing w:after="0"/>
              <w:rPr>
                <w:sz w:val="20"/>
                <w:szCs w:val="20"/>
                <w:color w:val="auto"/>
              </w:rPr>
            </w:pPr>
            <w:r>
              <w:rPr>
                <w:rFonts w:ascii="Arial" w:cs="Arial" w:eastAsia="Arial" w:hAnsi="Arial"/>
                <w:sz w:val="16"/>
                <w:szCs w:val="16"/>
                <w:color w:val="auto"/>
              </w:rPr>
              <w:t>GA</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2,805</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4,519</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4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2,805</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4,519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7,324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19</w:t>
            </w:r>
          </w:p>
        </w:tc>
      </w:tr>
      <w:tr>
        <w:trPr>
          <w:trHeight w:val="364"/>
        </w:trPr>
        <w:tc>
          <w:tcPr>
            <w:tcW w:w="360" w:type="dxa"/>
            <w:vAlign w:val="bottom"/>
          </w:tcPr>
          <w:p>
            <w:pPr>
              <w:spacing w:after="0"/>
              <w:rPr>
                <w:sz w:val="20"/>
                <w:szCs w:val="20"/>
                <w:color w:val="auto"/>
              </w:rPr>
            </w:pPr>
            <w:r>
              <w:rPr>
                <w:rFonts w:ascii="Arial" w:cs="Arial" w:eastAsia="Arial" w:hAnsi="Arial"/>
                <w:sz w:val="16"/>
                <w:szCs w:val="16"/>
                <w:color w:val="auto"/>
              </w:rPr>
              <w:t>GA</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1,973</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1,587</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329</w:t>
            </w:r>
          </w:p>
        </w:tc>
        <w:tc>
          <w:tcPr>
            <w:tcW w:w="64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1,973</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1,916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3,889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694</w:t>
            </w:r>
          </w:p>
        </w:tc>
      </w:tr>
      <w:tr>
        <w:trPr>
          <w:trHeight w:val="459"/>
        </w:trPr>
        <w:tc>
          <w:tcPr>
            <w:tcW w:w="360" w:type="dxa"/>
            <w:vAlign w:val="bottom"/>
          </w:tcPr>
          <w:p>
            <w:pPr>
              <w:spacing w:after="0"/>
              <w:rPr>
                <w:sz w:val="20"/>
                <w:szCs w:val="20"/>
                <w:color w:val="auto"/>
              </w:rPr>
            </w:pPr>
            <w:r>
              <w:rPr>
                <w:rFonts w:ascii="Arial" w:cs="Arial" w:eastAsia="Arial" w:hAnsi="Arial"/>
                <w:sz w:val="16"/>
                <w:szCs w:val="16"/>
                <w:color w:val="auto"/>
              </w:rPr>
              <w:t>GA</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5,827</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1,420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8,902</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278</w:t>
            </w:r>
          </w:p>
        </w:tc>
        <w:tc>
          <w:tcPr>
            <w:tcW w:w="64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1,420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9,180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10,600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295</w:t>
            </w:r>
          </w:p>
        </w:tc>
      </w:tr>
      <w:tr>
        <w:trPr>
          <w:trHeight w:val="459"/>
        </w:trPr>
        <w:tc>
          <w:tcPr>
            <w:tcW w:w="360" w:type="dxa"/>
            <w:vAlign w:val="bottom"/>
          </w:tcPr>
          <w:p>
            <w:pPr>
              <w:spacing w:after="0"/>
              <w:rPr>
                <w:sz w:val="20"/>
                <w:szCs w:val="20"/>
                <w:color w:val="auto"/>
              </w:rPr>
            </w:pPr>
            <w:r>
              <w:rPr>
                <w:rFonts w:ascii="Arial" w:cs="Arial" w:eastAsia="Arial" w:hAnsi="Arial"/>
                <w:sz w:val="16"/>
                <w:szCs w:val="16"/>
                <w:color w:val="auto"/>
              </w:rPr>
              <w:t>GA</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5,429</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1,893</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3,161</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232</w:t>
            </w:r>
          </w:p>
        </w:tc>
        <w:tc>
          <w:tcPr>
            <w:tcW w:w="64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1,894</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3,392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5,286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984</w:t>
            </w:r>
          </w:p>
        </w:tc>
      </w:tr>
      <w:tr>
        <w:trPr>
          <w:trHeight w:val="459"/>
        </w:trPr>
        <w:tc>
          <w:tcPr>
            <w:tcW w:w="360" w:type="dxa"/>
            <w:vAlign w:val="bottom"/>
          </w:tcPr>
          <w:p>
            <w:pPr>
              <w:spacing w:after="0"/>
              <w:rPr>
                <w:sz w:val="20"/>
                <w:szCs w:val="20"/>
                <w:color w:val="auto"/>
              </w:rPr>
            </w:pPr>
            <w:r>
              <w:rPr>
                <w:rFonts w:ascii="Arial" w:cs="Arial" w:eastAsia="Arial" w:hAnsi="Arial"/>
                <w:sz w:val="16"/>
                <w:szCs w:val="16"/>
                <w:color w:val="auto"/>
              </w:rPr>
              <w:t>GA</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1,132</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10,080</w:t>
            </w:r>
          </w:p>
        </w:tc>
        <w:tc>
          <w:tcPr>
            <w:tcW w:w="1060" w:type="dxa"/>
            <w:vAlign w:val="bottom"/>
          </w:tcPr>
          <w:p>
            <w:pPr>
              <w:jc w:val="center"/>
              <w:spacing w:after="0"/>
              <w:rPr>
                <w:sz w:val="20"/>
                <w:szCs w:val="20"/>
                <w:color w:val="auto"/>
              </w:rPr>
            </w:pPr>
            <w:r>
              <w:rPr>
                <w:rFonts w:ascii="Arial" w:cs="Arial" w:eastAsia="Arial" w:hAnsi="Arial"/>
                <w:sz w:val="16"/>
                <w:szCs w:val="16"/>
                <w:color w:val="auto"/>
                <w:w w:val="82"/>
              </w:rPr>
              <w:t>118</w:t>
            </w:r>
          </w:p>
        </w:tc>
        <w:tc>
          <w:tcPr>
            <w:tcW w:w="64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1,132</w:t>
            </w: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10,198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11,330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640</w:t>
            </w:r>
          </w:p>
        </w:tc>
      </w:tr>
      <w:tr>
        <w:trPr>
          <w:trHeight w:val="459"/>
        </w:trPr>
        <w:tc>
          <w:tcPr>
            <w:tcW w:w="360" w:type="dxa"/>
            <w:vAlign w:val="bottom"/>
          </w:tcPr>
          <w:p>
            <w:pPr>
              <w:spacing w:after="0"/>
              <w:rPr>
                <w:sz w:val="20"/>
                <w:szCs w:val="20"/>
                <w:color w:val="auto"/>
              </w:rPr>
            </w:pPr>
            <w:r>
              <w:rPr>
                <w:rFonts w:ascii="Arial" w:cs="Arial" w:eastAsia="Arial" w:hAnsi="Arial"/>
                <w:sz w:val="16"/>
                <w:szCs w:val="16"/>
                <w:color w:val="auto"/>
              </w:rPr>
              <w:t>GA</w:t>
            </w:r>
          </w:p>
        </w:tc>
        <w:tc>
          <w:tcPr>
            <w:tcW w:w="760" w:type="dxa"/>
            <w:vAlign w:val="bottom"/>
          </w:tcPr>
          <w:p>
            <w:pPr>
              <w:jc w:val="center"/>
              <w:spacing w:after="0"/>
              <w:rPr>
                <w:sz w:val="20"/>
                <w:szCs w:val="20"/>
                <w:color w:val="auto"/>
              </w:rPr>
            </w:pPr>
            <w:r>
              <w:rPr>
                <w:rFonts w:ascii="Arial" w:cs="Arial" w:eastAsia="Arial" w:hAnsi="Arial"/>
                <w:sz w:val="16"/>
                <w:szCs w:val="16"/>
                <w:color w:val="auto"/>
                <w:w w:val="93"/>
              </w:rPr>
              <w:t>12,613</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3,737</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8,333</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760</w:t>
            </w:r>
          </w:p>
        </w:tc>
        <w:tc>
          <w:tcPr>
            <w:tcW w:w="64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3,738</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9,092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12,830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3,033</w:t>
            </w:r>
          </w:p>
        </w:tc>
      </w:tr>
      <w:tr>
        <w:trPr>
          <w:trHeight w:val="459"/>
        </w:trPr>
        <w:tc>
          <w:tcPr>
            <w:tcW w:w="360" w:type="dxa"/>
            <w:vAlign w:val="bottom"/>
          </w:tcPr>
          <w:p>
            <w:pPr>
              <w:spacing w:after="0"/>
              <w:rPr>
                <w:sz w:val="20"/>
                <w:szCs w:val="20"/>
                <w:color w:val="auto"/>
              </w:rPr>
            </w:pPr>
            <w:r>
              <w:rPr>
                <w:rFonts w:ascii="Arial" w:cs="Arial" w:eastAsia="Arial" w:hAnsi="Arial"/>
                <w:sz w:val="16"/>
                <w:szCs w:val="16"/>
                <w:color w:val="auto"/>
              </w:rPr>
              <w:t>GA</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7,544</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588</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10,295</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251</w:t>
            </w:r>
          </w:p>
        </w:tc>
        <w:tc>
          <w:tcPr>
            <w:tcW w:w="64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588</w:t>
            </w: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10,546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11,134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593</w:t>
            </w:r>
          </w:p>
        </w:tc>
      </w:tr>
      <w:tr>
        <w:trPr>
          <w:trHeight w:val="459"/>
        </w:trPr>
        <w:tc>
          <w:tcPr>
            <w:tcW w:w="360" w:type="dxa"/>
            <w:vAlign w:val="bottom"/>
          </w:tcPr>
          <w:p>
            <w:pPr>
              <w:spacing w:after="0"/>
              <w:rPr>
                <w:sz w:val="20"/>
                <w:szCs w:val="20"/>
                <w:color w:val="auto"/>
              </w:rPr>
            </w:pPr>
            <w:r>
              <w:rPr>
                <w:rFonts w:ascii="Arial" w:cs="Arial" w:eastAsia="Arial" w:hAnsi="Arial"/>
                <w:sz w:val="16"/>
                <w:szCs w:val="16"/>
                <w:color w:val="auto"/>
              </w:rPr>
              <w:t>GA</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2,961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19,819</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173</w:t>
            </w:r>
          </w:p>
        </w:tc>
        <w:tc>
          <w:tcPr>
            <w:tcW w:w="64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2,961</w:t>
            </w: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19,992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22,953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1,400</w:t>
            </w:r>
          </w:p>
        </w:tc>
      </w:tr>
      <w:tr>
        <w:trPr>
          <w:trHeight w:val="364"/>
        </w:trPr>
        <w:tc>
          <w:tcPr>
            <w:tcW w:w="360" w:type="dxa"/>
            <w:vAlign w:val="bottom"/>
          </w:tcPr>
          <w:p>
            <w:pPr>
              <w:spacing w:after="0"/>
              <w:rPr>
                <w:sz w:val="20"/>
                <w:szCs w:val="20"/>
                <w:color w:val="auto"/>
              </w:rPr>
            </w:pPr>
            <w:r>
              <w:rPr>
                <w:rFonts w:ascii="Arial" w:cs="Arial" w:eastAsia="Arial" w:hAnsi="Arial"/>
                <w:sz w:val="16"/>
                <w:szCs w:val="16"/>
                <w:color w:val="auto"/>
              </w:rPr>
              <w:t>GA</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1,665</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2,028</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473</w:t>
            </w:r>
          </w:p>
        </w:tc>
        <w:tc>
          <w:tcPr>
            <w:tcW w:w="64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1,665</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2,501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4,166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844</w:t>
            </w:r>
          </w:p>
        </w:tc>
      </w:tr>
      <w:tr>
        <w:trPr>
          <w:trHeight w:val="270"/>
        </w:trPr>
        <w:tc>
          <w:tcPr>
            <w:tcW w:w="360" w:type="dxa"/>
            <w:vAlign w:val="bottom"/>
          </w:tcPr>
          <w:p>
            <w:pPr>
              <w:spacing w:after="0"/>
              <w:rPr>
                <w:sz w:val="20"/>
                <w:szCs w:val="20"/>
                <w:color w:val="auto"/>
              </w:rPr>
            </w:pPr>
            <w:r>
              <w:rPr>
                <w:rFonts w:ascii="Arial" w:cs="Arial" w:eastAsia="Arial" w:hAnsi="Arial"/>
                <w:sz w:val="16"/>
                <w:szCs w:val="16"/>
                <w:color w:val="auto"/>
              </w:rPr>
              <w:t>GA</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6,315</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3,319</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8,325</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780</w:t>
            </w:r>
          </w:p>
        </w:tc>
        <w:tc>
          <w:tcPr>
            <w:tcW w:w="64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3,319</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9,105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12,424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2,973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-10248900</wp:posOffset>
            </wp:positionV>
            <wp:extent cx="724662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-9906000</wp:posOffset>
            </wp:positionV>
            <wp:extent cx="724662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-9563735</wp:posOffset>
            </wp:positionV>
            <wp:extent cx="724662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-9220835</wp:posOffset>
            </wp:positionV>
            <wp:extent cx="7246620" cy="291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-8638540</wp:posOffset>
            </wp:positionV>
            <wp:extent cx="724662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-8295640</wp:posOffset>
            </wp:positionV>
            <wp:extent cx="7246620" cy="291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-7713345</wp:posOffset>
            </wp:positionV>
            <wp:extent cx="724662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-7371080</wp:posOffset>
            </wp:positionV>
            <wp:extent cx="724662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-7028180</wp:posOffset>
            </wp:positionV>
            <wp:extent cx="724662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-6565900</wp:posOffset>
            </wp:positionV>
            <wp:extent cx="7246620"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-6223000</wp:posOffset>
            </wp:positionV>
            <wp:extent cx="724662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-5880100</wp:posOffset>
            </wp:positionV>
            <wp:extent cx="7246620" cy="291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-5417820</wp:posOffset>
            </wp:positionV>
            <wp:extent cx="724662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-5074920</wp:posOffset>
            </wp:positionV>
            <wp:extent cx="7246620" cy="291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-4492625</wp:posOffset>
            </wp:positionV>
            <wp:extent cx="7246620"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-4149725</wp:posOffset>
            </wp:positionV>
            <wp:extent cx="7246620" cy="291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-3567430</wp:posOffset>
            </wp:positionV>
            <wp:extent cx="7246620" cy="291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-2985135</wp:posOffset>
            </wp:positionV>
            <wp:extent cx="7246620" cy="291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-2522220</wp:posOffset>
            </wp:positionV>
            <wp:extent cx="7246620"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-2059940</wp:posOffset>
            </wp:positionV>
            <wp:extent cx="7246620" cy="291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-1477645</wp:posOffset>
            </wp:positionV>
            <wp:extent cx="7246620" cy="291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-894715</wp:posOffset>
            </wp:positionV>
            <wp:extent cx="7246620" cy="291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-312420</wp:posOffset>
            </wp:positionV>
            <wp:extent cx="724662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29210</wp:posOffset>
            </wp:positionV>
            <wp:extent cx="7246620" cy="825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2550"/>
                    </a:xfrm>
                    <a:prstGeom prst="rect">
                      <a:avLst/>
                    </a:prstGeom>
                    <a:noFill/>
                  </pic:spPr>
                </pic:pic>
              </a:graphicData>
            </a:graphic>
          </wp:anchor>
        </w:drawing>
      </w:r>
    </w:p>
    <w:p>
      <w:pPr>
        <w:sectPr>
          <w:pgSz w:w="11900" w:h="16838" w:orient="portrait"/>
          <w:cols w:equalWidth="0" w:num="2">
            <w:col w:w="2420" w:space="240"/>
            <w:col w:w="8340"/>
          </w:cols>
          <w:pgMar w:left="360" w:top="130" w:right="539" w:bottom="0" w:gutter="0" w:footer="0" w:header="0"/>
        </w:sectPr>
      </w:pPr>
    </w:p>
    <w:bookmarkStart w:id="100" w:name="page101"/>
    <w:bookmarkEnd w:id="100"/>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11/4/2013</w:t>
            </w:r>
          </w:p>
        </w:tc>
        <w:tc>
          <w:tcPr>
            <w:tcW w:w="1740" w:type="dxa"/>
            <w:vAlign w:val="bottom"/>
          </w:tcPr>
          <w:p>
            <w:pPr>
              <w:ind w:left="60"/>
              <w:spacing w:after="0"/>
              <w:rPr>
                <w:sz w:val="20"/>
                <w:szCs w:val="20"/>
                <w:color w:val="auto"/>
              </w:rPr>
            </w:pPr>
            <w:r>
              <w:rPr>
                <w:rFonts w:ascii="Arial" w:cs="Arial" w:eastAsia="Arial" w:hAnsi="Arial"/>
                <w:sz w:val="16"/>
                <w:szCs w:val="16"/>
                <w:color w:val="auto"/>
              </w:rPr>
              <w:t>Augusta</w:t>
            </w:r>
          </w:p>
        </w:tc>
        <w:tc>
          <w:tcPr>
            <w:tcW w:w="480" w:type="dxa"/>
            <w:vAlign w:val="bottom"/>
          </w:tcPr>
          <w:p>
            <w:pPr>
              <w:jc w:val="center"/>
              <w:spacing w:after="0"/>
              <w:rPr>
                <w:sz w:val="20"/>
                <w:szCs w:val="20"/>
                <w:color w:val="auto"/>
              </w:rPr>
            </w:pPr>
            <w:r>
              <w:rPr>
                <w:rFonts w:ascii="Arial" w:cs="Arial" w:eastAsia="Arial" w:hAnsi="Arial"/>
                <w:sz w:val="16"/>
                <w:szCs w:val="16"/>
                <w:color w:val="auto"/>
              </w:rPr>
              <w:t>GA</w:t>
            </w:r>
          </w:p>
        </w:tc>
        <w:tc>
          <w:tcPr>
            <w:tcW w:w="580" w:type="dxa"/>
            <w:vAlign w:val="bottom"/>
          </w:tcPr>
          <w:p>
            <w:pPr>
              <w:jc w:val="center"/>
              <w:ind w:left="39"/>
              <w:spacing w:after="0"/>
              <w:rPr>
                <w:sz w:val="20"/>
                <w:szCs w:val="20"/>
                <w:color w:val="auto"/>
              </w:rPr>
            </w:pPr>
            <w:r>
              <w:rPr>
                <w:rFonts w:ascii="Arial" w:cs="Arial" w:eastAsia="Arial" w:hAnsi="Arial"/>
                <w:sz w:val="16"/>
                <w:szCs w:val="16"/>
                <w:color w:val="auto"/>
                <w:w w:val="94"/>
              </w:rPr>
              <w:t>1,982</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740" w:type="dxa"/>
            <w:vAlign w:val="bottom"/>
          </w:tcPr>
          <w:p>
            <w:pPr>
              <w:ind w:left="60"/>
              <w:spacing w:after="0"/>
              <w:rPr>
                <w:sz w:val="20"/>
                <w:szCs w:val="20"/>
                <w:color w:val="auto"/>
              </w:rPr>
            </w:pPr>
            <w:r>
              <w:rPr>
                <w:rFonts w:ascii="Arial" w:cs="Arial" w:eastAsia="Arial" w:hAnsi="Arial"/>
                <w:sz w:val="16"/>
                <w:szCs w:val="16"/>
                <w:color w:val="auto"/>
              </w:rPr>
              <w:t>Austell</w:t>
            </w:r>
          </w:p>
        </w:tc>
        <w:tc>
          <w:tcPr>
            <w:tcW w:w="480" w:type="dxa"/>
            <w:vAlign w:val="bottom"/>
          </w:tcPr>
          <w:p>
            <w:pPr>
              <w:jc w:val="center"/>
              <w:spacing w:after="0"/>
              <w:rPr>
                <w:sz w:val="20"/>
                <w:szCs w:val="20"/>
                <w:color w:val="auto"/>
              </w:rPr>
            </w:pPr>
            <w:r>
              <w:rPr>
                <w:rFonts w:ascii="Arial" w:cs="Arial" w:eastAsia="Arial" w:hAnsi="Arial"/>
                <w:sz w:val="16"/>
                <w:szCs w:val="16"/>
                <w:color w:val="auto"/>
              </w:rPr>
              <w:t>GA</w:t>
            </w:r>
          </w:p>
        </w:tc>
        <w:tc>
          <w:tcPr>
            <w:tcW w:w="580" w:type="dxa"/>
            <w:vAlign w:val="bottom"/>
          </w:tcPr>
          <w:p>
            <w:pPr>
              <w:jc w:val="center"/>
              <w:ind w:left="39"/>
              <w:spacing w:after="0"/>
              <w:rPr>
                <w:sz w:val="20"/>
                <w:szCs w:val="20"/>
                <w:color w:val="auto"/>
              </w:rPr>
            </w:pPr>
            <w:r>
              <w:rPr>
                <w:rFonts w:ascii="Arial" w:cs="Arial" w:eastAsia="Arial" w:hAnsi="Arial"/>
                <w:sz w:val="16"/>
                <w:szCs w:val="16"/>
                <w:color w:val="auto"/>
                <w:w w:val="94"/>
              </w:rPr>
              <w:t>3,361</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740" w:type="dxa"/>
            <w:vAlign w:val="bottom"/>
          </w:tcPr>
          <w:p>
            <w:pPr>
              <w:ind w:left="60"/>
              <w:spacing w:after="0"/>
              <w:rPr>
                <w:sz w:val="20"/>
                <w:szCs w:val="20"/>
                <w:color w:val="auto"/>
              </w:rPr>
            </w:pPr>
            <w:r>
              <w:rPr>
                <w:rFonts w:ascii="Arial" w:cs="Arial" w:eastAsia="Arial" w:hAnsi="Arial"/>
                <w:sz w:val="16"/>
                <w:szCs w:val="16"/>
                <w:color w:val="auto"/>
              </w:rPr>
              <w:t>Buford / Buford Dr</w:t>
            </w:r>
          </w:p>
        </w:tc>
        <w:tc>
          <w:tcPr>
            <w:tcW w:w="480" w:type="dxa"/>
            <w:vAlign w:val="bottom"/>
          </w:tcPr>
          <w:p>
            <w:pPr>
              <w:jc w:val="center"/>
              <w:spacing w:after="0"/>
              <w:rPr>
                <w:sz w:val="20"/>
                <w:szCs w:val="20"/>
                <w:color w:val="auto"/>
              </w:rPr>
            </w:pPr>
            <w:r>
              <w:rPr>
                <w:rFonts w:ascii="Arial" w:cs="Arial" w:eastAsia="Arial" w:hAnsi="Arial"/>
                <w:sz w:val="16"/>
                <w:szCs w:val="16"/>
                <w:color w:val="auto"/>
              </w:rPr>
              <w:t>GA</w:t>
            </w:r>
          </w:p>
        </w:tc>
        <w:tc>
          <w:tcPr>
            <w:tcW w:w="580" w:type="dxa"/>
            <w:vAlign w:val="bottom"/>
          </w:tcPr>
          <w:p>
            <w:pPr>
              <w:jc w:val="center"/>
              <w:ind w:left="1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3/29/2016</w:t>
            </w:r>
          </w:p>
        </w:tc>
        <w:tc>
          <w:tcPr>
            <w:tcW w:w="1740" w:type="dxa"/>
            <w:vAlign w:val="bottom"/>
          </w:tcPr>
          <w:p>
            <w:pPr>
              <w:ind w:left="60"/>
              <w:spacing w:after="0"/>
              <w:rPr>
                <w:sz w:val="20"/>
                <w:szCs w:val="20"/>
                <w:color w:val="auto"/>
              </w:rPr>
            </w:pPr>
            <w:r>
              <w:rPr>
                <w:rFonts w:ascii="Arial" w:cs="Arial" w:eastAsia="Arial" w:hAnsi="Arial"/>
                <w:sz w:val="16"/>
                <w:szCs w:val="16"/>
                <w:color w:val="auto"/>
                <w:w w:val="99"/>
              </w:rPr>
              <w:t>Buford / Gravel Springs</w:t>
            </w:r>
          </w:p>
        </w:tc>
        <w:tc>
          <w:tcPr>
            <w:tcW w:w="480" w:type="dxa"/>
            <w:vAlign w:val="bottom"/>
            <w:vMerge w:val="restart"/>
          </w:tcPr>
          <w:p>
            <w:pPr>
              <w:jc w:val="center"/>
              <w:spacing w:after="0"/>
              <w:rPr>
                <w:sz w:val="20"/>
                <w:szCs w:val="20"/>
                <w:color w:val="auto"/>
              </w:rPr>
            </w:pPr>
            <w:r>
              <w:rPr>
                <w:rFonts w:ascii="Arial" w:cs="Arial" w:eastAsia="Arial" w:hAnsi="Arial"/>
                <w:sz w:val="16"/>
                <w:szCs w:val="16"/>
                <w:color w:val="auto"/>
              </w:rPr>
              <w:t>GA</w:t>
            </w:r>
          </w:p>
        </w:tc>
        <w:tc>
          <w:tcPr>
            <w:tcW w:w="580" w:type="dxa"/>
            <w:vAlign w:val="bottom"/>
            <w:vMerge w:val="restart"/>
          </w:tcPr>
          <w:p>
            <w:pPr>
              <w:jc w:val="center"/>
              <w:ind w:left="1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740" w:type="dxa"/>
            <w:vAlign w:val="bottom"/>
            <w:vMerge w:val="restart"/>
          </w:tcPr>
          <w:p>
            <w:pPr>
              <w:ind w:left="60"/>
              <w:spacing w:after="0"/>
              <w:rPr>
                <w:sz w:val="20"/>
                <w:szCs w:val="20"/>
                <w:color w:val="auto"/>
              </w:rPr>
            </w:pPr>
            <w:r>
              <w:rPr>
                <w:rFonts w:ascii="Arial" w:cs="Arial" w:eastAsia="Arial" w:hAnsi="Arial"/>
                <w:sz w:val="16"/>
                <w:szCs w:val="16"/>
                <w:color w:val="auto"/>
              </w:rPr>
              <w:t>Rd</w:t>
            </w:r>
          </w:p>
        </w:tc>
        <w:tc>
          <w:tcPr>
            <w:tcW w:w="4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5/7/2015</w:t>
            </w:r>
          </w:p>
        </w:tc>
        <w:tc>
          <w:tcPr>
            <w:tcW w:w="1740" w:type="dxa"/>
            <w:vAlign w:val="bottom"/>
          </w:tcPr>
          <w:p>
            <w:pPr>
              <w:ind w:left="60"/>
              <w:spacing w:after="0"/>
              <w:rPr>
                <w:sz w:val="20"/>
                <w:szCs w:val="20"/>
                <w:color w:val="auto"/>
              </w:rPr>
            </w:pPr>
            <w:r>
              <w:rPr>
                <w:rFonts w:ascii="Arial" w:cs="Arial" w:eastAsia="Arial" w:hAnsi="Arial"/>
                <w:sz w:val="16"/>
                <w:szCs w:val="16"/>
                <w:color w:val="auto"/>
              </w:rPr>
              <w:t>Dacula / Auburn Rd</w:t>
            </w:r>
          </w:p>
        </w:tc>
        <w:tc>
          <w:tcPr>
            <w:tcW w:w="480" w:type="dxa"/>
            <w:vAlign w:val="bottom"/>
          </w:tcPr>
          <w:p>
            <w:pPr>
              <w:jc w:val="center"/>
              <w:spacing w:after="0"/>
              <w:rPr>
                <w:sz w:val="20"/>
                <w:szCs w:val="20"/>
                <w:color w:val="auto"/>
              </w:rPr>
            </w:pPr>
            <w:r>
              <w:rPr>
                <w:rFonts w:ascii="Arial" w:cs="Arial" w:eastAsia="Arial" w:hAnsi="Arial"/>
                <w:sz w:val="16"/>
                <w:szCs w:val="16"/>
                <w:color w:val="auto"/>
              </w:rPr>
              <w:t>GA</w:t>
            </w:r>
          </w:p>
        </w:tc>
        <w:tc>
          <w:tcPr>
            <w:tcW w:w="580" w:type="dxa"/>
            <w:vAlign w:val="bottom"/>
          </w:tcPr>
          <w:p>
            <w:pPr>
              <w:jc w:val="center"/>
              <w:ind w:left="39"/>
              <w:spacing w:after="0"/>
              <w:rPr>
                <w:sz w:val="20"/>
                <w:szCs w:val="20"/>
                <w:color w:val="auto"/>
              </w:rPr>
            </w:pPr>
            <w:r>
              <w:rPr>
                <w:rFonts w:ascii="Arial" w:cs="Arial" w:eastAsia="Arial" w:hAnsi="Arial"/>
                <w:sz w:val="16"/>
                <w:szCs w:val="16"/>
                <w:color w:val="auto"/>
                <w:w w:val="94"/>
              </w:rPr>
              <w:t>4,378</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1/17/2006</w:t>
            </w:r>
          </w:p>
        </w:tc>
        <w:tc>
          <w:tcPr>
            <w:tcW w:w="1740" w:type="dxa"/>
            <w:vAlign w:val="bottom"/>
          </w:tcPr>
          <w:p>
            <w:pPr>
              <w:ind w:left="60"/>
              <w:spacing w:after="0"/>
              <w:rPr>
                <w:sz w:val="20"/>
                <w:szCs w:val="20"/>
                <w:color w:val="auto"/>
              </w:rPr>
            </w:pPr>
            <w:r>
              <w:rPr>
                <w:rFonts w:ascii="Arial" w:cs="Arial" w:eastAsia="Arial" w:hAnsi="Arial"/>
                <w:sz w:val="16"/>
                <w:szCs w:val="16"/>
                <w:color w:val="auto"/>
                <w:w w:val="99"/>
              </w:rPr>
              <w:t>Dacula / Braselton Hwy</w:t>
            </w:r>
          </w:p>
        </w:tc>
        <w:tc>
          <w:tcPr>
            <w:tcW w:w="480" w:type="dxa"/>
            <w:vAlign w:val="bottom"/>
          </w:tcPr>
          <w:p>
            <w:pPr>
              <w:jc w:val="center"/>
              <w:spacing w:after="0"/>
              <w:rPr>
                <w:sz w:val="20"/>
                <w:szCs w:val="20"/>
                <w:color w:val="auto"/>
              </w:rPr>
            </w:pPr>
            <w:r>
              <w:rPr>
                <w:rFonts w:ascii="Arial" w:cs="Arial" w:eastAsia="Arial" w:hAnsi="Arial"/>
                <w:sz w:val="16"/>
                <w:szCs w:val="16"/>
                <w:color w:val="auto"/>
              </w:rPr>
              <w:t>GA</w:t>
            </w:r>
          </w:p>
        </w:tc>
        <w:tc>
          <w:tcPr>
            <w:tcW w:w="580" w:type="dxa"/>
            <w:vAlign w:val="bottom"/>
          </w:tcPr>
          <w:p>
            <w:pPr>
              <w:jc w:val="center"/>
              <w:ind w:left="39"/>
              <w:spacing w:after="0"/>
              <w:rPr>
                <w:sz w:val="20"/>
                <w:szCs w:val="20"/>
                <w:color w:val="auto"/>
              </w:rPr>
            </w:pPr>
            <w:r>
              <w:rPr>
                <w:rFonts w:ascii="Arial" w:cs="Arial" w:eastAsia="Arial" w:hAnsi="Arial"/>
                <w:sz w:val="16"/>
                <w:szCs w:val="16"/>
                <w:color w:val="auto"/>
                <w:w w:val="94"/>
              </w:rPr>
              <w:t>4,965</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6/17/2010</w:t>
            </w:r>
          </w:p>
        </w:tc>
        <w:tc>
          <w:tcPr>
            <w:tcW w:w="1740" w:type="dxa"/>
            <w:vAlign w:val="bottom"/>
          </w:tcPr>
          <w:p>
            <w:pPr>
              <w:ind w:left="60"/>
              <w:spacing w:after="0"/>
              <w:rPr>
                <w:sz w:val="20"/>
                <w:szCs w:val="20"/>
                <w:color w:val="auto"/>
              </w:rPr>
            </w:pPr>
            <w:r>
              <w:rPr>
                <w:rFonts w:ascii="Arial" w:cs="Arial" w:eastAsia="Arial" w:hAnsi="Arial"/>
                <w:sz w:val="16"/>
                <w:szCs w:val="16"/>
                <w:color w:val="auto"/>
              </w:rPr>
              <w:t>Douglasville</w:t>
            </w:r>
          </w:p>
        </w:tc>
        <w:tc>
          <w:tcPr>
            <w:tcW w:w="480" w:type="dxa"/>
            <w:vAlign w:val="bottom"/>
          </w:tcPr>
          <w:p>
            <w:pPr>
              <w:jc w:val="center"/>
              <w:spacing w:after="0"/>
              <w:rPr>
                <w:sz w:val="20"/>
                <w:szCs w:val="20"/>
                <w:color w:val="auto"/>
              </w:rPr>
            </w:pPr>
            <w:r>
              <w:rPr>
                <w:rFonts w:ascii="Arial" w:cs="Arial" w:eastAsia="Arial" w:hAnsi="Arial"/>
                <w:sz w:val="16"/>
                <w:szCs w:val="16"/>
                <w:color w:val="auto"/>
              </w:rPr>
              <w:t>GA</w:t>
            </w:r>
          </w:p>
        </w:tc>
        <w:tc>
          <w:tcPr>
            <w:tcW w:w="580" w:type="dxa"/>
            <w:vAlign w:val="bottom"/>
          </w:tcPr>
          <w:p>
            <w:pPr>
              <w:jc w:val="center"/>
              <w:ind w:left="1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740" w:type="dxa"/>
            <w:vAlign w:val="bottom"/>
          </w:tcPr>
          <w:p>
            <w:pPr>
              <w:ind w:left="60"/>
              <w:spacing w:after="0"/>
              <w:rPr>
                <w:sz w:val="20"/>
                <w:szCs w:val="20"/>
                <w:color w:val="auto"/>
              </w:rPr>
            </w:pPr>
            <w:r>
              <w:rPr>
                <w:rFonts w:ascii="Arial" w:cs="Arial" w:eastAsia="Arial" w:hAnsi="Arial"/>
                <w:sz w:val="16"/>
                <w:szCs w:val="16"/>
                <w:color w:val="auto"/>
              </w:rPr>
              <w:t>Duluth / Berkeley Lake</w:t>
            </w:r>
          </w:p>
        </w:tc>
        <w:tc>
          <w:tcPr>
            <w:tcW w:w="480" w:type="dxa"/>
            <w:vAlign w:val="bottom"/>
            <w:vMerge w:val="restart"/>
          </w:tcPr>
          <w:p>
            <w:pPr>
              <w:jc w:val="center"/>
              <w:spacing w:after="0"/>
              <w:rPr>
                <w:sz w:val="20"/>
                <w:szCs w:val="20"/>
                <w:color w:val="auto"/>
              </w:rPr>
            </w:pPr>
            <w:r>
              <w:rPr>
                <w:rFonts w:ascii="Arial" w:cs="Arial" w:eastAsia="Arial" w:hAnsi="Arial"/>
                <w:sz w:val="16"/>
                <w:szCs w:val="16"/>
                <w:color w:val="auto"/>
              </w:rPr>
              <w:t>GA</w:t>
            </w:r>
          </w:p>
        </w:tc>
        <w:tc>
          <w:tcPr>
            <w:tcW w:w="580" w:type="dxa"/>
            <w:vAlign w:val="bottom"/>
            <w:vMerge w:val="restart"/>
          </w:tcPr>
          <w:p>
            <w:pPr>
              <w:jc w:val="center"/>
              <w:ind w:left="39"/>
              <w:spacing w:after="0"/>
              <w:rPr>
                <w:sz w:val="20"/>
                <w:szCs w:val="20"/>
                <w:color w:val="auto"/>
              </w:rPr>
            </w:pPr>
            <w:r>
              <w:rPr>
                <w:rFonts w:ascii="Arial" w:cs="Arial" w:eastAsia="Arial" w:hAnsi="Arial"/>
                <w:sz w:val="16"/>
                <w:szCs w:val="16"/>
                <w:color w:val="auto"/>
                <w:w w:val="94"/>
              </w:rPr>
              <w:t>4,055</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740" w:type="dxa"/>
            <w:vAlign w:val="bottom"/>
            <w:vMerge w:val="restart"/>
          </w:tcPr>
          <w:p>
            <w:pPr>
              <w:ind w:left="60"/>
              <w:spacing w:after="0"/>
              <w:rPr>
                <w:sz w:val="20"/>
                <w:szCs w:val="20"/>
                <w:color w:val="auto"/>
              </w:rPr>
            </w:pPr>
            <w:r>
              <w:rPr>
                <w:rFonts w:ascii="Arial" w:cs="Arial" w:eastAsia="Arial" w:hAnsi="Arial"/>
                <w:sz w:val="16"/>
                <w:szCs w:val="16"/>
                <w:color w:val="auto"/>
              </w:rPr>
              <w:t>Rd</w:t>
            </w:r>
          </w:p>
        </w:tc>
        <w:tc>
          <w:tcPr>
            <w:tcW w:w="4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740" w:type="dxa"/>
            <w:vAlign w:val="bottom"/>
          </w:tcPr>
          <w:p>
            <w:pPr>
              <w:ind w:left="60"/>
              <w:spacing w:after="0"/>
              <w:rPr>
                <w:sz w:val="20"/>
                <w:szCs w:val="20"/>
                <w:color w:val="auto"/>
              </w:rPr>
            </w:pPr>
            <w:r>
              <w:rPr>
                <w:rFonts w:ascii="Arial" w:cs="Arial" w:eastAsia="Arial" w:hAnsi="Arial"/>
                <w:sz w:val="16"/>
                <w:szCs w:val="16"/>
                <w:color w:val="auto"/>
              </w:rPr>
              <w:t>Duluth / Breckinridge</w:t>
            </w:r>
          </w:p>
        </w:tc>
        <w:tc>
          <w:tcPr>
            <w:tcW w:w="480" w:type="dxa"/>
            <w:vAlign w:val="bottom"/>
            <w:vMerge w:val="restart"/>
          </w:tcPr>
          <w:p>
            <w:pPr>
              <w:jc w:val="center"/>
              <w:spacing w:after="0"/>
              <w:rPr>
                <w:sz w:val="20"/>
                <w:szCs w:val="20"/>
                <w:color w:val="auto"/>
              </w:rPr>
            </w:pPr>
            <w:r>
              <w:rPr>
                <w:rFonts w:ascii="Arial" w:cs="Arial" w:eastAsia="Arial" w:hAnsi="Arial"/>
                <w:sz w:val="16"/>
                <w:szCs w:val="16"/>
                <w:color w:val="auto"/>
              </w:rPr>
              <w:t>GA</w:t>
            </w:r>
          </w:p>
        </w:tc>
        <w:tc>
          <w:tcPr>
            <w:tcW w:w="580" w:type="dxa"/>
            <w:vAlign w:val="bottom"/>
            <w:vMerge w:val="restart"/>
          </w:tcPr>
          <w:p>
            <w:pPr>
              <w:jc w:val="center"/>
              <w:ind w:left="39"/>
              <w:spacing w:after="0"/>
              <w:rPr>
                <w:sz w:val="20"/>
                <w:szCs w:val="20"/>
                <w:color w:val="auto"/>
              </w:rPr>
            </w:pPr>
            <w:r>
              <w:rPr>
                <w:rFonts w:ascii="Arial" w:cs="Arial" w:eastAsia="Arial" w:hAnsi="Arial"/>
                <w:sz w:val="16"/>
                <w:szCs w:val="16"/>
                <w:color w:val="auto"/>
                <w:w w:val="94"/>
              </w:rPr>
              <w:t>3,864</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740" w:type="dxa"/>
            <w:vAlign w:val="bottom"/>
            <w:vMerge w:val="restart"/>
          </w:tcPr>
          <w:p>
            <w:pPr>
              <w:ind w:left="60"/>
              <w:spacing w:after="0"/>
              <w:rPr>
                <w:sz w:val="20"/>
                <w:szCs w:val="20"/>
                <w:color w:val="auto"/>
              </w:rPr>
            </w:pPr>
            <w:r>
              <w:rPr>
                <w:rFonts w:ascii="Arial" w:cs="Arial" w:eastAsia="Arial" w:hAnsi="Arial"/>
                <w:sz w:val="16"/>
                <w:szCs w:val="16"/>
                <w:color w:val="auto"/>
              </w:rPr>
              <w:t>Blvd</w:t>
            </w:r>
          </w:p>
        </w:tc>
        <w:tc>
          <w:tcPr>
            <w:tcW w:w="4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740" w:type="dxa"/>
            <w:vAlign w:val="bottom"/>
          </w:tcPr>
          <w:p>
            <w:pPr>
              <w:ind w:left="60"/>
              <w:spacing w:after="0"/>
              <w:rPr>
                <w:sz w:val="20"/>
                <w:szCs w:val="20"/>
                <w:color w:val="auto"/>
              </w:rPr>
            </w:pPr>
            <w:r>
              <w:rPr>
                <w:rFonts w:ascii="Arial" w:cs="Arial" w:eastAsia="Arial" w:hAnsi="Arial"/>
                <w:sz w:val="16"/>
                <w:szCs w:val="16"/>
                <w:color w:val="auto"/>
              </w:rPr>
              <w:t>Duluth / Peachtree</w:t>
            </w:r>
          </w:p>
        </w:tc>
        <w:tc>
          <w:tcPr>
            <w:tcW w:w="480" w:type="dxa"/>
            <w:vAlign w:val="bottom"/>
            <w:vMerge w:val="restart"/>
          </w:tcPr>
          <w:p>
            <w:pPr>
              <w:jc w:val="center"/>
              <w:spacing w:after="0"/>
              <w:rPr>
                <w:sz w:val="20"/>
                <w:szCs w:val="20"/>
                <w:color w:val="auto"/>
              </w:rPr>
            </w:pPr>
            <w:r>
              <w:rPr>
                <w:rFonts w:ascii="Arial" w:cs="Arial" w:eastAsia="Arial" w:hAnsi="Arial"/>
                <w:sz w:val="16"/>
                <w:szCs w:val="16"/>
                <w:color w:val="auto"/>
              </w:rPr>
              <w:t>GA</w:t>
            </w:r>
          </w:p>
        </w:tc>
        <w:tc>
          <w:tcPr>
            <w:tcW w:w="580" w:type="dxa"/>
            <w:vAlign w:val="bottom"/>
            <w:vMerge w:val="restart"/>
          </w:tcPr>
          <w:p>
            <w:pPr>
              <w:jc w:val="center"/>
              <w:ind w:left="39"/>
              <w:spacing w:after="0"/>
              <w:rPr>
                <w:sz w:val="20"/>
                <w:szCs w:val="20"/>
                <w:color w:val="auto"/>
              </w:rPr>
            </w:pPr>
            <w:r>
              <w:rPr>
                <w:rFonts w:ascii="Arial" w:cs="Arial" w:eastAsia="Arial" w:hAnsi="Arial"/>
                <w:sz w:val="16"/>
                <w:szCs w:val="16"/>
                <w:color w:val="auto"/>
                <w:w w:val="94"/>
              </w:rPr>
              <w:t>4,216</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740" w:type="dxa"/>
            <w:vAlign w:val="bottom"/>
            <w:vMerge w:val="restart"/>
          </w:tcPr>
          <w:p>
            <w:pPr>
              <w:ind w:left="60"/>
              <w:spacing w:after="0"/>
              <w:rPr>
                <w:sz w:val="20"/>
                <w:szCs w:val="20"/>
                <w:color w:val="auto"/>
              </w:rPr>
            </w:pPr>
            <w:r>
              <w:rPr>
                <w:rFonts w:ascii="Arial" w:cs="Arial" w:eastAsia="Arial" w:hAnsi="Arial"/>
                <w:sz w:val="16"/>
                <w:szCs w:val="16"/>
                <w:color w:val="auto"/>
              </w:rPr>
              <w:t>Industrial Blvd</w:t>
            </w:r>
          </w:p>
        </w:tc>
        <w:tc>
          <w:tcPr>
            <w:tcW w:w="4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11/30/2012</w:t>
            </w:r>
          </w:p>
        </w:tc>
        <w:tc>
          <w:tcPr>
            <w:tcW w:w="1740" w:type="dxa"/>
            <w:vAlign w:val="bottom"/>
          </w:tcPr>
          <w:p>
            <w:pPr>
              <w:ind w:left="60"/>
              <w:spacing w:after="0"/>
              <w:rPr>
                <w:sz w:val="20"/>
                <w:szCs w:val="20"/>
                <w:color w:val="auto"/>
              </w:rPr>
            </w:pPr>
            <w:r>
              <w:rPr>
                <w:rFonts w:ascii="Arial" w:cs="Arial" w:eastAsia="Arial" w:hAnsi="Arial"/>
                <w:sz w:val="16"/>
                <w:szCs w:val="16"/>
                <w:color w:val="auto"/>
              </w:rPr>
              <w:t>Eastpoint</w:t>
            </w:r>
          </w:p>
        </w:tc>
        <w:tc>
          <w:tcPr>
            <w:tcW w:w="480" w:type="dxa"/>
            <w:vAlign w:val="bottom"/>
          </w:tcPr>
          <w:p>
            <w:pPr>
              <w:jc w:val="center"/>
              <w:spacing w:after="0"/>
              <w:rPr>
                <w:sz w:val="20"/>
                <w:szCs w:val="20"/>
                <w:color w:val="auto"/>
              </w:rPr>
            </w:pPr>
            <w:r>
              <w:rPr>
                <w:rFonts w:ascii="Arial" w:cs="Arial" w:eastAsia="Arial" w:hAnsi="Arial"/>
                <w:sz w:val="16"/>
                <w:szCs w:val="16"/>
                <w:color w:val="auto"/>
              </w:rPr>
              <w:t>GA</w:t>
            </w:r>
          </w:p>
        </w:tc>
        <w:tc>
          <w:tcPr>
            <w:tcW w:w="580" w:type="dxa"/>
            <w:vAlign w:val="bottom"/>
          </w:tcPr>
          <w:p>
            <w:pPr>
              <w:jc w:val="center"/>
              <w:ind w:left="39"/>
              <w:spacing w:after="0"/>
              <w:rPr>
                <w:sz w:val="20"/>
                <w:szCs w:val="20"/>
                <w:color w:val="auto"/>
              </w:rPr>
            </w:pPr>
            <w:r>
              <w:rPr>
                <w:rFonts w:ascii="Arial" w:cs="Arial" w:eastAsia="Arial" w:hAnsi="Arial"/>
                <w:sz w:val="16"/>
                <w:szCs w:val="16"/>
                <w:color w:val="auto"/>
                <w:w w:val="94"/>
              </w:rPr>
              <w:t>5,566</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740" w:type="dxa"/>
            <w:vAlign w:val="bottom"/>
          </w:tcPr>
          <w:p>
            <w:pPr>
              <w:ind w:left="60"/>
              <w:spacing w:after="0"/>
              <w:rPr>
                <w:sz w:val="20"/>
                <w:szCs w:val="20"/>
                <w:color w:val="auto"/>
              </w:rPr>
            </w:pPr>
            <w:r>
              <w:rPr>
                <w:rFonts w:ascii="Arial" w:cs="Arial" w:eastAsia="Arial" w:hAnsi="Arial"/>
                <w:sz w:val="16"/>
                <w:szCs w:val="16"/>
                <w:color w:val="auto"/>
              </w:rPr>
              <w:t>Ellenwood</w:t>
            </w:r>
          </w:p>
        </w:tc>
        <w:tc>
          <w:tcPr>
            <w:tcW w:w="480" w:type="dxa"/>
            <w:vAlign w:val="bottom"/>
          </w:tcPr>
          <w:p>
            <w:pPr>
              <w:jc w:val="center"/>
              <w:spacing w:after="0"/>
              <w:rPr>
                <w:sz w:val="20"/>
                <w:szCs w:val="20"/>
                <w:color w:val="auto"/>
              </w:rPr>
            </w:pPr>
            <w:r>
              <w:rPr>
                <w:rFonts w:ascii="Arial" w:cs="Arial" w:eastAsia="Arial" w:hAnsi="Arial"/>
                <w:sz w:val="16"/>
                <w:szCs w:val="16"/>
                <w:color w:val="auto"/>
              </w:rPr>
              <w:t>GA</w:t>
            </w:r>
          </w:p>
        </w:tc>
        <w:tc>
          <w:tcPr>
            <w:tcW w:w="580" w:type="dxa"/>
            <w:vAlign w:val="bottom"/>
          </w:tcPr>
          <w:p>
            <w:pPr>
              <w:jc w:val="center"/>
              <w:ind w:left="39"/>
              <w:spacing w:after="0"/>
              <w:rPr>
                <w:sz w:val="20"/>
                <w:szCs w:val="20"/>
                <w:color w:val="auto"/>
              </w:rPr>
            </w:pPr>
            <w:r>
              <w:rPr>
                <w:rFonts w:ascii="Arial" w:cs="Arial" w:eastAsia="Arial" w:hAnsi="Arial"/>
                <w:sz w:val="16"/>
                <w:szCs w:val="16"/>
                <w:color w:val="auto"/>
                <w:w w:val="94"/>
              </w:rPr>
              <w:t>2,679</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6/14/2007</w:t>
            </w:r>
          </w:p>
        </w:tc>
        <w:tc>
          <w:tcPr>
            <w:tcW w:w="1740" w:type="dxa"/>
            <w:vAlign w:val="bottom"/>
          </w:tcPr>
          <w:p>
            <w:pPr>
              <w:ind w:left="60"/>
              <w:spacing w:after="0"/>
              <w:rPr>
                <w:sz w:val="20"/>
                <w:szCs w:val="20"/>
                <w:color w:val="auto"/>
              </w:rPr>
            </w:pPr>
            <w:r>
              <w:rPr>
                <w:rFonts w:ascii="Arial" w:cs="Arial" w:eastAsia="Arial" w:hAnsi="Arial"/>
                <w:sz w:val="16"/>
                <w:szCs w:val="16"/>
                <w:color w:val="auto"/>
              </w:rPr>
              <w:t>Johns Creek</w:t>
            </w:r>
          </w:p>
        </w:tc>
        <w:tc>
          <w:tcPr>
            <w:tcW w:w="480" w:type="dxa"/>
            <w:vAlign w:val="bottom"/>
          </w:tcPr>
          <w:p>
            <w:pPr>
              <w:jc w:val="center"/>
              <w:spacing w:after="0"/>
              <w:rPr>
                <w:sz w:val="20"/>
                <w:szCs w:val="20"/>
                <w:color w:val="auto"/>
              </w:rPr>
            </w:pPr>
            <w:r>
              <w:rPr>
                <w:rFonts w:ascii="Arial" w:cs="Arial" w:eastAsia="Arial" w:hAnsi="Arial"/>
                <w:sz w:val="16"/>
                <w:szCs w:val="16"/>
                <w:color w:val="auto"/>
              </w:rPr>
              <w:t>GA</w:t>
            </w:r>
          </w:p>
        </w:tc>
        <w:tc>
          <w:tcPr>
            <w:tcW w:w="580" w:type="dxa"/>
            <w:vAlign w:val="bottom"/>
          </w:tcPr>
          <w:p>
            <w:pPr>
              <w:jc w:val="center"/>
              <w:ind w:left="39"/>
              <w:spacing w:after="0"/>
              <w:rPr>
                <w:sz w:val="20"/>
                <w:szCs w:val="20"/>
                <w:color w:val="auto"/>
              </w:rPr>
            </w:pPr>
            <w:r>
              <w:rPr>
                <w:rFonts w:ascii="Arial" w:cs="Arial" w:eastAsia="Arial" w:hAnsi="Arial"/>
                <w:sz w:val="16"/>
                <w:szCs w:val="16"/>
                <w:color w:val="auto"/>
                <w:w w:val="94"/>
              </w:rPr>
              <w:t>3,298</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740" w:type="dxa"/>
            <w:vAlign w:val="bottom"/>
          </w:tcPr>
          <w:p>
            <w:pPr>
              <w:ind w:left="60"/>
              <w:spacing w:after="0"/>
              <w:rPr>
                <w:sz w:val="20"/>
                <w:szCs w:val="20"/>
                <w:color w:val="auto"/>
              </w:rPr>
            </w:pPr>
            <w:r>
              <w:rPr>
                <w:rFonts w:ascii="Arial" w:cs="Arial" w:eastAsia="Arial" w:hAnsi="Arial"/>
                <w:sz w:val="16"/>
                <w:szCs w:val="16"/>
                <w:color w:val="auto"/>
              </w:rPr>
              <w:t>Jonesboro</w:t>
            </w:r>
          </w:p>
        </w:tc>
        <w:tc>
          <w:tcPr>
            <w:tcW w:w="480" w:type="dxa"/>
            <w:vAlign w:val="bottom"/>
          </w:tcPr>
          <w:p>
            <w:pPr>
              <w:jc w:val="center"/>
              <w:spacing w:after="0"/>
              <w:rPr>
                <w:sz w:val="20"/>
                <w:szCs w:val="20"/>
                <w:color w:val="auto"/>
              </w:rPr>
            </w:pPr>
            <w:r>
              <w:rPr>
                <w:rFonts w:ascii="Arial" w:cs="Arial" w:eastAsia="Arial" w:hAnsi="Arial"/>
                <w:sz w:val="16"/>
                <w:szCs w:val="16"/>
                <w:color w:val="auto"/>
              </w:rPr>
              <w:t>GA</w:t>
            </w:r>
          </w:p>
        </w:tc>
        <w:tc>
          <w:tcPr>
            <w:tcW w:w="580" w:type="dxa"/>
            <w:vAlign w:val="bottom"/>
          </w:tcPr>
          <w:p>
            <w:pPr>
              <w:jc w:val="center"/>
              <w:ind w:left="1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6/17/2010</w:t>
            </w:r>
          </w:p>
        </w:tc>
        <w:tc>
          <w:tcPr>
            <w:tcW w:w="1740" w:type="dxa"/>
            <w:vAlign w:val="bottom"/>
          </w:tcPr>
          <w:p>
            <w:pPr>
              <w:ind w:left="60"/>
              <w:spacing w:after="0"/>
              <w:rPr>
                <w:sz w:val="20"/>
                <w:szCs w:val="20"/>
                <w:color w:val="auto"/>
              </w:rPr>
            </w:pPr>
            <w:r>
              <w:rPr>
                <w:rFonts w:ascii="Arial" w:cs="Arial" w:eastAsia="Arial" w:hAnsi="Arial"/>
                <w:sz w:val="16"/>
                <w:szCs w:val="16"/>
                <w:color w:val="auto"/>
              </w:rPr>
              <w:t>Kennesaw / Cobb</w:t>
            </w:r>
          </w:p>
        </w:tc>
        <w:tc>
          <w:tcPr>
            <w:tcW w:w="480" w:type="dxa"/>
            <w:vAlign w:val="bottom"/>
            <w:vMerge w:val="restart"/>
          </w:tcPr>
          <w:p>
            <w:pPr>
              <w:jc w:val="center"/>
              <w:spacing w:after="0"/>
              <w:rPr>
                <w:sz w:val="20"/>
                <w:szCs w:val="20"/>
                <w:color w:val="auto"/>
              </w:rPr>
            </w:pPr>
            <w:r>
              <w:rPr>
                <w:rFonts w:ascii="Arial" w:cs="Arial" w:eastAsia="Arial" w:hAnsi="Arial"/>
                <w:sz w:val="16"/>
                <w:szCs w:val="16"/>
                <w:color w:val="auto"/>
              </w:rPr>
              <w:t>GA</w:t>
            </w:r>
          </w:p>
        </w:tc>
        <w:tc>
          <w:tcPr>
            <w:tcW w:w="580" w:type="dxa"/>
            <w:vAlign w:val="bottom"/>
            <w:vMerge w:val="restart"/>
          </w:tcPr>
          <w:p>
            <w:pPr>
              <w:jc w:val="center"/>
              <w:ind w:left="1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740" w:type="dxa"/>
            <w:vAlign w:val="bottom"/>
            <w:vMerge w:val="restart"/>
          </w:tcPr>
          <w:p>
            <w:pPr>
              <w:ind w:left="60"/>
              <w:spacing w:after="0"/>
              <w:rPr>
                <w:sz w:val="20"/>
                <w:szCs w:val="20"/>
                <w:color w:val="auto"/>
              </w:rPr>
            </w:pPr>
            <w:r>
              <w:rPr>
                <w:rFonts w:ascii="Arial" w:cs="Arial" w:eastAsia="Arial" w:hAnsi="Arial"/>
                <w:sz w:val="16"/>
                <w:szCs w:val="16"/>
                <w:color w:val="auto"/>
              </w:rPr>
              <w:t>Parkway NW</w:t>
            </w:r>
          </w:p>
        </w:tc>
        <w:tc>
          <w:tcPr>
            <w:tcW w:w="4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740" w:type="dxa"/>
            <w:vAlign w:val="bottom"/>
          </w:tcPr>
          <w:p>
            <w:pPr>
              <w:ind w:left="60"/>
              <w:spacing w:after="0"/>
              <w:rPr>
                <w:sz w:val="20"/>
                <w:szCs w:val="20"/>
                <w:color w:val="auto"/>
              </w:rPr>
            </w:pPr>
            <w:r>
              <w:rPr>
                <w:rFonts w:ascii="Arial" w:cs="Arial" w:eastAsia="Arial" w:hAnsi="Arial"/>
                <w:sz w:val="16"/>
                <w:szCs w:val="16"/>
                <w:color w:val="auto"/>
              </w:rPr>
              <w:t>Kennesaw / George</w:t>
            </w:r>
          </w:p>
        </w:tc>
        <w:tc>
          <w:tcPr>
            <w:tcW w:w="480" w:type="dxa"/>
            <w:vAlign w:val="bottom"/>
            <w:vMerge w:val="restart"/>
          </w:tcPr>
          <w:p>
            <w:pPr>
              <w:jc w:val="center"/>
              <w:spacing w:after="0"/>
              <w:rPr>
                <w:sz w:val="20"/>
                <w:szCs w:val="20"/>
                <w:color w:val="auto"/>
              </w:rPr>
            </w:pPr>
            <w:r>
              <w:rPr>
                <w:rFonts w:ascii="Arial" w:cs="Arial" w:eastAsia="Arial" w:hAnsi="Arial"/>
                <w:sz w:val="16"/>
                <w:szCs w:val="16"/>
                <w:color w:val="auto"/>
              </w:rPr>
              <w:t>GA</w:t>
            </w:r>
          </w:p>
        </w:tc>
        <w:tc>
          <w:tcPr>
            <w:tcW w:w="580" w:type="dxa"/>
            <w:vAlign w:val="bottom"/>
            <w:vMerge w:val="restart"/>
          </w:tcPr>
          <w:p>
            <w:pPr>
              <w:jc w:val="center"/>
              <w:ind w:left="39"/>
              <w:spacing w:after="0"/>
              <w:rPr>
                <w:sz w:val="20"/>
                <w:szCs w:val="20"/>
                <w:color w:val="auto"/>
              </w:rPr>
            </w:pPr>
            <w:r>
              <w:rPr>
                <w:rFonts w:ascii="Arial" w:cs="Arial" w:eastAsia="Arial" w:hAnsi="Arial"/>
                <w:sz w:val="16"/>
                <w:szCs w:val="16"/>
                <w:color w:val="auto"/>
                <w:w w:val="94"/>
              </w:rPr>
              <w:t>4,730</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740" w:type="dxa"/>
            <w:vAlign w:val="bottom"/>
            <w:vMerge w:val="restart"/>
          </w:tcPr>
          <w:p>
            <w:pPr>
              <w:ind w:left="60"/>
              <w:spacing w:after="0"/>
              <w:rPr>
                <w:sz w:val="20"/>
                <w:szCs w:val="20"/>
                <w:color w:val="auto"/>
              </w:rPr>
            </w:pPr>
            <w:r>
              <w:rPr>
                <w:rFonts w:ascii="Arial" w:cs="Arial" w:eastAsia="Arial" w:hAnsi="Arial"/>
                <w:sz w:val="16"/>
                <w:szCs w:val="16"/>
                <w:color w:val="auto"/>
              </w:rPr>
              <w:t>Busbee Pkwy</w:t>
            </w:r>
          </w:p>
        </w:tc>
        <w:tc>
          <w:tcPr>
            <w:tcW w:w="4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11/4/2013</w:t>
            </w:r>
          </w:p>
        </w:tc>
        <w:tc>
          <w:tcPr>
            <w:tcW w:w="1740" w:type="dxa"/>
            <w:vAlign w:val="bottom"/>
          </w:tcPr>
          <w:p>
            <w:pPr>
              <w:ind w:left="60"/>
              <w:spacing w:after="0"/>
              <w:rPr>
                <w:sz w:val="20"/>
                <w:szCs w:val="20"/>
                <w:color w:val="auto"/>
              </w:rPr>
            </w:pPr>
            <w:r>
              <w:rPr>
                <w:rFonts w:ascii="Arial" w:cs="Arial" w:eastAsia="Arial" w:hAnsi="Arial"/>
                <w:sz w:val="16"/>
                <w:szCs w:val="16"/>
                <w:color w:val="auto"/>
              </w:rPr>
              <w:t>Lawrenceville /</w:t>
            </w:r>
          </w:p>
        </w:tc>
        <w:tc>
          <w:tcPr>
            <w:tcW w:w="480" w:type="dxa"/>
            <w:vAlign w:val="bottom"/>
            <w:vMerge w:val="restart"/>
          </w:tcPr>
          <w:p>
            <w:pPr>
              <w:jc w:val="center"/>
              <w:spacing w:after="0"/>
              <w:rPr>
                <w:sz w:val="20"/>
                <w:szCs w:val="20"/>
                <w:color w:val="auto"/>
              </w:rPr>
            </w:pPr>
            <w:r>
              <w:rPr>
                <w:rFonts w:ascii="Arial" w:cs="Arial" w:eastAsia="Arial" w:hAnsi="Arial"/>
                <w:sz w:val="16"/>
                <w:szCs w:val="16"/>
                <w:color w:val="auto"/>
              </w:rPr>
              <w:t>GA</w:t>
            </w:r>
          </w:p>
        </w:tc>
        <w:tc>
          <w:tcPr>
            <w:tcW w:w="580" w:type="dxa"/>
            <w:vAlign w:val="bottom"/>
            <w:vMerge w:val="restart"/>
          </w:tcPr>
          <w:p>
            <w:pPr>
              <w:jc w:val="center"/>
              <w:ind w:left="39"/>
              <w:spacing w:after="0"/>
              <w:rPr>
                <w:sz w:val="20"/>
                <w:szCs w:val="20"/>
                <w:color w:val="auto"/>
              </w:rPr>
            </w:pPr>
            <w:r>
              <w:rPr>
                <w:rFonts w:ascii="Arial" w:cs="Arial" w:eastAsia="Arial" w:hAnsi="Arial"/>
                <w:sz w:val="16"/>
                <w:szCs w:val="16"/>
                <w:color w:val="auto"/>
                <w:w w:val="94"/>
              </w:rPr>
              <w:t>3,265</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740" w:type="dxa"/>
            <w:vAlign w:val="bottom"/>
            <w:vMerge w:val="restart"/>
          </w:tcPr>
          <w:p>
            <w:pPr>
              <w:ind w:left="60"/>
              <w:spacing w:after="0"/>
              <w:rPr>
                <w:sz w:val="20"/>
                <w:szCs w:val="20"/>
                <w:color w:val="auto"/>
              </w:rPr>
            </w:pPr>
            <w:r>
              <w:rPr>
                <w:rFonts w:ascii="Arial" w:cs="Arial" w:eastAsia="Arial" w:hAnsi="Arial"/>
                <w:sz w:val="16"/>
                <w:szCs w:val="16"/>
                <w:color w:val="auto"/>
              </w:rPr>
              <w:t>Hurricane Shoals Rd</w:t>
            </w:r>
          </w:p>
        </w:tc>
        <w:tc>
          <w:tcPr>
            <w:tcW w:w="4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740" w:type="dxa"/>
            <w:vAlign w:val="bottom"/>
          </w:tcPr>
          <w:p>
            <w:pPr>
              <w:ind w:left="60"/>
              <w:spacing w:after="0"/>
              <w:rPr>
                <w:sz w:val="20"/>
                <w:szCs w:val="20"/>
                <w:color w:val="auto"/>
              </w:rPr>
            </w:pPr>
            <w:r>
              <w:rPr>
                <w:rFonts w:ascii="Arial" w:cs="Arial" w:eastAsia="Arial" w:hAnsi="Arial"/>
                <w:sz w:val="16"/>
                <w:szCs w:val="16"/>
                <w:color w:val="auto"/>
              </w:rPr>
              <w:t>Lawrenceville /</w:t>
            </w:r>
          </w:p>
        </w:tc>
        <w:tc>
          <w:tcPr>
            <w:tcW w:w="480" w:type="dxa"/>
            <w:vAlign w:val="bottom"/>
            <w:vMerge w:val="restart"/>
          </w:tcPr>
          <w:p>
            <w:pPr>
              <w:jc w:val="center"/>
              <w:spacing w:after="0"/>
              <w:rPr>
                <w:sz w:val="20"/>
                <w:szCs w:val="20"/>
                <w:color w:val="auto"/>
              </w:rPr>
            </w:pPr>
            <w:r>
              <w:rPr>
                <w:rFonts w:ascii="Arial" w:cs="Arial" w:eastAsia="Arial" w:hAnsi="Arial"/>
                <w:sz w:val="16"/>
                <w:szCs w:val="16"/>
                <w:color w:val="auto"/>
              </w:rPr>
              <w:t>GA</w:t>
            </w:r>
          </w:p>
        </w:tc>
        <w:tc>
          <w:tcPr>
            <w:tcW w:w="580" w:type="dxa"/>
            <w:vAlign w:val="bottom"/>
            <w:vMerge w:val="restart"/>
          </w:tcPr>
          <w:p>
            <w:pPr>
              <w:jc w:val="center"/>
              <w:ind w:left="1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740" w:type="dxa"/>
            <w:vAlign w:val="bottom"/>
            <w:vMerge w:val="restart"/>
          </w:tcPr>
          <w:p>
            <w:pPr>
              <w:ind w:left="60"/>
              <w:spacing w:after="0"/>
              <w:rPr>
                <w:sz w:val="20"/>
                <w:szCs w:val="20"/>
                <w:color w:val="auto"/>
              </w:rPr>
            </w:pPr>
            <w:r>
              <w:rPr>
                <w:rFonts w:ascii="Arial" w:cs="Arial" w:eastAsia="Arial" w:hAnsi="Arial"/>
                <w:sz w:val="16"/>
                <w:szCs w:val="16"/>
                <w:color w:val="auto"/>
              </w:rPr>
              <w:t>Lawrenceville Hwy 1</w:t>
            </w:r>
          </w:p>
        </w:tc>
        <w:tc>
          <w:tcPr>
            <w:tcW w:w="4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740" w:type="dxa"/>
            <w:vAlign w:val="bottom"/>
          </w:tcPr>
          <w:p>
            <w:pPr>
              <w:ind w:left="60"/>
              <w:spacing w:after="0"/>
              <w:rPr>
                <w:sz w:val="20"/>
                <w:szCs w:val="20"/>
                <w:color w:val="auto"/>
              </w:rPr>
            </w:pPr>
            <w:r>
              <w:rPr>
                <w:rFonts w:ascii="Arial" w:cs="Arial" w:eastAsia="Arial" w:hAnsi="Arial"/>
                <w:sz w:val="16"/>
                <w:szCs w:val="16"/>
                <w:color w:val="auto"/>
              </w:rPr>
              <w:t>Lawrenceville /</w:t>
            </w:r>
          </w:p>
        </w:tc>
        <w:tc>
          <w:tcPr>
            <w:tcW w:w="480" w:type="dxa"/>
            <w:vAlign w:val="bottom"/>
            <w:vMerge w:val="restart"/>
          </w:tcPr>
          <w:p>
            <w:pPr>
              <w:jc w:val="center"/>
              <w:spacing w:after="0"/>
              <w:rPr>
                <w:sz w:val="20"/>
                <w:szCs w:val="20"/>
                <w:color w:val="auto"/>
              </w:rPr>
            </w:pPr>
            <w:r>
              <w:rPr>
                <w:rFonts w:ascii="Arial" w:cs="Arial" w:eastAsia="Arial" w:hAnsi="Arial"/>
                <w:sz w:val="16"/>
                <w:szCs w:val="16"/>
                <w:color w:val="auto"/>
              </w:rPr>
              <w:t>GA</w:t>
            </w:r>
          </w:p>
        </w:tc>
        <w:tc>
          <w:tcPr>
            <w:tcW w:w="580" w:type="dxa"/>
            <w:vAlign w:val="bottom"/>
            <w:vMerge w:val="restart"/>
          </w:tcPr>
          <w:p>
            <w:pPr>
              <w:jc w:val="center"/>
              <w:ind w:left="39"/>
              <w:spacing w:after="0"/>
              <w:rPr>
                <w:sz w:val="20"/>
                <w:szCs w:val="20"/>
                <w:color w:val="auto"/>
              </w:rPr>
            </w:pPr>
            <w:r>
              <w:rPr>
                <w:rFonts w:ascii="Arial" w:cs="Arial" w:eastAsia="Arial" w:hAnsi="Arial"/>
                <w:sz w:val="16"/>
                <w:szCs w:val="16"/>
                <w:color w:val="auto"/>
                <w:w w:val="94"/>
              </w:rPr>
              <w:t>3,073</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740" w:type="dxa"/>
            <w:vAlign w:val="bottom"/>
            <w:vMerge w:val="restart"/>
          </w:tcPr>
          <w:p>
            <w:pPr>
              <w:ind w:left="60"/>
              <w:spacing w:after="0"/>
              <w:rPr>
                <w:sz w:val="20"/>
                <w:szCs w:val="20"/>
                <w:color w:val="auto"/>
              </w:rPr>
            </w:pPr>
            <w:r>
              <w:rPr>
                <w:rFonts w:ascii="Arial" w:cs="Arial" w:eastAsia="Arial" w:hAnsi="Arial"/>
                <w:sz w:val="16"/>
                <w:szCs w:val="16"/>
                <w:color w:val="auto"/>
              </w:rPr>
              <w:t>Lawrenceville Hwy 2</w:t>
            </w:r>
          </w:p>
        </w:tc>
        <w:tc>
          <w:tcPr>
            <w:tcW w:w="4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740" w:type="dxa"/>
            <w:vAlign w:val="bottom"/>
          </w:tcPr>
          <w:p>
            <w:pPr>
              <w:ind w:left="60"/>
              <w:spacing w:after="0"/>
              <w:rPr>
                <w:sz w:val="20"/>
                <w:szCs w:val="20"/>
                <w:color w:val="auto"/>
              </w:rPr>
            </w:pPr>
            <w:r>
              <w:rPr>
                <w:rFonts w:ascii="Arial" w:cs="Arial" w:eastAsia="Arial" w:hAnsi="Arial"/>
                <w:sz w:val="16"/>
                <w:szCs w:val="16"/>
                <w:color w:val="auto"/>
              </w:rPr>
              <w:t>Lawrenceville / Old</w:t>
            </w:r>
          </w:p>
        </w:tc>
        <w:tc>
          <w:tcPr>
            <w:tcW w:w="480" w:type="dxa"/>
            <w:vAlign w:val="bottom"/>
            <w:vMerge w:val="restart"/>
          </w:tcPr>
          <w:p>
            <w:pPr>
              <w:jc w:val="center"/>
              <w:spacing w:after="0"/>
              <w:rPr>
                <w:sz w:val="20"/>
                <w:szCs w:val="20"/>
                <w:color w:val="auto"/>
              </w:rPr>
            </w:pPr>
            <w:r>
              <w:rPr>
                <w:rFonts w:ascii="Arial" w:cs="Arial" w:eastAsia="Arial" w:hAnsi="Arial"/>
                <w:sz w:val="16"/>
                <w:szCs w:val="16"/>
                <w:color w:val="auto"/>
              </w:rPr>
              <w:t>GA</w:t>
            </w:r>
          </w:p>
        </w:tc>
        <w:tc>
          <w:tcPr>
            <w:tcW w:w="580" w:type="dxa"/>
            <w:vAlign w:val="bottom"/>
            <w:vMerge w:val="restart"/>
          </w:tcPr>
          <w:p>
            <w:pPr>
              <w:jc w:val="center"/>
              <w:ind w:left="1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740" w:type="dxa"/>
            <w:vAlign w:val="bottom"/>
            <w:vMerge w:val="restart"/>
          </w:tcPr>
          <w:p>
            <w:pPr>
              <w:ind w:left="60"/>
              <w:spacing w:after="0"/>
              <w:rPr>
                <w:sz w:val="20"/>
                <w:szCs w:val="20"/>
                <w:color w:val="auto"/>
              </w:rPr>
            </w:pPr>
            <w:r>
              <w:rPr>
                <w:rFonts w:ascii="Arial" w:cs="Arial" w:eastAsia="Arial" w:hAnsi="Arial"/>
                <w:sz w:val="16"/>
                <w:szCs w:val="16"/>
                <w:color w:val="auto"/>
              </w:rPr>
              <w:t>Norcross Rd</w:t>
            </w:r>
          </w:p>
        </w:tc>
        <w:tc>
          <w:tcPr>
            <w:tcW w:w="4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11/12/2009</w:t>
            </w:r>
          </w:p>
        </w:tc>
        <w:tc>
          <w:tcPr>
            <w:tcW w:w="1740" w:type="dxa"/>
            <w:vAlign w:val="bottom"/>
          </w:tcPr>
          <w:p>
            <w:pPr>
              <w:ind w:left="60"/>
              <w:spacing w:after="0"/>
              <w:rPr>
                <w:sz w:val="20"/>
                <w:szCs w:val="20"/>
                <w:color w:val="auto"/>
              </w:rPr>
            </w:pPr>
            <w:r>
              <w:rPr>
                <w:rFonts w:ascii="Arial" w:cs="Arial" w:eastAsia="Arial" w:hAnsi="Arial"/>
                <w:sz w:val="16"/>
                <w:szCs w:val="16"/>
                <w:color w:val="auto"/>
              </w:rPr>
              <w:t>Lithonia</w:t>
            </w:r>
          </w:p>
        </w:tc>
        <w:tc>
          <w:tcPr>
            <w:tcW w:w="480" w:type="dxa"/>
            <w:vAlign w:val="bottom"/>
          </w:tcPr>
          <w:p>
            <w:pPr>
              <w:jc w:val="center"/>
              <w:spacing w:after="0"/>
              <w:rPr>
                <w:sz w:val="20"/>
                <w:szCs w:val="20"/>
                <w:color w:val="auto"/>
              </w:rPr>
            </w:pPr>
            <w:r>
              <w:rPr>
                <w:rFonts w:ascii="Arial" w:cs="Arial" w:eastAsia="Arial" w:hAnsi="Arial"/>
                <w:sz w:val="16"/>
                <w:szCs w:val="16"/>
                <w:color w:val="auto"/>
              </w:rPr>
              <w:t>GA</w:t>
            </w:r>
          </w:p>
        </w:tc>
        <w:tc>
          <w:tcPr>
            <w:tcW w:w="580" w:type="dxa"/>
            <w:vAlign w:val="bottom"/>
          </w:tcPr>
          <w:p>
            <w:pPr>
              <w:jc w:val="center"/>
              <w:ind w:left="1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3/29/2016</w:t>
            </w:r>
          </w:p>
        </w:tc>
        <w:tc>
          <w:tcPr>
            <w:tcW w:w="1740" w:type="dxa"/>
            <w:vAlign w:val="bottom"/>
          </w:tcPr>
          <w:p>
            <w:pPr>
              <w:ind w:left="60"/>
              <w:spacing w:after="0"/>
              <w:rPr>
                <w:sz w:val="20"/>
                <w:szCs w:val="20"/>
                <w:color w:val="auto"/>
              </w:rPr>
            </w:pPr>
            <w:r>
              <w:rPr>
                <w:rFonts w:ascii="Arial" w:cs="Arial" w:eastAsia="Arial" w:hAnsi="Arial"/>
                <w:sz w:val="16"/>
                <w:szCs w:val="16"/>
                <w:color w:val="auto"/>
              </w:rPr>
              <w:t>Loganville</w:t>
            </w:r>
          </w:p>
        </w:tc>
        <w:tc>
          <w:tcPr>
            <w:tcW w:w="480" w:type="dxa"/>
            <w:vAlign w:val="bottom"/>
          </w:tcPr>
          <w:p>
            <w:pPr>
              <w:jc w:val="center"/>
              <w:spacing w:after="0"/>
              <w:rPr>
                <w:sz w:val="20"/>
                <w:szCs w:val="20"/>
                <w:color w:val="auto"/>
              </w:rPr>
            </w:pPr>
            <w:r>
              <w:rPr>
                <w:rFonts w:ascii="Arial" w:cs="Arial" w:eastAsia="Arial" w:hAnsi="Arial"/>
                <w:sz w:val="16"/>
                <w:szCs w:val="16"/>
                <w:color w:val="auto"/>
              </w:rPr>
              <w:t>GA</w:t>
            </w:r>
          </w:p>
        </w:tc>
        <w:tc>
          <w:tcPr>
            <w:tcW w:w="580" w:type="dxa"/>
            <w:vAlign w:val="bottom"/>
          </w:tcPr>
          <w:p>
            <w:pPr>
              <w:jc w:val="center"/>
              <w:ind w:left="1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740" w:type="dxa"/>
            <w:vAlign w:val="bottom"/>
          </w:tcPr>
          <w:p>
            <w:pPr>
              <w:ind w:left="60"/>
              <w:spacing w:after="0"/>
              <w:rPr>
                <w:sz w:val="20"/>
                <w:szCs w:val="20"/>
                <w:color w:val="auto"/>
              </w:rPr>
            </w:pPr>
            <w:r>
              <w:rPr>
                <w:rFonts w:ascii="Arial" w:cs="Arial" w:eastAsia="Arial" w:hAnsi="Arial"/>
                <w:sz w:val="16"/>
                <w:szCs w:val="16"/>
                <w:color w:val="auto"/>
              </w:rPr>
              <w:t>Marietta / Austell Rd</w:t>
            </w:r>
          </w:p>
        </w:tc>
        <w:tc>
          <w:tcPr>
            <w:tcW w:w="480" w:type="dxa"/>
            <w:vAlign w:val="bottom"/>
            <w:vMerge w:val="restart"/>
          </w:tcPr>
          <w:p>
            <w:pPr>
              <w:jc w:val="center"/>
              <w:spacing w:after="0"/>
              <w:rPr>
                <w:sz w:val="20"/>
                <w:szCs w:val="20"/>
                <w:color w:val="auto"/>
              </w:rPr>
            </w:pPr>
            <w:r>
              <w:rPr>
                <w:rFonts w:ascii="Arial" w:cs="Arial" w:eastAsia="Arial" w:hAnsi="Arial"/>
                <w:sz w:val="16"/>
                <w:szCs w:val="16"/>
                <w:color w:val="auto"/>
              </w:rPr>
              <w:t>GA</w:t>
            </w:r>
          </w:p>
        </w:tc>
        <w:tc>
          <w:tcPr>
            <w:tcW w:w="580" w:type="dxa"/>
            <w:vAlign w:val="bottom"/>
            <w:vMerge w:val="restart"/>
          </w:tcPr>
          <w:p>
            <w:pPr>
              <w:jc w:val="center"/>
              <w:ind w:left="1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740" w:type="dxa"/>
            <w:vAlign w:val="bottom"/>
            <w:vMerge w:val="restart"/>
          </w:tcPr>
          <w:p>
            <w:pPr>
              <w:ind w:left="60"/>
              <w:spacing w:after="0"/>
              <w:rPr>
                <w:sz w:val="20"/>
                <w:szCs w:val="20"/>
                <w:color w:val="auto"/>
              </w:rPr>
            </w:pPr>
            <w:r>
              <w:rPr>
                <w:rFonts w:ascii="Arial" w:cs="Arial" w:eastAsia="Arial" w:hAnsi="Arial"/>
                <w:sz w:val="16"/>
                <w:szCs w:val="16"/>
                <w:color w:val="auto"/>
              </w:rPr>
              <w:t>SW</w:t>
            </w:r>
          </w:p>
        </w:tc>
        <w:tc>
          <w:tcPr>
            <w:tcW w:w="4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6/17/2010</w:t>
            </w:r>
          </w:p>
        </w:tc>
        <w:tc>
          <w:tcPr>
            <w:tcW w:w="1740" w:type="dxa"/>
            <w:vAlign w:val="bottom"/>
          </w:tcPr>
          <w:p>
            <w:pPr>
              <w:ind w:left="60"/>
              <w:spacing w:after="0"/>
              <w:rPr>
                <w:sz w:val="20"/>
                <w:szCs w:val="20"/>
                <w:color w:val="auto"/>
              </w:rPr>
            </w:pPr>
            <w:r>
              <w:rPr>
                <w:rFonts w:ascii="Arial" w:cs="Arial" w:eastAsia="Arial" w:hAnsi="Arial"/>
                <w:sz w:val="16"/>
                <w:szCs w:val="16"/>
                <w:color w:val="auto"/>
              </w:rPr>
              <w:t>Marietta / Cobb</w:t>
            </w:r>
          </w:p>
        </w:tc>
        <w:tc>
          <w:tcPr>
            <w:tcW w:w="480" w:type="dxa"/>
            <w:vAlign w:val="bottom"/>
            <w:vMerge w:val="restart"/>
          </w:tcPr>
          <w:p>
            <w:pPr>
              <w:jc w:val="center"/>
              <w:spacing w:after="0"/>
              <w:rPr>
                <w:sz w:val="20"/>
                <w:szCs w:val="20"/>
                <w:color w:val="auto"/>
              </w:rPr>
            </w:pPr>
            <w:r>
              <w:rPr>
                <w:rFonts w:ascii="Arial" w:cs="Arial" w:eastAsia="Arial" w:hAnsi="Arial"/>
                <w:sz w:val="16"/>
                <w:szCs w:val="16"/>
                <w:color w:val="auto"/>
              </w:rPr>
              <w:t>GA</w:t>
            </w:r>
          </w:p>
        </w:tc>
        <w:tc>
          <w:tcPr>
            <w:tcW w:w="580" w:type="dxa"/>
            <w:vAlign w:val="bottom"/>
            <w:vMerge w:val="restart"/>
          </w:tcPr>
          <w:p>
            <w:pPr>
              <w:jc w:val="center"/>
              <w:ind w:left="1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740" w:type="dxa"/>
            <w:vAlign w:val="bottom"/>
            <w:vMerge w:val="restart"/>
          </w:tcPr>
          <w:p>
            <w:pPr>
              <w:ind w:left="60"/>
              <w:spacing w:after="0"/>
              <w:rPr>
                <w:sz w:val="20"/>
                <w:szCs w:val="20"/>
                <w:color w:val="auto"/>
              </w:rPr>
            </w:pPr>
            <w:r>
              <w:rPr>
                <w:rFonts w:ascii="Arial" w:cs="Arial" w:eastAsia="Arial" w:hAnsi="Arial"/>
                <w:sz w:val="16"/>
                <w:szCs w:val="16"/>
                <w:color w:val="auto"/>
              </w:rPr>
              <w:t>Parkway N</w:t>
            </w:r>
          </w:p>
        </w:tc>
        <w:tc>
          <w:tcPr>
            <w:tcW w:w="4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740" w:type="dxa"/>
            <w:vAlign w:val="bottom"/>
          </w:tcPr>
          <w:p>
            <w:pPr>
              <w:ind w:left="60"/>
              <w:spacing w:after="0"/>
              <w:rPr>
                <w:sz w:val="20"/>
                <w:szCs w:val="20"/>
                <w:color w:val="auto"/>
              </w:rPr>
            </w:pPr>
            <w:r>
              <w:rPr>
                <w:rFonts w:ascii="Arial" w:cs="Arial" w:eastAsia="Arial" w:hAnsi="Arial"/>
                <w:sz w:val="16"/>
                <w:szCs w:val="16"/>
                <w:color w:val="auto"/>
                <w:w w:val="99"/>
              </w:rPr>
              <w:t>Marietta / Powers Ferry</w:t>
            </w:r>
          </w:p>
        </w:tc>
        <w:tc>
          <w:tcPr>
            <w:tcW w:w="480" w:type="dxa"/>
            <w:vAlign w:val="bottom"/>
            <w:vMerge w:val="restart"/>
          </w:tcPr>
          <w:p>
            <w:pPr>
              <w:jc w:val="center"/>
              <w:spacing w:after="0"/>
              <w:rPr>
                <w:sz w:val="20"/>
                <w:szCs w:val="20"/>
                <w:color w:val="auto"/>
              </w:rPr>
            </w:pPr>
            <w:r>
              <w:rPr>
                <w:rFonts w:ascii="Arial" w:cs="Arial" w:eastAsia="Arial" w:hAnsi="Arial"/>
                <w:sz w:val="16"/>
                <w:szCs w:val="16"/>
                <w:color w:val="auto"/>
              </w:rPr>
              <w:t>GA</w:t>
            </w:r>
          </w:p>
        </w:tc>
        <w:tc>
          <w:tcPr>
            <w:tcW w:w="580" w:type="dxa"/>
            <w:vAlign w:val="bottom"/>
            <w:vMerge w:val="restart"/>
          </w:tcPr>
          <w:p>
            <w:pPr>
              <w:jc w:val="center"/>
              <w:ind w:left="39"/>
              <w:spacing w:after="0"/>
              <w:rPr>
                <w:sz w:val="20"/>
                <w:szCs w:val="20"/>
                <w:color w:val="auto"/>
              </w:rPr>
            </w:pPr>
            <w:r>
              <w:rPr>
                <w:rFonts w:ascii="Arial" w:cs="Arial" w:eastAsia="Arial" w:hAnsi="Arial"/>
                <w:sz w:val="16"/>
                <w:szCs w:val="16"/>
                <w:color w:val="auto"/>
                <w:w w:val="94"/>
              </w:rPr>
              <w:t>5,442</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740" w:type="dxa"/>
            <w:vAlign w:val="bottom"/>
            <w:vMerge w:val="restart"/>
          </w:tcPr>
          <w:p>
            <w:pPr>
              <w:ind w:left="60"/>
              <w:spacing w:after="0"/>
              <w:rPr>
                <w:sz w:val="20"/>
                <w:szCs w:val="20"/>
                <w:color w:val="auto"/>
              </w:rPr>
            </w:pPr>
            <w:r>
              <w:rPr>
                <w:rFonts w:ascii="Arial" w:cs="Arial" w:eastAsia="Arial" w:hAnsi="Arial"/>
                <w:sz w:val="16"/>
                <w:szCs w:val="16"/>
                <w:color w:val="auto"/>
              </w:rPr>
              <w:t>Rd</w:t>
            </w:r>
          </w:p>
        </w:tc>
        <w:tc>
          <w:tcPr>
            <w:tcW w:w="4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740" w:type="dxa"/>
            <w:vAlign w:val="bottom"/>
          </w:tcPr>
          <w:p>
            <w:pPr>
              <w:ind w:left="60"/>
              <w:spacing w:after="0"/>
              <w:rPr>
                <w:sz w:val="20"/>
                <w:szCs w:val="20"/>
                <w:color w:val="auto"/>
              </w:rPr>
            </w:pPr>
            <w:r>
              <w:rPr>
                <w:rFonts w:ascii="Arial" w:cs="Arial" w:eastAsia="Arial" w:hAnsi="Arial"/>
                <w:sz w:val="16"/>
                <w:szCs w:val="16"/>
                <w:color w:val="auto"/>
              </w:rPr>
              <w:t>Marietta / West Oak</w:t>
            </w:r>
          </w:p>
        </w:tc>
        <w:tc>
          <w:tcPr>
            <w:tcW w:w="480" w:type="dxa"/>
            <w:vAlign w:val="bottom"/>
            <w:vMerge w:val="restart"/>
          </w:tcPr>
          <w:p>
            <w:pPr>
              <w:jc w:val="center"/>
              <w:spacing w:after="0"/>
              <w:rPr>
                <w:sz w:val="20"/>
                <w:szCs w:val="20"/>
                <w:color w:val="auto"/>
              </w:rPr>
            </w:pPr>
            <w:r>
              <w:rPr>
                <w:rFonts w:ascii="Arial" w:cs="Arial" w:eastAsia="Arial" w:hAnsi="Arial"/>
                <w:sz w:val="16"/>
                <w:szCs w:val="16"/>
                <w:color w:val="auto"/>
              </w:rPr>
              <w:t>GA</w:t>
            </w:r>
          </w:p>
        </w:tc>
        <w:tc>
          <w:tcPr>
            <w:tcW w:w="580" w:type="dxa"/>
            <w:vAlign w:val="bottom"/>
            <w:vMerge w:val="restart"/>
          </w:tcPr>
          <w:p>
            <w:pPr>
              <w:jc w:val="center"/>
              <w:ind w:left="39"/>
              <w:spacing w:after="0"/>
              <w:rPr>
                <w:sz w:val="20"/>
                <w:szCs w:val="20"/>
                <w:color w:val="auto"/>
              </w:rPr>
            </w:pPr>
            <w:r>
              <w:rPr>
                <w:rFonts w:ascii="Arial" w:cs="Arial" w:eastAsia="Arial" w:hAnsi="Arial"/>
                <w:sz w:val="16"/>
                <w:szCs w:val="16"/>
                <w:color w:val="auto"/>
                <w:w w:val="94"/>
              </w:rPr>
              <w:t>4,370</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740" w:type="dxa"/>
            <w:vAlign w:val="bottom"/>
            <w:vMerge w:val="restart"/>
          </w:tcPr>
          <w:p>
            <w:pPr>
              <w:ind w:left="60"/>
              <w:spacing w:after="0"/>
              <w:rPr>
                <w:sz w:val="20"/>
                <w:szCs w:val="20"/>
                <w:color w:val="auto"/>
              </w:rPr>
            </w:pPr>
            <w:r>
              <w:rPr>
                <w:rFonts w:ascii="Arial" w:cs="Arial" w:eastAsia="Arial" w:hAnsi="Arial"/>
                <w:sz w:val="16"/>
                <w:szCs w:val="16"/>
                <w:color w:val="auto"/>
              </w:rPr>
              <w:t>Pkwy</w:t>
            </w:r>
          </w:p>
        </w:tc>
        <w:tc>
          <w:tcPr>
            <w:tcW w:w="4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740" w:type="dxa"/>
            <w:vAlign w:val="bottom"/>
          </w:tcPr>
          <w:p>
            <w:pPr>
              <w:ind w:left="60"/>
              <w:spacing w:after="0"/>
              <w:rPr>
                <w:sz w:val="20"/>
                <w:szCs w:val="20"/>
                <w:color w:val="auto"/>
              </w:rPr>
            </w:pPr>
            <w:r>
              <w:rPr>
                <w:rFonts w:ascii="Arial" w:cs="Arial" w:eastAsia="Arial" w:hAnsi="Arial"/>
                <w:sz w:val="16"/>
                <w:szCs w:val="16"/>
                <w:color w:val="auto"/>
              </w:rPr>
              <w:t>Peachtree City</w:t>
            </w:r>
          </w:p>
        </w:tc>
        <w:tc>
          <w:tcPr>
            <w:tcW w:w="480" w:type="dxa"/>
            <w:vAlign w:val="bottom"/>
          </w:tcPr>
          <w:p>
            <w:pPr>
              <w:jc w:val="center"/>
              <w:spacing w:after="0"/>
              <w:rPr>
                <w:sz w:val="20"/>
                <w:szCs w:val="20"/>
                <w:color w:val="auto"/>
              </w:rPr>
            </w:pPr>
            <w:r>
              <w:rPr>
                <w:rFonts w:ascii="Arial" w:cs="Arial" w:eastAsia="Arial" w:hAnsi="Arial"/>
                <w:sz w:val="16"/>
                <w:szCs w:val="16"/>
                <w:color w:val="auto"/>
              </w:rPr>
              <w:t>GA</w:t>
            </w:r>
          </w:p>
        </w:tc>
        <w:tc>
          <w:tcPr>
            <w:tcW w:w="580" w:type="dxa"/>
            <w:vAlign w:val="bottom"/>
          </w:tcPr>
          <w:p>
            <w:pPr>
              <w:jc w:val="center"/>
              <w:ind w:left="1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4/24/2015</w:t>
            </w:r>
          </w:p>
        </w:tc>
        <w:tc>
          <w:tcPr>
            <w:tcW w:w="1740" w:type="dxa"/>
            <w:vAlign w:val="bottom"/>
          </w:tcPr>
          <w:p>
            <w:pPr>
              <w:ind w:left="60"/>
              <w:spacing w:after="0"/>
              <w:rPr>
                <w:sz w:val="20"/>
                <w:szCs w:val="20"/>
                <w:color w:val="auto"/>
              </w:rPr>
            </w:pPr>
            <w:r>
              <w:rPr>
                <w:rFonts w:ascii="Arial" w:cs="Arial" w:eastAsia="Arial" w:hAnsi="Arial"/>
                <w:sz w:val="16"/>
                <w:szCs w:val="16"/>
                <w:color w:val="auto"/>
              </w:rPr>
              <w:t>Powder Springs</w:t>
            </w:r>
          </w:p>
        </w:tc>
        <w:tc>
          <w:tcPr>
            <w:tcW w:w="480" w:type="dxa"/>
            <w:vAlign w:val="bottom"/>
          </w:tcPr>
          <w:p>
            <w:pPr>
              <w:jc w:val="center"/>
              <w:spacing w:after="0"/>
              <w:rPr>
                <w:sz w:val="20"/>
                <w:szCs w:val="20"/>
                <w:color w:val="auto"/>
              </w:rPr>
            </w:pPr>
            <w:r>
              <w:rPr>
                <w:rFonts w:ascii="Arial" w:cs="Arial" w:eastAsia="Arial" w:hAnsi="Arial"/>
                <w:sz w:val="16"/>
                <w:szCs w:val="16"/>
                <w:color w:val="auto"/>
              </w:rPr>
              <w:t>GA</w:t>
            </w:r>
          </w:p>
        </w:tc>
        <w:tc>
          <w:tcPr>
            <w:tcW w:w="580" w:type="dxa"/>
            <w:vAlign w:val="bottom"/>
          </w:tcPr>
          <w:p>
            <w:pPr>
              <w:jc w:val="center"/>
              <w:ind w:left="39"/>
              <w:spacing w:after="0"/>
              <w:rPr>
                <w:sz w:val="20"/>
                <w:szCs w:val="20"/>
                <w:color w:val="auto"/>
              </w:rPr>
            </w:pPr>
            <w:r>
              <w:rPr>
                <w:rFonts w:ascii="Arial" w:cs="Arial" w:eastAsia="Arial" w:hAnsi="Arial"/>
                <w:sz w:val="16"/>
                <w:szCs w:val="16"/>
                <w:color w:val="auto"/>
                <w:w w:val="94"/>
              </w:rPr>
              <w:t>4,503</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6/30/2016</w:t>
            </w:r>
          </w:p>
        </w:tc>
        <w:tc>
          <w:tcPr>
            <w:tcW w:w="1740" w:type="dxa"/>
            <w:vAlign w:val="bottom"/>
          </w:tcPr>
          <w:p>
            <w:pPr>
              <w:ind w:left="60"/>
              <w:spacing w:after="0"/>
              <w:rPr>
                <w:sz w:val="20"/>
                <w:szCs w:val="20"/>
                <w:color w:val="auto"/>
              </w:rPr>
            </w:pPr>
            <w:r>
              <w:rPr>
                <w:rFonts w:ascii="Arial" w:cs="Arial" w:eastAsia="Arial" w:hAnsi="Arial"/>
                <w:sz w:val="16"/>
                <w:szCs w:val="16"/>
                <w:color w:val="auto"/>
              </w:rPr>
              <w:t>Roswell</w:t>
            </w:r>
          </w:p>
        </w:tc>
        <w:tc>
          <w:tcPr>
            <w:tcW w:w="480" w:type="dxa"/>
            <w:vAlign w:val="bottom"/>
          </w:tcPr>
          <w:p>
            <w:pPr>
              <w:jc w:val="center"/>
              <w:spacing w:after="0"/>
              <w:rPr>
                <w:sz w:val="20"/>
                <w:szCs w:val="20"/>
                <w:color w:val="auto"/>
              </w:rPr>
            </w:pPr>
            <w:r>
              <w:rPr>
                <w:rFonts w:ascii="Arial" w:cs="Arial" w:eastAsia="Arial" w:hAnsi="Arial"/>
                <w:sz w:val="16"/>
                <w:szCs w:val="16"/>
                <w:color w:val="auto"/>
              </w:rPr>
              <w:t>GA</w:t>
            </w:r>
          </w:p>
        </w:tc>
        <w:tc>
          <w:tcPr>
            <w:tcW w:w="580" w:type="dxa"/>
            <w:vAlign w:val="bottom"/>
          </w:tcPr>
          <w:p>
            <w:pPr>
              <w:jc w:val="center"/>
              <w:ind w:left="1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740" w:type="dxa"/>
            <w:vAlign w:val="bottom"/>
          </w:tcPr>
          <w:p>
            <w:pPr>
              <w:ind w:left="60"/>
              <w:spacing w:after="0"/>
              <w:rPr>
                <w:sz w:val="20"/>
                <w:szCs w:val="20"/>
                <w:color w:val="auto"/>
              </w:rPr>
            </w:pPr>
            <w:r>
              <w:rPr>
                <w:rFonts w:ascii="Arial" w:cs="Arial" w:eastAsia="Arial" w:hAnsi="Arial"/>
                <w:sz w:val="16"/>
                <w:szCs w:val="16"/>
                <w:color w:val="auto"/>
              </w:rPr>
              <w:t>Sandy Springs</w:t>
            </w:r>
          </w:p>
        </w:tc>
        <w:tc>
          <w:tcPr>
            <w:tcW w:w="480" w:type="dxa"/>
            <w:vAlign w:val="bottom"/>
          </w:tcPr>
          <w:p>
            <w:pPr>
              <w:jc w:val="center"/>
              <w:spacing w:after="0"/>
              <w:rPr>
                <w:sz w:val="20"/>
                <w:szCs w:val="20"/>
                <w:color w:val="auto"/>
              </w:rPr>
            </w:pPr>
            <w:r>
              <w:rPr>
                <w:rFonts w:ascii="Arial" w:cs="Arial" w:eastAsia="Arial" w:hAnsi="Arial"/>
                <w:sz w:val="16"/>
                <w:szCs w:val="16"/>
                <w:color w:val="auto"/>
              </w:rPr>
              <w:t>GA</w:t>
            </w:r>
          </w:p>
        </w:tc>
        <w:tc>
          <w:tcPr>
            <w:tcW w:w="580" w:type="dxa"/>
            <w:vAlign w:val="bottom"/>
          </w:tcPr>
          <w:p>
            <w:pPr>
              <w:jc w:val="center"/>
              <w:ind w:left="39"/>
              <w:spacing w:after="0"/>
              <w:rPr>
                <w:sz w:val="20"/>
                <w:szCs w:val="20"/>
                <w:color w:val="auto"/>
              </w:rPr>
            </w:pPr>
            <w:r>
              <w:rPr>
                <w:rFonts w:ascii="Arial" w:cs="Arial" w:eastAsia="Arial" w:hAnsi="Arial"/>
                <w:sz w:val="16"/>
                <w:szCs w:val="16"/>
                <w:color w:val="auto"/>
                <w:w w:val="94"/>
              </w:rPr>
              <w:t>7,000</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740" w:type="dxa"/>
            <w:vAlign w:val="bottom"/>
          </w:tcPr>
          <w:p>
            <w:pPr>
              <w:ind w:left="60"/>
              <w:spacing w:after="0"/>
              <w:rPr>
                <w:sz w:val="20"/>
                <w:szCs w:val="20"/>
                <w:color w:val="auto"/>
              </w:rPr>
            </w:pPr>
            <w:r>
              <w:rPr>
                <w:rFonts w:ascii="Arial" w:cs="Arial" w:eastAsia="Arial" w:hAnsi="Arial"/>
                <w:sz w:val="16"/>
                <w:szCs w:val="16"/>
                <w:color w:val="auto"/>
              </w:rPr>
              <w:t>Savannah / King</w:t>
            </w:r>
          </w:p>
        </w:tc>
        <w:tc>
          <w:tcPr>
            <w:tcW w:w="480" w:type="dxa"/>
            <w:vAlign w:val="bottom"/>
            <w:vMerge w:val="restart"/>
          </w:tcPr>
          <w:p>
            <w:pPr>
              <w:jc w:val="center"/>
              <w:spacing w:after="0"/>
              <w:rPr>
                <w:sz w:val="20"/>
                <w:szCs w:val="20"/>
                <w:color w:val="auto"/>
              </w:rPr>
            </w:pPr>
            <w:r>
              <w:rPr>
                <w:rFonts w:ascii="Arial" w:cs="Arial" w:eastAsia="Arial" w:hAnsi="Arial"/>
                <w:sz w:val="16"/>
                <w:szCs w:val="16"/>
                <w:color w:val="auto"/>
              </w:rPr>
              <w:t>GA</w:t>
            </w:r>
          </w:p>
        </w:tc>
        <w:tc>
          <w:tcPr>
            <w:tcW w:w="580" w:type="dxa"/>
            <w:vAlign w:val="bottom"/>
            <w:vMerge w:val="restart"/>
          </w:tcPr>
          <w:p>
            <w:pPr>
              <w:jc w:val="center"/>
              <w:ind w:left="39"/>
              <w:spacing w:after="0"/>
              <w:rPr>
                <w:sz w:val="20"/>
                <w:szCs w:val="20"/>
                <w:color w:val="auto"/>
              </w:rPr>
            </w:pPr>
            <w:r>
              <w:rPr>
                <w:rFonts w:ascii="Arial" w:cs="Arial" w:eastAsia="Arial" w:hAnsi="Arial"/>
                <w:sz w:val="16"/>
                <w:szCs w:val="16"/>
                <w:color w:val="auto"/>
                <w:w w:val="94"/>
              </w:rPr>
              <w:t>2,963</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740" w:type="dxa"/>
            <w:vAlign w:val="bottom"/>
            <w:vMerge w:val="restart"/>
          </w:tcPr>
          <w:p>
            <w:pPr>
              <w:ind w:left="60"/>
              <w:spacing w:after="0"/>
              <w:rPr>
                <w:sz w:val="20"/>
                <w:szCs w:val="20"/>
                <w:color w:val="auto"/>
              </w:rPr>
            </w:pPr>
            <w:r>
              <w:rPr>
                <w:rFonts w:ascii="Arial" w:cs="Arial" w:eastAsia="Arial" w:hAnsi="Arial"/>
                <w:sz w:val="16"/>
                <w:szCs w:val="16"/>
                <w:color w:val="auto"/>
              </w:rPr>
              <w:t>George Blvd 1</w:t>
            </w:r>
          </w:p>
        </w:tc>
        <w:tc>
          <w:tcPr>
            <w:tcW w:w="4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740" w:type="dxa"/>
            <w:vAlign w:val="bottom"/>
          </w:tcPr>
          <w:p>
            <w:pPr>
              <w:ind w:left="60"/>
              <w:spacing w:after="0"/>
              <w:rPr>
                <w:sz w:val="20"/>
                <w:szCs w:val="20"/>
                <w:color w:val="auto"/>
              </w:rPr>
            </w:pPr>
            <w:r>
              <w:rPr>
                <w:rFonts w:ascii="Arial" w:cs="Arial" w:eastAsia="Arial" w:hAnsi="Arial"/>
                <w:sz w:val="16"/>
                <w:szCs w:val="16"/>
                <w:color w:val="auto"/>
              </w:rPr>
              <w:t>Savannah / King</w:t>
            </w:r>
          </w:p>
        </w:tc>
        <w:tc>
          <w:tcPr>
            <w:tcW w:w="480" w:type="dxa"/>
            <w:vAlign w:val="bottom"/>
            <w:vMerge w:val="restart"/>
          </w:tcPr>
          <w:p>
            <w:pPr>
              <w:jc w:val="center"/>
              <w:spacing w:after="0"/>
              <w:rPr>
                <w:sz w:val="20"/>
                <w:szCs w:val="20"/>
                <w:color w:val="auto"/>
              </w:rPr>
            </w:pPr>
            <w:r>
              <w:rPr>
                <w:rFonts w:ascii="Arial" w:cs="Arial" w:eastAsia="Arial" w:hAnsi="Arial"/>
                <w:sz w:val="16"/>
                <w:szCs w:val="16"/>
                <w:color w:val="auto"/>
              </w:rPr>
              <w:t>GA</w:t>
            </w:r>
          </w:p>
        </w:tc>
        <w:tc>
          <w:tcPr>
            <w:tcW w:w="580" w:type="dxa"/>
            <w:vAlign w:val="bottom"/>
            <w:vMerge w:val="restart"/>
          </w:tcPr>
          <w:p>
            <w:pPr>
              <w:jc w:val="center"/>
              <w:ind w:left="1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740" w:type="dxa"/>
            <w:vAlign w:val="bottom"/>
            <w:vMerge w:val="restart"/>
          </w:tcPr>
          <w:p>
            <w:pPr>
              <w:ind w:left="60"/>
              <w:spacing w:after="0"/>
              <w:rPr>
                <w:sz w:val="20"/>
                <w:szCs w:val="20"/>
                <w:color w:val="auto"/>
              </w:rPr>
            </w:pPr>
            <w:r>
              <w:rPr>
                <w:rFonts w:ascii="Arial" w:cs="Arial" w:eastAsia="Arial" w:hAnsi="Arial"/>
                <w:sz w:val="16"/>
                <w:szCs w:val="16"/>
                <w:color w:val="auto"/>
              </w:rPr>
              <w:t>George Blvd 2</w:t>
            </w:r>
          </w:p>
        </w:tc>
        <w:tc>
          <w:tcPr>
            <w:tcW w:w="4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740" w:type="dxa"/>
            <w:vAlign w:val="bottom"/>
          </w:tcPr>
          <w:p>
            <w:pPr>
              <w:ind w:left="60"/>
              <w:spacing w:after="0"/>
              <w:rPr>
                <w:sz w:val="20"/>
                <w:szCs w:val="20"/>
                <w:color w:val="auto"/>
              </w:rPr>
            </w:pPr>
            <w:r>
              <w:rPr>
                <w:rFonts w:ascii="Arial" w:cs="Arial" w:eastAsia="Arial" w:hAnsi="Arial"/>
                <w:sz w:val="16"/>
                <w:szCs w:val="16"/>
                <w:color w:val="auto"/>
              </w:rPr>
              <w:t>Sharpsburg</w:t>
            </w:r>
          </w:p>
        </w:tc>
        <w:tc>
          <w:tcPr>
            <w:tcW w:w="480" w:type="dxa"/>
            <w:vAlign w:val="bottom"/>
          </w:tcPr>
          <w:p>
            <w:pPr>
              <w:jc w:val="center"/>
              <w:spacing w:after="0"/>
              <w:rPr>
                <w:sz w:val="20"/>
                <w:szCs w:val="20"/>
                <w:color w:val="auto"/>
              </w:rPr>
            </w:pPr>
            <w:r>
              <w:rPr>
                <w:rFonts w:ascii="Arial" w:cs="Arial" w:eastAsia="Arial" w:hAnsi="Arial"/>
                <w:sz w:val="16"/>
                <w:szCs w:val="16"/>
                <w:color w:val="auto"/>
              </w:rPr>
              <w:t>GA</w:t>
            </w:r>
          </w:p>
        </w:tc>
        <w:tc>
          <w:tcPr>
            <w:tcW w:w="580" w:type="dxa"/>
            <w:vAlign w:val="bottom"/>
          </w:tcPr>
          <w:p>
            <w:pPr>
              <w:jc w:val="center"/>
              <w:ind w:left="39"/>
              <w:spacing w:after="0"/>
              <w:rPr>
                <w:sz w:val="20"/>
                <w:szCs w:val="20"/>
                <w:color w:val="auto"/>
              </w:rPr>
            </w:pPr>
            <w:r>
              <w:rPr>
                <w:rFonts w:ascii="Arial" w:cs="Arial" w:eastAsia="Arial" w:hAnsi="Arial"/>
                <w:sz w:val="16"/>
                <w:szCs w:val="16"/>
                <w:color w:val="auto"/>
                <w:w w:val="94"/>
              </w:rPr>
              <w:t>4,899</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740" w:type="dxa"/>
            <w:vAlign w:val="bottom"/>
          </w:tcPr>
          <w:p>
            <w:pPr>
              <w:ind w:left="60"/>
              <w:spacing w:after="0"/>
              <w:rPr>
                <w:sz w:val="20"/>
                <w:szCs w:val="20"/>
                <w:color w:val="auto"/>
              </w:rPr>
            </w:pPr>
            <w:r>
              <w:rPr>
                <w:rFonts w:ascii="Arial" w:cs="Arial" w:eastAsia="Arial" w:hAnsi="Arial"/>
                <w:sz w:val="16"/>
                <w:szCs w:val="16"/>
                <w:color w:val="auto"/>
              </w:rPr>
              <w:t>Smyrna / Cobb</w:t>
            </w:r>
          </w:p>
        </w:tc>
        <w:tc>
          <w:tcPr>
            <w:tcW w:w="480" w:type="dxa"/>
            <w:vAlign w:val="bottom"/>
            <w:vMerge w:val="restart"/>
          </w:tcPr>
          <w:p>
            <w:pPr>
              <w:jc w:val="center"/>
              <w:spacing w:after="0"/>
              <w:rPr>
                <w:sz w:val="20"/>
                <w:szCs w:val="20"/>
                <w:color w:val="auto"/>
              </w:rPr>
            </w:pPr>
            <w:r>
              <w:rPr>
                <w:rFonts w:ascii="Arial" w:cs="Arial" w:eastAsia="Arial" w:hAnsi="Arial"/>
                <w:sz w:val="16"/>
                <w:szCs w:val="16"/>
                <w:color w:val="auto"/>
              </w:rPr>
              <w:t>GA</w:t>
            </w:r>
          </w:p>
        </w:tc>
        <w:tc>
          <w:tcPr>
            <w:tcW w:w="580" w:type="dxa"/>
            <w:vAlign w:val="bottom"/>
            <w:vMerge w:val="restart"/>
          </w:tcPr>
          <w:p>
            <w:pPr>
              <w:jc w:val="center"/>
              <w:ind w:left="39"/>
              <w:spacing w:after="0"/>
              <w:rPr>
                <w:sz w:val="20"/>
                <w:szCs w:val="20"/>
                <w:color w:val="auto"/>
              </w:rPr>
            </w:pPr>
            <w:r>
              <w:rPr>
                <w:rFonts w:ascii="Arial" w:cs="Arial" w:eastAsia="Arial" w:hAnsi="Arial"/>
                <w:sz w:val="16"/>
                <w:szCs w:val="16"/>
                <w:color w:val="auto"/>
                <w:w w:val="94"/>
              </w:rPr>
              <w:t>4,580</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740" w:type="dxa"/>
            <w:vAlign w:val="bottom"/>
            <w:vMerge w:val="restart"/>
          </w:tcPr>
          <w:p>
            <w:pPr>
              <w:ind w:left="60"/>
              <w:spacing w:after="0"/>
              <w:rPr>
                <w:sz w:val="20"/>
                <w:szCs w:val="20"/>
                <w:color w:val="auto"/>
              </w:rPr>
            </w:pPr>
            <w:r>
              <w:rPr>
                <w:rFonts w:ascii="Arial" w:cs="Arial" w:eastAsia="Arial" w:hAnsi="Arial"/>
                <w:sz w:val="16"/>
                <w:szCs w:val="16"/>
                <w:color w:val="auto"/>
              </w:rPr>
              <w:t>Parkway SE</w:t>
            </w:r>
          </w:p>
        </w:tc>
        <w:tc>
          <w:tcPr>
            <w:tcW w:w="4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11/17/2016</w:t>
            </w:r>
          </w:p>
        </w:tc>
        <w:tc>
          <w:tcPr>
            <w:tcW w:w="1740" w:type="dxa"/>
            <w:vAlign w:val="bottom"/>
          </w:tcPr>
          <w:p>
            <w:pPr>
              <w:ind w:left="60"/>
              <w:spacing w:after="0"/>
              <w:rPr>
                <w:sz w:val="20"/>
                <w:szCs w:val="20"/>
                <w:color w:val="auto"/>
              </w:rPr>
            </w:pPr>
            <w:r>
              <w:rPr>
                <w:rFonts w:ascii="Arial" w:cs="Arial" w:eastAsia="Arial" w:hAnsi="Arial"/>
                <w:sz w:val="16"/>
                <w:szCs w:val="16"/>
                <w:color w:val="auto"/>
              </w:rPr>
              <w:t>Smyrna / Oakdale Rd</w:t>
            </w:r>
          </w:p>
        </w:tc>
        <w:tc>
          <w:tcPr>
            <w:tcW w:w="480" w:type="dxa"/>
            <w:vAlign w:val="bottom"/>
          </w:tcPr>
          <w:p>
            <w:pPr>
              <w:jc w:val="center"/>
              <w:spacing w:after="0"/>
              <w:rPr>
                <w:sz w:val="20"/>
                <w:szCs w:val="20"/>
                <w:color w:val="auto"/>
              </w:rPr>
            </w:pPr>
            <w:r>
              <w:rPr>
                <w:rFonts w:ascii="Arial" w:cs="Arial" w:eastAsia="Arial" w:hAnsi="Arial"/>
                <w:sz w:val="16"/>
                <w:szCs w:val="16"/>
                <w:color w:val="auto"/>
              </w:rPr>
              <w:t>GA</w:t>
            </w:r>
          </w:p>
        </w:tc>
        <w:tc>
          <w:tcPr>
            <w:tcW w:w="580" w:type="dxa"/>
            <w:vAlign w:val="bottom"/>
          </w:tcPr>
          <w:p>
            <w:pPr>
              <w:jc w:val="center"/>
              <w:ind w:left="1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8/26/2004</w:t>
            </w:r>
          </w:p>
        </w:tc>
        <w:tc>
          <w:tcPr>
            <w:tcW w:w="1740" w:type="dxa"/>
            <w:vAlign w:val="bottom"/>
          </w:tcPr>
          <w:p>
            <w:pPr>
              <w:ind w:left="60"/>
              <w:spacing w:after="0"/>
              <w:rPr>
                <w:sz w:val="20"/>
                <w:szCs w:val="20"/>
                <w:color w:val="auto"/>
              </w:rPr>
            </w:pPr>
            <w:r>
              <w:rPr>
                <w:rFonts w:ascii="Arial" w:cs="Arial" w:eastAsia="Arial" w:hAnsi="Arial"/>
                <w:sz w:val="16"/>
                <w:szCs w:val="16"/>
                <w:color w:val="auto"/>
              </w:rPr>
              <w:t>Snellville</w:t>
            </w:r>
          </w:p>
        </w:tc>
        <w:tc>
          <w:tcPr>
            <w:tcW w:w="480" w:type="dxa"/>
            <w:vAlign w:val="bottom"/>
          </w:tcPr>
          <w:p>
            <w:pPr>
              <w:jc w:val="center"/>
              <w:spacing w:after="0"/>
              <w:rPr>
                <w:sz w:val="20"/>
                <w:szCs w:val="20"/>
                <w:color w:val="auto"/>
              </w:rPr>
            </w:pPr>
            <w:r>
              <w:rPr>
                <w:rFonts w:ascii="Arial" w:cs="Arial" w:eastAsia="Arial" w:hAnsi="Arial"/>
                <w:sz w:val="16"/>
                <w:szCs w:val="16"/>
                <w:color w:val="auto"/>
              </w:rPr>
              <w:t>GA</w:t>
            </w:r>
          </w:p>
        </w:tc>
        <w:tc>
          <w:tcPr>
            <w:tcW w:w="580" w:type="dxa"/>
            <w:vAlign w:val="bottom"/>
          </w:tcPr>
          <w:p>
            <w:pPr>
              <w:jc w:val="center"/>
              <w:ind w:left="1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3/29/2016</w:t>
            </w:r>
          </w:p>
        </w:tc>
        <w:tc>
          <w:tcPr>
            <w:tcW w:w="1740" w:type="dxa"/>
            <w:vAlign w:val="bottom"/>
          </w:tcPr>
          <w:p>
            <w:pPr>
              <w:ind w:left="60"/>
              <w:spacing w:after="0"/>
              <w:rPr>
                <w:sz w:val="20"/>
                <w:szCs w:val="20"/>
                <w:color w:val="auto"/>
              </w:rPr>
            </w:pPr>
            <w:r>
              <w:rPr>
                <w:rFonts w:ascii="Arial" w:cs="Arial" w:eastAsia="Arial" w:hAnsi="Arial"/>
                <w:sz w:val="16"/>
                <w:szCs w:val="16"/>
                <w:color w:val="auto"/>
              </w:rPr>
              <w:t>Stockbridge</w:t>
            </w:r>
          </w:p>
        </w:tc>
        <w:tc>
          <w:tcPr>
            <w:tcW w:w="480" w:type="dxa"/>
            <w:vAlign w:val="bottom"/>
          </w:tcPr>
          <w:p>
            <w:pPr>
              <w:jc w:val="center"/>
              <w:spacing w:after="0"/>
              <w:rPr>
                <w:sz w:val="20"/>
                <w:szCs w:val="20"/>
                <w:color w:val="auto"/>
              </w:rPr>
            </w:pPr>
            <w:r>
              <w:rPr>
                <w:rFonts w:ascii="Arial" w:cs="Arial" w:eastAsia="Arial" w:hAnsi="Arial"/>
                <w:sz w:val="16"/>
                <w:szCs w:val="16"/>
                <w:color w:val="auto"/>
              </w:rPr>
              <w:t>GA</w:t>
            </w:r>
          </w:p>
        </w:tc>
        <w:tc>
          <w:tcPr>
            <w:tcW w:w="580" w:type="dxa"/>
            <w:vAlign w:val="bottom"/>
          </w:tcPr>
          <w:p>
            <w:pPr>
              <w:jc w:val="center"/>
              <w:ind w:left="1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8/26/2004</w:t>
            </w:r>
          </w:p>
        </w:tc>
        <w:tc>
          <w:tcPr>
            <w:tcW w:w="1740" w:type="dxa"/>
            <w:vAlign w:val="bottom"/>
          </w:tcPr>
          <w:p>
            <w:pPr>
              <w:ind w:left="60"/>
              <w:spacing w:after="0"/>
              <w:rPr>
                <w:sz w:val="20"/>
                <w:szCs w:val="20"/>
                <w:color w:val="auto"/>
              </w:rPr>
            </w:pPr>
            <w:r>
              <w:rPr>
                <w:rFonts w:ascii="Arial" w:cs="Arial" w:eastAsia="Arial" w:hAnsi="Arial"/>
                <w:sz w:val="16"/>
                <w:szCs w:val="16"/>
                <w:color w:val="auto"/>
              </w:rPr>
              <w:t>Stone Mountain /</w:t>
            </w:r>
          </w:p>
        </w:tc>
        <w:tc>
          <w:tcPr>
            <w:tcW w:w="480" w:type="dxa"/>
            <w:vAlign w:val="bottom"/>
            <w:vMerge w:val="restart"/>
          </w:tcPr>
          <w:p>
            <w:pPr>
              <w:jc w:val="center"/>
              <w:spacing w:after="0"/>
              <w:rPr>
                <w:sz w:val="20"/>
                <w:szCs w:val="20"/>
                <w:color w:val="auto"/>
              </w:rPr>
            </w:pPr>
            <w:r>
              <w:rPr>
                <w:rFonts w:ascii="Arial" w:cs="Arial" w:eastAsia="Arial" w:hAnsi="Arial"/>
                <w:sz w:val="16"/>
                <w:szCs w:val="16"/>
                <w:color w:val="auto"/>
              </w:rPr>
              <w:t>GA</w:t>
            </w:r>
          </w:p>
        </w:tc>
        <w:tc>
          <w:tcPr>
            <w:tcW w:w="580" w:type="dxa"/>
            <w:vAlign w:val="bottom"/>
            <w:vMerge w:val="restart"/>
          </w:tcPr>
          <w:p>
            <w:pPr>
              <w:jc w:val="center"/>
              <w:ind w:left="39"/>
              <w:spacing w:after="0"/>
              <w:rPr>
                <w:sz w:val="20"/>
                <w:szCs w:val="20"/>
                <w:color w:val="auto"/>
              </w:rPr>
            </w:pPr>
            <w:r>
              <w:rPr>
                <w:rFonts w:ascii="Arial" w:cs="Arial" w:eastAsia="Arial" w:hAnsi="Arial"/>
                <w:sz w:val="16"/>
                <w:szCs w:val="16"/>
                <w:color w:val="auto"/>
                <w:w w:val="94"/>
              </w:rPr>
              <w:t>2,738</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740" w:type="dxa"/>
            <w:vAlign w:val="bottom"/>
            <w:vMerge w:val="restart"/>
          </w:tcPr>
          <w:p>
            <w:pPr>
              <w:ind w:left="60"/>
              <w:spacing w:after="0"/>
              <w:rPr>
                <w:sz w:val="20"/>
                <w:szCs w:val="20"/>
                <w:color w:val="auto"/>
              </w:rPr>
            </w:pPr>
            <w:r>
              <w:rPr>
                <w:rFonts w:ascii="Arial" w:cs="Arial" w:eastAsia="Arial" w:hAnsi="Arial"/>
                <w:sz w:val="16"/>
                <w:szCs w:val="16"/>
                <w:color w:val="auto"/>
              </w:rPr>
              <w:t>Annistown Rd</w:t>
            </w:r>
          </w:p>
        </w:tc>
        <w:tc>
          <w:tcPr>
            <w:tcW w:w="4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7/1/2005</w:t>
            </w:r>
          </w:p>
        </w:tc>
        <w:tc>
          <w:tcPr>
            <w:tcW w:w="1740" w:type="dxa"/>
            <w:vAlign w:val="bottom"/>
          </w:tcPr>
          <w:p>
            <w:pPr>
              <w:ind w:left="60"/>
              <w:spacing w:after="0"/>
              <w:rPr>
                <w:sz w:val="20"/>
                <w:szCs w:val="20"/>
                <w:color w:val="auto"/>
              </w:rPr>
            </w:pPr>
            <w:r>
              <w:rPr>
                <w:rFonts w:ascii="Arial" w:cs="Arial" w:eastAsia="Arial" w:hAnsi="Arial"/>
                <w:sz w:val="16"/>
                <w:szCs w:val="16"/>
                <w:color w:val="auto"/>
              </w:rPr>
              <w:t>Stone Mountain / S</w:t>
            </w:r>
          </w:p>
        </w:tc>
        <w:tc>
          <w:tcPr>
            <w:tcW w:w="480" w:type="dxa"/>
            <w:vAlign w:val="bottom"/>
            <w:vMerge w:val="restart"/>
          </w:tcPr>
          <w:p>
            <w:pPr>
              <w:jc w:val="center"/>
              <w:spacing w:after="0"/>
              <w:rPr>
                <w:sz w:val="20"/>
                <w:szCs w:val="20"/>
                <w:color w:val="auto"/>
              </w:rPr>
            </w:pPr>
            <w:r>
              <w:rPr>
                <w:rFonts w:ascii="Arial" w:cs="Arial" w:eastAsia="Arial" w:hAnsi="Arial"/>
                <w:sz w:val="16"/>
                <w:szCs w:val="16"/>
                <w:color w:val="auto"/>
              </w:rPr>
              <w:t>GA</w:t>
            </w:r>
          </w:p>
        </w:tc>
        <w:tc>
          <w:tcPr>
            <w:tcW w:w="580" w:type="dxa"/>
            <w:vAlign w:val="bottom"/>
            <w:vMerge w:val="restart"/>
          </w:tcPr>
          <w:p>
            <w:pPr>
              <w:jc w:val="center"/>
              <w:ind w:left="39"/>
              <w:spacing w:after="0"/>
              <w:rPr>
                <w:sz w:val="20"/>
                <w:szCs w:val="20"/>
                <w:color w:val="auto"/>
              </w:rPr>
            </w:pPr>
            <w:r>
              <w:rPr>
                <w:rFonts w:ascii="Arial" w:cs="Arial" w:eastAsia="Arial" w:hAnsi="Arial"/>
                <w:sz w:val="16"/>
                <w:szCs w:val="16"/>
                <w:color w:val="auto"/>
                <w:w w:val="94"/>
              </w:rPr>
              <w:t>2,533</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740" w:type="dxa"/>
            <w:vAlign w:val="bottom"/>
            <w:vMerge w:val="restart"/>
          </w:tcPr>
          <w:p>
            <w:pPr>
              <w:ind w:left="60"/>
              <w:spacing w:after="0"/>
              <w:rPr>
                <w:sz w:val="20"/>
                <w:szCs w:val="20"/>
                <w:color w:val="auto"/>
              </w:rPr>
            </w:pPr>
            <w:r>
              <w:rPr>
                <w:rFonts w:ascii="Arial" w:cs="Arial" w:eastAsia="Arial" w:hAnsi="Arial"/>
                <w:sz w:val="16"/>
                <w:szCs w:val="16"/>
                <w:color w:val="auto"/>
              </w:rPr>
              <w:t>Hairston Rd</w:t>
            </w:r>
          </w:p>
        </w:tc>
        <w:tc>
          <w:tcPr>
            <w:tcW w:w="4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6/14/2007</w:t>
            </w:r>
          </w:p>
        </w:tc>
        <w:tc>
          <w:tcPr>
            <w:tcW w:w="1740" w:type="dxa"/>
            <w:vAlign w:val="bottom"/>
          </w:tcPr>
          <w:p>
            <w:pPr>
              <w:ind w:left="60"/>
              <w:spacing w:after="0"/>
              <w:rPr>
                <w:sz w:val="20"/>
                <w:szCs w:val="20"/>
                <w:color w:val="auto"/>
              </w:rPr>
            </w:pPr>
            <w:r>
              <w:rPr>
                <w:rFonts w:ascii="Arial" w:cs="Arial" w:eastAsia="Arial" w:hAnsi="Arial"/>
                <w:sz w:val="16"/>
                <w:szCs w:val="16"/>
                <w:color w:val="auto"/>
              </w:rPr>
              <w:t>Sugar Hill / Nelson</w:t>
            </w:r>
          </w:p>
        </w:tc>
        <w:tc>
          <w:tcPr>
            <w:tcW w:w="480" w:type="dxa"/>
            <w:vAlign w:val="bottom"/>
            <w:vMerge w:val="restart"/>
          </w:tcPr>
          <w:p>
            <w:pPr>
              <w:jc w:val="center"/>
              <w:spacing w:after="0"/>
              <w:rPr>
                <w:sz w:val="20"/>
                <w:szCs w:val="20"/>
                <w:color w:val="auto"/>
              </w:rPr>
            </w:pPr>
            <w:r>
              <w:rPr>
                <w:rFonts w:ascii="Arial" w:cs="Arial" w:eastAsia="Arial" w:hAnsi="Arial"/>
                <w:sz w:val="16"/>
                <w:szCs w:val="16"/>
                <w:color w:val="auto"/>
              </w:rPr>
              <w:t>GA</w:t>
            </w:r>
          </w:p>
        </w:tc>
        <w:tc>
          <w:tcPr>
            <w:tcW w:w="580" w:type="dxa"/>
            <w:vAlign w:val="bottom"/>
            <w:vMerge w:val="restart"/>
          </w:tcPr>
          <w:p>
            <w:pPr>
              <w:jc w:val="center"/>
              <w:ind w:left="1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740" w:type="dxa"/>
            <w:vAlign w:val="bottom"/>
            <w:vMerge w:val="restart"/>
          </w:tcPr>
          <w:p>
            <w:pPr>
              <w:ind w:left="60"/>
              <w:spacing w:after="0"/>
              <w:rPr>
                <w:sz w:val="20"/>
                <w:szCs w:val="20"/>
                <w:color w:val="auto"/>
              </w:rPr>
            </w:pPr>
            <w:r>
              <w:rPr>
                <w:rFonts w:ascii="Arial" w:cs="Arial" w:eastAsia="Arial" w:hAnsi="Arial"/>
                <w:sz w:val="16"/>
                <w:szCs w:val="16"/>
                <w:color w:val="auto"/>
              </w:rPr>
              <w:t>Brogdon Blvd 1</w:t>
            </w:r>
          </w:p>
        </w:tc>
        <w:tc>
          <w:tcPr>
            <w:tcW w:w="4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6/14/2007</w:t>
            </w:r>
          </w:p>
        </w:tc>
        <w:tc>
          <w:tcPr>
            <w:tcW w:w="1740" w:type="dxa"/>
            <w:vAlign w:val="bottom"/>
          </w:tcPr>
          <w:p>
            <w:pPr>
              <w:ind w:left="60"/>
              <w:spacing w:after="0"/>
              <w:rPr>
                <w:sz w:val="20"/>
                <w:szCs w:val="20"/>
                <w:color w:val="auto"/>
              </w:rPr>
            </w:pPr>
            <w:r>
              <w:rPr>
                <w:rFonts w:ascii="Arial" w:cs="Arial" w:eastAsia="Arial" w:hAnsi="Arial"/>
                <w:sz w:val="16"/>
                <w:szCs w:val="16"/>
                <w:color w:val="auto"/>
              </w:rPr>
              <w:t>Sugar Hill / Nelson</w:t>
            </w:r>
          </w:p>
        </w:tc>
        <w:tc>
          <w:tcPr>
            <w:tcW w:w="480" w:type="dxa"/>
            <w:vAlign w:val="bottom"/>
            <w:vMerge w:val="restart"/>
          </w:tcPr>
          <w:p>
            <w:pPr>
              <w:jc w:val="center"/>
              <w:spacing w:after="0"/>
              <w:rPr>
                <w:sz w:val="20"/>
                <w:szCs w:val="20"/>
                <w:color w:val="auto"/>
              </w:rPr>
            </w:pPr>
            <w:r>
              <w:rPr>
                <w:rFonts w:ascii="Arial" w:cs="Arial" w:eastAsia="Arial" w:hAnsi="Arial"/>
                <w:sz w:val="16"/>
                <w:szCs w:val="16"/>
                <w:color w:val="auto"/>
              </w:rPr>
              <w:t>GA</w:t>
            </w:r>
          </w:p>
        </w:tc>
        <w:tc>
          <w:tcPr>
            <w:tcW w:w="580" w:type="dxa"/>
            <w:vAlign w:val="bottom"/>
            <w:vMerge w:val="restart"/>
          </w:tcPr>
          <w:p>
            <w:pPr>
              <w:jc w:val="center"/>
              <w:ind w:left="1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740" w:type="dxa"/>
            <w:vAlign w:val="bottom"/>
            <w:vMerge w:val="restart"/>
          </w:tcPr>
          <w:p>
            <w:pPr>
              <w:ind w:left="60"/>
              <w:spacing w:after="0"/>
              <w:rPr>
                <w:sz w:val="20"/>
                <w:szCs w:val="20"/>
                <w:color w:val="auto"/>
              </w:rPr>
            </w:pPr>
            <w:r>
              <w:rPr>
                <w:rFonts w:ascii="Arial" w:cs="Arial" w:eastAsia="Arial" w:hAnsi="Arial"/>
                <w:sz w:val="16"/>
                <w:szCs w:val="16"/>
                <w:color w:val="auto"/>
              </w:rPr>
              <w:t>Brogdon Blvd 2</w:t>
            </w:r>
          </w:p>
        </w:tc>
        <w:tc>
          <w:tcPr>
            <w:tcW w:w="4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10/15/2013</w:t>
            </w:r>
          </w:p>
        </w:tc>
        <w:tc>
          <w:tcPr>
            <w:tcW w:w="1740" w:type="dxa"/>
            <w:vAlign w:val="bottom"/>
          </w:tcPr>
          <w:p>
            <w:pPr>
              <w:ind w:left="60"/>
              <w:spacing w:after="0"/>
              <w:rPr>
                <w:sz w:val="20"/>
                <w:szCs w:val="20"/>
                <w:color w:val="auto"/>
              </w:rPr>
            </w:pPr>
            <w:r>
              <w:rPr>
                <w:rFonts w:ascii="Arial" w:cs="Arial" w:eastAsia="Arial" w:hAnsi="Arial"/>
                <w:sz w:val="16"/>
                <w:szCs w:val="16"/>
                <w:color w:val="auto"/>
              </w:rPr>
              <w:t>Tucker</w:t>
            </w:r>
          </w:p>
        </w:tc>
        <w:tc>
          <w:tcPr>
            <w:tcW w:w="480" w:type="dxa"/>
            <w:vAlign w:val="bottom"/>
          </w:tcPr>
          <w:p>
            <w:pPr>
              <w:jc w:val="center"/>
              <w:spacing w:after="0"/>
              <w:rPr>
                <w:sz w:val="20"/>
                <w:szCs w:val="20"/>
                <w:color w:val="auto"/>
              </w:rPr>
            </w:pPr>
            <w:r>
              <w:rPr>
                <w:rFonts w:ascii="Arial" w:cs="Arial" w:eastAsia="Arial" w:hAnsi="Arial"/>
                <w:sz w:val="16"/>
                <w:szCs w:val="16"/>
                <w:color w:val="auto"/>
              </w:rPr>
              <w:t>GA</w:t>
            </w:r>
          </w:p>
        </w:tc>
        <w:tc>
          <w:tcPr>
            <w:tcW w:w="580" w:type="dxa"/>
            <w:vAlign w:val="bottom"/>
          </w:tcPr>
          <w:p>
            <w:pPr>
              <w:jc w:val="center"/>
              <w:ind w:left="39"/>
              <w:spacing w:after="0"/>
              <w:rPr>
                <w:sz w:val="20"/>
                <w:szCs w:val="20"/>
                <w:color w:val="auto"/>
              </w:rPr>
            </w:pPr>
            <w:r>
              <w:rPr>
                <w:rFonts w:ascii="Arial" w:cs="Arial" w:eastAsia="Arial" w:hAnsi="Arial"/>
                <w:sz w:val="16"/>
                <w:szCs w:val="16"/>
                <w:color w:val="auto"/>
                <w:w w:val="94"/>
              </w:rPr>
              <w:t>5,713</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740" w:type="dxa"/>
            <w:vAlign w:val="bottom"/>
          </w:tcPr>
          <w:p>
            <w:pPr>
              <w:ind w:left="60"/>
              <w:spacing w:after="0"/>
              <w:rPr>
                <w:sz w:val="20"/>
                <w:szCs w:val="20"/>
                <w:color w:val="auto"/>
              </w:rPr>
            </w:pPr>
            <w:r>
              <w:rPr>
                <w:rFonts w:ascii="Arial" w:cs="Arial" w:eastAsia="Arial" w:hAnsi="Arial"/>
                <w:sz w:val="16"/>
                <w:szCs w:val="16"/>
                <w:color w:val="auto"/>
              </w:rPr>
              <w:t>Wilmington Island</w:t>
            </w:r>
          </w:p>
        </w:tc>
        <w:tc>
          <w:tcPr>
            <w:tcW w:w="480" w:type="dxa"/>
            <w:vAlign w:val="bottom"/>
          </w:tcPr>
          <w:p>
            <w:pPr>
              <w:jc w:val="center"/>
              <w:spacing w:after="0"/>
              <w:rPr>
                <w:sz w:val="20"/>
                <w:szCs w:val="20"/>
                <w:color w:val="auto"/>
              </w:rPr>
            </w:pPr>
            <w:r>
              <w:rPr>
                <w:rFonts w:ascii="Arial" w:cs="Arial" w:eastAsia="Arial" w:hAnsi="Arial"/>
                <w:sz w:val="16"/>
                <w:szCs w:val="16"/>
                <w:color w:val="auto"/>
              </w:rPr>
              <w:t>GA</w:t>
            </w:r>
          </w:p>
        </w:tc>
        <w:tc>
          <w:tcPr>
            <w:tcW w:w="580" w:type="dxa"/>
            <w:vAlign w:val="bottom"/>
          </w:tcPr>
          <w:p>
            <w:pPr>
              <w:jc w:val="center"/>
              <w:ind w:left="39"/>
              <w:spacing w:after="0"/>
              <w:rPr>
                <w:sz w:val="20"/>
                <w:szCs w:val="20"/>
                <w:color w:val="auto"/>
              </w:rPr>
            </w:pPr>
            <w:r>
              <w:rPr>
                <w:rFonts w:ascii="Arial" w:cs="Arial" w:eastAsia="Arial" w:hAnsi="Arial"/>
                <w:sz w:val="16"/>
                <w:szCs w:val="16"/>
                <w:color w:val="auto"/>
                <w:w w:val="94"/>
              </w:rPr>
              <w:t>5,631</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11/18/2016</w:t>
            </w:r>
          </w:p>
        </w:tc>
        <w:tc>
          <w:tcPr>
            <w:tcW w:w="1740" w:type="dxa"/>
            <w:vAlign w:val="bottom"/>
          </w:tcPr>
          <w:p>
            <w:pPr>
              <w:ind w:left="60"/>
              <w:spacing w:after="0"/>
              <w:rPr>
                <w:sz w:val="20"/>
                <w:szCs w:val="20"/>
                <w:color w:val="auto"/>
              </w:rPr>
            </w:pPr>
            <w:r>
              <w:rPr>
                <w:rFonts w:ascii="Arial" w:cs="Arial" w:eastAsia="Arial" w:hAnsi="Arial"/>
                <w:sz w:val="16"/>
                <w:szCs w:val="16"/>
                <w:color w:val="auto"/>
              </w:rPr>
              <w:t>Hilo</w:t>
            </w:r>
          </w:p>
        </w:tc>
        <w:tc>
          <w:tcPr>
            <w:tcW w:w="480" w:type="dxa"/>
            <w:vAlign w:val="bottom"/>
          </w:tcPr>
          <w:p>
            <w:pPr>
              <w:jc w:val="center"/>
              <w:spacing w:after="0"/>
              <w:rPr>
                <w:sz w:val="20"/>
                <w:szCs w:val="20"/>
                <w:color w:val="auto"/>
              </w:rPr>
            </w:pPr>
            <w:r>
              <w:rPr>
                <w:rFonts w:ascii="Arial" w:cs="Arial" w:eastAsia="Arial" w:hAnsi="Arial"/>
                <w:sz w:val="16"/>
                <w:szCs w:val="16"/>
                <w:color w:val="auto"/>
              </w:rPr>
              <w:t>HI</w:t>
            </w:r>
          </w:p>
        </w:tc>
        <w:tc>
          <w:tcPr>
            <w:tcW w:w="580" w:type="dxa"/>
            <w:vAlign w:val="bottom"/>
          </w:tcPr>
          <w:p>
            <w:pPr>
              <w:jc w:val="center"/>
              <w:ind w:left="1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4/5/2016</w:t>
            </w:r>
          </w:p>
        </w:tc>
        <w:tc>
          <w:tcPr>
            <w:tcW w:w="1740" w:type="dxa"/>
            <w:vAlign w:val="bottom"/>
          </w:tcPr>
          <w:p>
            <w:pPr>
              <w:ind w:left="60"/>
              <w:spacing w:after="0"/>
              <w:rPr>
                <w:sz w:val="20"/>
                <w:szCs w:val="20"/>
                <w:color w:val="auto"/>
              </w:rPr>
            </w:pPr>
            <w:r>
              <w:rPr>
                <w:rFonts w:ascii="Arial" w:cs="Arial" w:eastAsia="Arial" w:hAnsi="Arial"/>
                <w:sz w:val="16"/>
                <w:szCs w:val="16"/>
                <w:color w:val="auto"/>
              </w:rPr>
              <w:t>Honolulu / Ahua Street</w:t>
            </w:r>
          </w:p>
        </w:tc>
        <w:tc>
          <w:tcPr>
            <w:tcW w:w="480" w:type="dxa"/>
            <w:vAlign w:val="bottom"/>
          </w:tcPr>
          <w:p>
            <w:pPr>
              <w:jc w:val="center"/>
              <w:spacing w:after="0"/>
              <w:rPr>
                <w:sz w:val="20"/>
                <w:szCs w:val="20"/>
                <w:color w:val="auto"/>
              </w:rPr>
            </w:pPr>
            <w:r>
              <w:rPr>
                <w:rFonts w:ascii="Arial" w:cs="Arial" w:eastAsia="Arial" w:hAnsi="Arial"/>
                <w:sz w:val="16"/>
                <w:szCs w:val="16"/>
                <w:color w:val="auto"/>
              </w:rPr>
              <w:t>HI</w:t>
            </w:r>
          </w:p>
        </w:tc>
        <w:tc>
          <w:tcPr>
            <w:tcW w:w="580" w:type="dxa"/>
            <w:vAlign w:val="bottom"/>
          </w:tcPr>
          <w:p>
            <w:pPr>
              <w:jc w:val="center"/>
              <w:ind w:left="1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5/3/2013</w:t>
            </w:r>
          </w:p>
        </w:tc>
        <w:tc>
          <w:tcPr>
            <w:tcW w:w="1740" w:type="dxa"/>
            <w:vAlign w:val="bottom"/>
          </w:tcPr>
          <w:p>
            <w:pPr>
              <w:ind w:left="60"/>
              <w:spacing w:after="0"/>
              <w:rPr>
                <w:sz w:val="20"/>
                <w:szCs w:val="20"/>
                <w:color w:val="auto"/>
              </w:rPr>
            </w:pPr>
            <w:r>
              <w:rPr>
                <w:rFonts w:ascii="Arial" w:cs="Arial" w:eastAsia="Arial" w:hAnsi="Arial"/>
                <w:sz w:val="16"/>
                <w:szCs w:val="16"/>
                <w:color w:val="auto"/>
              </w:rPr>
              <w:t>Honolulu / Kalakaua</w:t>
            </w:r>
          </w:p>
        </w:tc>
        <w:tc>
          <w:tcPr>
            <w:tcW w:w="480" w:type="dxa"/>
            <w:vAlign w:val="bottom"/>
            <w:vMerge w:val="restart"/>
          </w:tcPr>
          <w:p>
            <w:pPr>
              <w:jc w:val="center"/>
              <w:spacing w:after="0"/>
              <w:rPr>
                <w:sz w:val="20"/>
                <w:szCs w:val="20"/>
                <w:color w:val="auto"/>
              </w:rPr>
            </w:pPr>
            <w:r>
              <w:rPr>
                <w:rFonts w:ascii="Arial" w:cs="Arial" w:eastAsia="Arial" w:hAnsi="Arial"/>
                <w:sz w:val="16"/>
                <w:szCs w:val="16"/>
                <w:color w:val="auto"/>
              </w:rPr>
              <w:t>HI</w:t>
            </w:r>
          </w:p>
        </w:tc>
        <w:tc>
          <w:tcPr>
            <w:tcW w:w="580" w:type="dxa"/>
            <w:vAlign w:val="bottom"/>
            <w:vMerge w:val="restart"/>
          </w:tcPr>
          <w:p>
            <w:pPr>
              <w:jc w:val="center"/>
              <w:ind w:left="39"/>
              <w:spacing w:after="0"/>
              <w:rPr>
                <w:sz w:val="20"/>
                <w:szCs w:val="20"/>
                <w:color w:val="auto"/>
              </w:rPr>
            </w:pPr>
            <w:r>
              <w:rPr>
                <w:rFonts w:ascii="Arial" w:cs="Arial" w:eastAsia="Arial" w:hAnsi="Arial"/>
                <w:sz w:val="16"/>
                <w:szCs w:val="16"/>
                <w:color w:val="auto"/>
                <w:w w:val="93"/>
              </w:rPr>
              <w:t>17,140</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740" w:type="dxa"/>
            <w:vAlign w:val="bottom"/>
            <w:vMerge w:val="restart"/>
          </w:tcPr>
          <w:p>
            <w:pPr>
              <w:ind w:left="60"/>
              <w:spacing w:after="0"/>
              <w:rPr>
                <w:sz w:val="20"/>
                <w:szCs w:val="20"/>
                <w:color w:val="auto"/>
              </w:rPr>
            </w:pPr>
            <w:r>
              <w:rPr>
                <w:rFonts w:ascii="Arial" w:cs="Arial" w:eastAsia="Arial" w:hAnsi="Arial"/>
                <w:sz w:val="16"/>
                <w:szCs w:val="16"/>
                <w:color w:val="auto"/>
              </w:rPr>
              <w:t>Ave</w:t>
            </w:r>
          </w:p>
        </w:tc>
        <w:tc>
          <w:tcPr>
            <w:tcW w:w="4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710</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2,299</w:t>
            </w:r>
          </w:p>
        </w:tc>
        <w:tc>
          <w:tcPr>
            <w:tcW w:w="1220" w:type="dxa"/>
            <w:vAlign w:val="bottom"/>
          </w:tcPr>
          <w:p>
            <w:pPr>
              <w:jc w:val="center"/>
              <w:ind w:right="139"/>
              <w:spacing w:after="0"/>
              <w:rPr>
                <w:sz w:val="20"/>
                <w:szCs w:val="20"/>
                <w:color w:val="auto"/>
              </w:rPr>
            </w:pPr>
            <w:r>
              <w:rPr>
                <w:rFonts w:ascii="Arial" w:cs="Arial" w:eastAsia="Arial" w:hAnsi="Arial"/>
                <w:sz w:val="16"/>
                <w:szCs w:val="16"/>
                <w:color w:val="auto"/>
                <w:w w:val="89"/>
              </w:rPr>
              <w:t>88</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710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2,387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3,097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200</w:t>
            </w:r>
          </w:p>
        </w:tc>
      </w:tr>
      <w:tr>
        <w:trPr>
          <w:trHeight w:val="270"/>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540</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6,550</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257</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540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6,807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7,347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226</w:t>
            </w:r>
          </w:p>
        </w:tc>
      </w:tr>
      <w:tr>
        <w:trPr>
          <w:trHeight w:val="270"/>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500</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5,484</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321</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500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5,805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6,305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192</w:t>
            </w:r>
          </w:p>
        </w:tc>
      </w:tr>
      <w:tr>
        <w:trPr>
          <w:trHeight w:val="364"/>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895</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7,625</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180</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895</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7,805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8,700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169</w:t>
            </w:r>
          </w:p>
        </w:tc>
      </w:tr>
      <w:tr>
        <w:trPr>
          <w:trHeight w:val="364"/>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2,087</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4,295</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141</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2,077</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4,446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6,523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176</w:t>
            </w:r>
          </w:p>
        </w:tc>
      </w:tr>
      <w:tr>
        <w:trPr>
          <w:trHeight w:val="270"/>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1,993</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3,001</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228</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1,993</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3,229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5,222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964</w:t>
            </w:r>
          </w:p>
        </w:tc>
      </w:tr>
      <w:tr>
        <w:trPr>
          <w:trHeight w:val="270"/>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1,209</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719</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597</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1,209</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1,316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2,525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315</w:t>
            </w:r>
          </w:p>
        </w:tc>
      </w:tr>
      <w:tr>
        <w:trPr>
          <w:trHeight w:val="364"/>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1,350</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5,718</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336</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1,350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6,054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7,404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192</w:t>
            </w:r>
          </w:p>
        </w:tc>
      </w:tr>
      <w:tr>
        <w:trPr>
          <w:trHeight w:val="459"/>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1,160</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6,336</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271</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1,160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6,607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7,767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212</w:t>
            </w:r>
          </w:p>
        </w:tc>
      </w:tr>
      <w:tr>
        <w:trPr>
          <w:trHeight w:val="459"/>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440</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7,516</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260</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440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7,776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8,216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253</w:t>
            </w:r>
          </w:p>
        </w:tc>
      </w:tr>
      <w:tr>
        <w:trPr>
          <w:trHeight w:val="364"/>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1,718</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6,388</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200</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1,718</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6,588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8,306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726</w:t>
            </w:r>
          </w:p>
        </w:tc>
      </w:tr>
      <w:tr>
        <w:trPr>
          <w:trHeight w:val="270"/>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260</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3,992</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398</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260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4,390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4,650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140</w:t>
            </w:r>
          </w:p>
        </w:tc>
      </w:tr>
      <w:tr>
        <w:trPr>
          <w:trHeight w:val="270"/>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1,454</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4,151</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187</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1,454</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4,338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5,792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1,127</w:t>
            </w:r>
          </w:p>
        </w:tc>
      </w:tr>
      <w:tr>
        <w:trPr>
          <w:trHeight w:val="270"/>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540</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6,174</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312</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540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6,486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7,026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220</w:t>
            </w:r>
          </w:p>
        </w:tc>
      </w:tr>
      <w:tr>
        <w:trPr>
          <w:trHeight w:val="364"/>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673</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1,151</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206</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673</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1,357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2,030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293</w:t>
            </w:r>
          </w:p>
        </w:tc>
      </w:tr>
      <w:tr>
        <w:trPr>
          <w:trHeight w:val="459"/>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500</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9,126</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202</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500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9,328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9,828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304</w:t>
            </w:r>
          </w:p>
        </w:tc>
      </w:tr>
      <w:tr>
        <w:trPr>
          <w:trHeight w:val="459"/>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2,117</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2,784</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371</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2,117</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3,155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5,272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296</w:t>
            </w:r>
          </w:p>
        </w:tc>
      </w:tr>
      <w:tr>
        <w:trPr>
          <w:trHeight w:val="459"/>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730</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3,058</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542</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730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3,600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4,330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116</w:t>
            </w:r>
          </w:p>
        </w:tc>
      </w:tr>
      <w:tr>
        <w:trPr>
          <w:trHeight w:val="459"/>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1,510</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4,674</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263</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1,510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4,937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6,447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162</w:t>
            </w:r>
          </w:p>
        </w:tc>
      </w:tr>
      <w:tr>
        <w:trPr>
          <w:trHeight w:val="459"/>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870</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3,705</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375</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870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4,080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4,950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131</w:t>
            </w:r>
          </w:p>
        </w:tc>
      </w:tr>
      <w:tr>
        <w:trPr>
          <w:trHeight w:val="364"/>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1,958</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3,645</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904</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1,958</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4,549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6,507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739</w:t>
            </w:r>
          </w:p>
        </w:tc>
      </w:tr>
      <w:tr>
        <w:trPr>
          <w:trHeight w:val="270"/>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814</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5,494</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422</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814</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5,916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6,730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130</w:t>
            </w:r>
          </w:p>
        </w:tc>
      </w:tr>
      <w:tr>
        <w:trPr>
          <w:trHeight w:val="364"/>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1,070</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3,560</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483</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1,070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4,043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5,113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131</w:t>
            </w:r>
          </w:p>
        </w:tc>
      </w:tr>
      <w:tr>
        <w:trPr>
          <w:trHeight w:val="459"/>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887</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2,617</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355</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887</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2,972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3,859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596</w:t>
            </w:r>
          </w:p>
        </w:tc>
      </w:tr>
      <w:tr>
        <w:trPr>
          <w:trHeight w:val="459"/>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430</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9,242</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249</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430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9,491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9,921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307</w:t>
            </w:r>
          </w:p>
        </w:tc>
      </w:tr>
      <w:tr>
        <w:trPr>
          <w:trHeight w:val="459"/>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500</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6,395</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192</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500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6,587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7,087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217</w:t>
            </w:r>
          </w:p>
        </w:tc>
      </w:tr>
      <w:tr>
        <w:trPr>
          <w:trHeight w:val="364"/>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1,080</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8,628</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438</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1,080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9,066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10,146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289</w:t>
            </w:r>
          </w:p>
        </w:tc>
      </w:tr>
      <w:tr>
        <w:trPr>
          <w:trHeight w:val="270"/>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370</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6,014</w:t>
            </w:r>
          </w:p>
        </w:tc>
        <w:tc>
          <w:tcPr>
            <w:tcW w:w="1220" w:type="dxa"/>
            <w:vAlign w:val="bottom"/>
          </w:tcPr>
          <w:p>
            <w:pPr>
              <w:jc w:val="center"/>
              <w:ind w:right="139"/>
              <w:spacing w:after="0"/>
              <w:rPr>
                <w:sz w:val="20"/>
                <w:szCs w:val="20"/>
                <w:color w:val="auto"/>
              </w:rPr>
            </w:pPr>
            <w:r>
              <w:rPr>
                <w:rFonts w:ascii="Arial" w:cs="Arial" w:eastAsia="Arial" w:hAnsi="Arial"/>
                <w:sz w:val="16"/>
                <w:szCs w:val="16"/>
                <w:color w:val="auto"/>
                <w:w w:val="89"/>
              </w:rPr>
              <w:t>66</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370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6,080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6,450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237</w:t>
            </w:r>
          </w:p>
        </w:tc>
      </w:tr>
      <w:tr>
        <w:trPr>
          <w:trHeight w:val="270"/>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1,043</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6,981</w:t>
            </w:r>
          </w:p>
        </w:tc>
        <w:tc>
          <w:tcPr>
            <w:tcW w:w="1220" w:type="dxa"/>
            <w:vAlign w:val="bottom"/>
          </w:tcPr>
          <w:p>
            <w:pPr>
              <w:jc w:val="center"/>
              <w:ind w:right="139"/>
              <w:spacing w:after="0"/>
              <w:rPr>
                <w:sz w:val="20"/>
                <w:szCs w:val="20"/>
                <w:color w:val="auto"/>
              </w:rPr>
            </w:pPr>
            <w:r>
              <w:rPr>
                <w:rFonts w:ascii="Arial" w:cs="Arial" w:eastAsia="Arial" w:hAnsi="Arial"/>
                <w:sz w:val="16"/>
                <w:szCs w:val="16"/>
                <w:color w:val="auto"/>
                <w:w w:val="99"/>
              </w:rPr>
              <w:t>—</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1,043</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6,981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8,024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119</w:t>
            </w:r>
          </w:p>
        </w:tc>
      </w:tr>
      <w:tr>
        <w:trPr>
          <w:trHeight w:val="270"/>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1,740</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11,439</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337</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1,740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11,776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13,516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382</w:t>
            </w:r>
          </w:p>
        </w:tc>
      </w:tr>
      <w:tr>
        <w:trPr>
          <w:trHeight w:val="364"/>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390</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4,889</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301</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390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5,190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5,580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170</w:t>
            </w:r>
          </w:p>
        </w:tc>
      </w:tr>
      <w:tr>
        <w:trPr>
          <w:trHeight w:val="459"/>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390</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3,370</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270</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390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3,640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4,030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122</w:t>
            </w:r>
          </w:p>
        </w:tc>
      </w:tr>
      <w:tr>
        <w:trPr>
          <w:trHeight w:val="364"/>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360</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8,455</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255</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360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8,710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9,070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282</w:t>
            </w:r>
          </w:p>
        </w:tc>
      </w:tr>
      <w:tr>
        <w:trPr>
          <w:trHeight w:val="364"/>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1,360</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7,002</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353</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1,360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7,355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8,715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242</w:t>
            </w:r>
          </w:p>
        </w:tc>
      </w:tr>
      <w:tr>
        <w:trPr>
          <w:trHeight w:val="364"/>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588</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7,362</w:t>
            </w:r>
          </w:p>
        </w:tc>
        <w:tc>
          <w:tcPr>
            <w:tcW w:w="1220" w:type="dxa"/>
            <w:vAlign w:val="bottom"/>
          </w:tcPr>
          <w:p>
            <w:pPr>
              <w:jc w:val="center"/>
              <w:ind w:right="139"/>
              <w:spacing w:after="0"/>
              <w:rPr>
                <w:sz w:val="20"/>
                <w:szCs w:val="20"/>
                <w:color w:val="auto"/>
              </w:rPr>
            </w:pPr>
            <w:r>
              <w:rPr>
                <w:rFonts w:ascii="Arial" w:cs="Arial" w:eastAsia="Arial" w:hAnsi="Arial"/>
                <w:sz w:val="16"/>
                <w:szCs w:val="16"/>
                <w:color w:val="auto"/>
                <w:w w:val="99"/>
              </w:rPr>
              <w:t>—</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588</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7,362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7,950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31</w:t>
            </w:r>
          </w:p>
        </w:tc>
      </w:tr>
      <w:tr>
        <w:trPr>
          <w:trHeight w:val="270"/>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2,691</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4,026</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381</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2,691</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4,407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7,098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1,516</w:t>
            </w:r>
          </w:p>
        </w:tc>
      </w:tr>
      <w:tr>
        <w:trPr>
          <w:trHeight w:val="270"/>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2,899</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7,098</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457</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2,899</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7,555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10,454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165</w:t>
            </w:r>
          </w:p>
        </w:tc>
      </w:tr>
      <w:tr>
        <w:trPr>
          <w:trHeight w:val="364"/>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1,817</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4,382</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338</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1,817</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4,720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6,537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1,604</w:t>
            </w:r>
          </w:p>
        </w:tc>
      </w:tr>
      <w:tr>
        <w:trPr>
          <w:trHeight w:val="459"/>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925</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3,505</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458</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925</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3,963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4,888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1,286</w:t>
            </w:r>
          </w:p>
        </w:tc>
      </w:tr>
      <w:tr>
        <w:trPr>
          <w:trHeight w:val="459"/>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1,371</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2,547</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252</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1,371</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2,799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4,170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771</w:t>
            </w:r>
          </w:p>
        </w:tc>
      </w:tr>
      <w:tr>
        <w:trPr>
          <w:trHeight w:val="459"/>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1,368</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2,540</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413</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1,367</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2,954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4,321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786</w:t>
            </w:r>
          </w:p>
        </w:tc>
      </w:tr>
      <w:tr>
        <w:trPr>
          <w:trHeight w:val="364"/>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1,773</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10,456</w:t>
            </w:r>
          </w:p>
        </w:tc>
        <w:tc>
          <w:tcPr>
            <w:tcW w:w="1220" w:type="dxa"/>
            <w:vAlign w:val="bottom"/>
          </w:tcPr>
          <w:p>
            <w:pPr>
              <w:jc w:val="center"/>
              <w:ind w:right="139"/>
              <w:spacing w:after="0"/>
              <w:rPr>
                <w:sz w:val="20"/>
                <w:szCs w:val="20"/>
                <w:color w:val="auto"/>
              </w:rPr>
            </w:pPr>
            <w:r>
              <w:rPr>
                <w:rFonts w:ascii="Arial" w:cs="Arial" w:eastAsia="Arial" w:hAnsi="Arial"/>
                <w:sz w:val="16"/>
                <w:szCs w:val="16"/>
                <w:color w:val="auto"/>
                <w:w w:val="89"/>
              </w:rPr>
              <w:t>87</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1,773</w:t>
            </w: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10,543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12,316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875</w:t>
            </w:r>
          </w:p>
        </w:tc>
      </w:tr>
      <w:tr>
        <w:trPr>
          <w:trHeight w:val="270"/>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760</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9,423</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341</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760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9,764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10,524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318</w:t>
            </w:r>
          </w:p>
        </w:tc>
      </w:tr>
      <w:tr>
        <w:trPr>
          <w:trHeight w:val="270"/>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2,859</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5,429</w:t>
            </w:r>
          </w:p>
        </w:tc>
        <w:tc>
          <w:tcPr>
            <w:tcW w:w="1220" w:type="dxa"/>
            <w:vAlign w:val="bottom"/>
          </w:tcPr>
          <w:p>
            <w:pPr>
              <w:jc w:val="center"/>
              <w:ind w:right="139"/>
              <w:spacing w:after="0"/>
              <w:rPr>
                <w:sz w:val="20"/>
                <w:szCs w:val="20"/>
                <w:color w:val="auto"/>
              </w:rPr>
            </w:pPr>
            <w:r>
              <w:rPr>
                <w:rFonts w:ascii="Arial" w:cs="Arial" w:eastAsia="Arial" w:hAnsi="Arial"/>
                <w:sz w:val="16"/>
                <w:szCs w:val="16"/>
                <w:color w:val="auto"/>
                <w:w w:val="89"/>
              </w:rPr>
              <w:t>7</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2,859</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5,436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8,295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23</w:t>
            </w:r>
          </w:p>
        </w:tc>
      </w:tr>
      <w:tr>
        <w:trPr>
          <w:trHeight w:val="270"/>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2,325</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26,376</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390</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2,325</w:t>
            </w: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26,766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29,091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463</w:t>
            </w:r>
          </w:p>
        </w:tc>
      </w:tr>
      <w:tr>
        <w:trPr>
          <w:trHeight w:val="364"/>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4,674</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18,350</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313</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4,674</w:t>
            </w: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18,663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23,337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1,758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-10411460</wp:posOffset>
            </wp:positionV>
            <wp:extent cx="7246620"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-10086340</wp:posOffset>
            </wp:positionV>
            <wp:extent cx="724662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-9623425</wp:posOffset>
            </wp:positionV>
            <wp:extent cx="7246620"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-9281160</wp:posOffset>
            </wp:positionV>
            <wp:extent cx="7246620"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-8818245</wp:posOffset>
            </wp:positionV>
            <wp:extent cx="7246620" cy="2914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-8235950</wp:posOffset>
            </wp:positionV>
            <wp:extent cx="7246620"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-7893050</wp:posOffset>
            </wp:positionV>
            <wp:extent cx="7246620"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-7550785</wp:posOffset>
            </wp:positionV>
            <wp:extent cx="7246620" cy="291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-6968490</wp:posOffset>
            </wp:positionV>
            <wp:extent cx="7246620" cy="291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-6385560</wp:posOffset>
            </wp:positionV>
            <wp:extent cx="7246620" cy="291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-5803265</wp:posOffset>
            </wp:positionV>
            <wp:extent cx="7246620"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-5460365</wp:posOffset>
            </wp:positionV>
            <wp:extent cx="7246620" cy="2914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-4878070</wp:posOffset>
            </wp:positionV>
            <wp:extent cx="7246620" cy="291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-4295775</wp:posOffset>
            </wp:positionV>
            <wp:extent cx="7246620" cy="171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-3952875</wp:posOffset>
            </wp:positionV>
            <wp:extent cx="7246620"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-3610610</wp:posOffset>
            </wp:positionV>
            <wp:extent cx="7246620" cy="291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-3027680</wp:posOffset>
            </wp:positionV>
            <wp:extent cx="7246620"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-2565400</wp:posOffset>
            </wp:positionV>
            <wp:extent cx="7246620" cy="171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-2222500</wp:posOffset>
            </wp:positionV>
            <wp:extent cx="7246620" cy="1714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-1760220</wp:posOffset>
            </wp:positionV>
            <wp:extent cx="7246620" cy="291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-1177925</wp:posOffset>
            </wp:positionV>
            <wp:extent cx="7246620" cy="291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-715010</wp:posOffset>
            </wp:positionV>
            <wp:extent cx="7246620" cy="1714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-372745</wp:posOffset>
            </wp:positionV>
            <wp:extent cx="7246620" cy="1714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89535</wp:posOffset>
            </wp:positionV>
            <wp:extent cx="7246620" cy="139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13970"/>
                    </a:xfrm>
                    <a:prstGeom prst="rect">
                      <a:avLst/>
                    </a:prstGeom>
                    <a:noFill/>
                  </pic:spPr>
                </pic:pic>
              </a:graphicData>
            </a:graphic>
          </wp:anchor>
        </w:drawing>
      </w:r>
    </w:p>
    <w:p>
      <w:pPr>
        <w:sectPr>
          <w:pgSz w:w="11900" w:h="16845" w:orient="portrait"/>
          <w:cols w:equalWidth="0" w:num="2">
            <w:col w:w="3600" w:space="360"/>
            <w:col w:w="7040"/>
          </w:cols>
          <w:pgMar w:left="360" w:top="130" w:right="539" w:bottom="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2"/>
        </w:trPr>
        <w:tc>
          <w:tcPr>
            <w:tcW w:w="800" w:type="dxa"/>
            <w:vAlign w:val="bottom"/>
          </w:tcPr>
          <w:p>
            <w:pPr>
              <w:jc w:val="center"/>
              <w:spacing w:after="0"/>
              <w:rPr>
                <w:sz w:val="20"/>
                <w:szCs w:val="20"/>
                <w:color w:val="auto"/>
              </w:rPr>
            </w:pPr>
            <w:r>
              <w:rPr>
                <w:rFonts w:ascii="Arial" w:cs="Arial" w:eastAsia="Arial" w:hAnsi="Arial"/>
                <w:sz w:val="16"/>
                <w:szCs w:val="16"/>
                <w:color w:val="auto"/>
                <w:w w:val="89"/>
              </w:rPr>
              <w:t>7/14/2016</w:t>
            </w:r>
          </w:p>
        </w:tc>
        <w:tc>
          <w:tcPr>
            <w:tcW w:w="1640" w:type="dxa"/>
            <w:vAlign w:val="bottom"/>
          </w:tcPr>
          <w:p>
            <w:pPr>
              <w:ind w:left="60"/>
              <w:spacing w:after="0"/>
              <w:rPr>
                <w:sz w:val="20"/>
                <w:szCs w:val="20"/>
                <w:color w:val="auto"/>
              </w:rPr>
            </w:pPr>
            <w:r>
              <w:rPr>
                <w:rFonts w:ascii="Arial" w:cs="Arial" w:eastAsia="Arial" w:hAnsi="Arial"/>
                <w:sz w:val="16"/>
                <w:szCs w:val="16"/>
                <w:color w:val="auto"/>
              </w:rPr>
              <w:t>Honolulu /</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1640" w:type="dxa"/>
            <w:vAlign w:val="bottom"/>
          </w:tcPr>
          <w:p>
            <w:pPr>
              <w:ind w:left="60"/>
              <w:spacing w:after="0"/>
              <w:rPr>
                <w:sz w:val="20"/>
                <w:szCs w:val="20"/>
                <w:color w:val="auto"/>
              </w:rPr>
            </w:pPr>
            <w:r>
              <w:rPr>
                <w:rFonts w:ascii="Arial" w:cs="Arial" w:eastAsia="Arial" w:hAnsi="Arial"/>
                <w:sz w:val="16"/>
                <w:szCs w:val="16"/>
                <w:color w:val="auto"/>
              </w:rPr>
              <w:t>Kalanianaole Hwy</w:t>
            </w: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6/25/2007</w:t>
            </w:r>
          </w:p>
        </w:tc>
        <w:tc>
          <w:tcPr>
            <w:tcW w:w="1640" w:type="dxa"/>
            <w:vAlign w:val="bottom"/>
          </w:tcPr>
          <w:p>
            <w:pPr>
              <w:ind w:left="60"/>
              <w:spacing w:after="0"/>
              <w:rPr>
                <w:sz w:val="20"/>
                <w:szCs w:val="20"/>
                <w:color w:val="auto"/>
              </w:rPr>
            </w:pPr>
            <w:r>
              <w:rPr>
                <w:rFonts w:ascii="Arial" w:cs="Arial" w:eastAsia="Arial" w:hAnsi="Arial"/>
                <w:sz w:val="16"/>
                <w:szCs w:val="16"/>
                <w:color w:val="auto"/>
              </w:rPr>
              <w:t>Kahului</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6/25/2007</w:t>
            </w:r>
          </w:p>
        </w:tc>
        <w:tc>
          <w:tcPr>
            <w:tcW w:w="1640" w:type="dxa"/>
            <w:vAlign w:val="bottom"/>
          </w:tcPr>
          <w:p>
            <w:pPr>
              <w:ind w:left="60"/>
              <w:spacing w:after="0"/>
              <w:rPr>
                <w:sz w:val="20"/>
                <w:szCs w:val="20"/>
                <w:color w:val="auto"/>
              </w:rPr>
            </w:pPr>
            <w:r>
              <w:rPr>
                <w:rFonts w:ascii="Arial" w:cs="Arial" w:eastAsia="Arial" w:hAnsi="Arial"/>
                <w:sz w:val="16"/>
                <w:szCs w:val="16"/>
                <w:color w:val="auto"/>
              </w:rPr>
              <w:t>Kapolei / Farrington</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Hwy 1</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12/6/2013</w:t>
            </w:r>
          </w:p>
        </w:tc>
        <w:tc>
          <w:tcPr>
            <w:tcW w:w="1640" w:type="dxa"/>
            <w:vAlign w:val="bottom"/>
          </w:tcPr>
          <w:p>
            <w:pPr>
              <w:ind w:left="60"/>
              <w:spacing w:after="0"/>
              <w:rPr>
                <w:sz w:val="20"/>
                <w:szCs w:val="20"/>
                <w:color w:val="auto"/>
              </w:rPr>
            </w:pPr>
            <w:r>
              <w:rPr>
                <w:rFonts w:ascii="Arial" w:cs="Arial" w:eastAsia="Arial" w:hAnsi="Arial"/>
                <w:sz w:val="16"/>
                <w:szCs w:val="16"/>
                <w:color w:val="auto"/>
              </w:rPr>
              <w:t>Kapolei / Farrington</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Hwy 2</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11/18/2016</w:t>
            </w:r>
          </w:p>
        </w:tc>
        <w:tc>
          <w:tcPr>
            <w:tcW w:w="1640" w:type="dxa"/>
            <w:vAlign w:val="bottom"/>
          </w:tcPr>
          <w:p>
            <w:pPr>
              <w:ind w:left="60"/>
              <w:spacing w:after="0"/>
              <w:rPr>
                <w:sz w:val="20"/>
                <w:szCs w:val="20"/>
                <w:color w:val="auto"/>
              </w:rPr>
            </w:pPr>
            <w:r>
              <w:rPr>
                <w:rFonts w:ascii="Arial" w:cs="Arial" w:eastAsia="Arial" w:hAnsi="Arial"/>
                <w:sz w:val="16"/>
                <w:szCs w:val="16"/>
                <w:color w:val="auto"/>
              </w:rPr>
              <w:t>Lihue</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5/3/2013</w:t>
            </w:r>
          </w:p>
        </w:tc>
        <w:tc>
          <w:tcPr>
            <w:tcW w:w="1640" w:type="dxa"/>
            <w:vAlign w:val="bottom"/>
          </w:tcPr>
          <w:p>
            <w:pPr>
              <w:ind w:left="60"/>
              <w:spacing w:after="0"/>
              <w:rPr>
                <w:sz w:val="20"/>
                <w:szCs w:val="20"/>
                <w:color w:val="auto"/>
              </w:rPr>
            </w:pPr>
            <w:r>
              <w:rPr>
                <w:rFonts w:ascii="Arial" w:cs="Arial" w:eastAsia="Arial" w:hAnsi="Arial"/>
                <w:sz w:val="16"/>
                <w:szCs w:val="16"/>
                <w:color w:val="auto"/>
              </w:rPr>
              <w:t>Wahiawa</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11/4/2013</w:t>
            </w:r>
          </w:p>
        </w:tc>
        <w:tc>
          <w:tcPr>
            <w:tcW w:w="1640" w:type="dxa"/>
            <w:vAlign w:val="bottom"/>
          </w:tcPr>
          <w:p>
            <w:pPr>
              <w:ind w:left="60"/>
              <w:spacing w:after="0"/>
              <w:rPr>
                <w:sz w:val="20"/>
                <w:szCs w:val="20"/>
                <w:color w:val="auto"/>
              </w:rPr>
            </w:pPr>
            <w:r>
              <w:rPr>
                <w:rFonts w:ascii="Arial" w:cs="Arial" w:eastAsia="Arial" w:hAnsi="Arial"/>
                <w:sz w:val="16"/>
                <w:szCs w:val="16"/>
                <w:color w:val="auto"/>
              </w:rPr>
              <w:t>Bedford Park</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6/8/2015</w:t>
            </w:r>
          </w:p>
        </w:tc>
        <w:tc>
          <w:tcPr>
            <w:tcW w:w="1640" w:type="dxa"/>
            <w:vAlign w:val="bottom"/>
          </w:tcPr>
          <w:p>
            <w:pPr>
              <w:ind w:left="60"/>
              <w:spacing w:after="0"/>
              <w:rPr>
                <w:sz w:val="20"/>
                <w:szCs w:val="20"/>
                <w:color w:val="auto"/>
              </w:rPr>
            </w:pPr>
            <w:r>
              <w:rPr>
                <w:rFonts w:ascii="Arial" w:cs="Arial" w:eastAsia="Arial" w:hAnsi="Arial"/>
                <w:sz w:val="16"/>
                <w:szCs w:val="16"/>
                <w:color w:val="auto"/>
              </w:rPr>
              <w:t>Berwyn</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11/4/2013</w:t>
            </w:r>
          </w:p>
        </w:tc>
        <w:tc>
          <w:tcPr>
            <w:tcW w:w="1640" w:type="dxa"/>
            <w:vAlign w:val="bottom"/>
          </w:tcPr>
          <w:p>
            <w:pPr>
              <w:ind w:left="60"/>
              <w:spacing w:after="0"/>
              <w:rPr>
                <w:sz w:val="20"/>
                <w:szCs w:val="20"/>
                <w:color w:val="auto"/>
              </w:rPr>
            </w:pPr>
            <w:r>
              <w:rPr>
                <w:rFonts w:ascii="Arial" w:cs="Arial" w:eastAsia="Arial" w:hAnsi="Arial"/>
                <w:sz w:val="16"/>
                <w:szCs w:val="16"/>
                <w:color w:val="auto"/>
              </w:rPr>
              <w:t>Chicago / 60th St</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11/4/2013</w:t>
            </w:r>
          </w:p>
        </w:tc>
        <w:tc>
          <w:tcPr>
            <w:tcW w:w="1640" w:type="dxa"/>
            <w:vAlign w:val="bottom"/>
          </w:tcPr>
          <w:p>
            <w:pPr>
              <w:ind w:left="60"/>
              <w:spacing w:after="0"/>
              <w:rPr>
                <w:sz w:val="20"/>
                <w:szCs w:val="20"/>
                <w:color w:val="auto"/>
              </w:rPr>
            </w:pPr>
            <w:r>
              <w:rPr>
                <w:rFonts w:ascii="Arial" w:cs="Arial" w:eastAsia="Arial" w:hAnsi="Arial"/>
                <w:sz w:val="16"/>
                <w:szCs w:val="16"/>
                <w:color w:val="auto"/>
              </w:rPr>
              <w:t>Chicago / 87th St</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640" w:type="dxa"/>
            <w:vAlign w:val="bottom"/>
          </w:tcPr>
          <w:p>
            <w:pPr>
              <w:ind w:left="60"/>
              <w:spacing w:after="0"/>
              <w:rPr>
                <w:sz w:val="20"/>
                <w:szCs w:val="20"/>
                <w:color w:val="auto"/>
              </w:rPr>
            </w:pPr>
            <w:r>
              <w:rPr>
                <w:rFonts w:ascii="Arial" w:cs="Arial" w:eastAsia="Arial" w:hAnsi="Arial"/>
                <w:sz w:val="16"/>
                <w:szCs w:val="16"/>
                <w:color w:val="auto"/>
              </w:rPr>
              <w:t>Chicago / 95th St</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2/13/2013</w:t>
            </w:r>
          </w:p>
        </w:tc>
        <w:tc>
          <w:tcPr>
            <w:tcW w:w="1640" w:type="dxa"/>
            <w:vAlign w:val="bottom"/>
          </w:tcPr>
          <w:p>
            <w:pPr>
              <w:ind w:left="60"/>
              <w:spacing w:after="0"/>
              <w:rPr>
                <w:sz w:val="20"/>
                <w:szCs w:val="20"/>
                <w:color w:val="auto"/>
              </w:rPr>
            </w:pPr>
            <w:r>
              <w:rPr>
                <w:rFonts w:ascii="Arial" w:cs="Arial" w:eastAsia="Arial" w:hAnsi="Arial"/>
                <w:sz w:val="16"/>
                <w:szCs w:val="16"/>
                <w:color w:val="auto"/>
              </w:rPr>
              <w:t>Chicago / Montrose</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11/4/2013</w:t>
            </w:r>
          </w:p>
        </w:tc>
        <w:tc>
          <w:tcPr>
            <w:tcW w:w="1640" w:type="dxa"/>
            <w:vAlign w:val="bottom"/>
          </w:tcPr>
          <w:p>
            <w:pPr>
              <w:ind w:left="60"/>
              <w:spacing w:after="0"/>
              <w:rPr>
                <w:sz w:val="20"/>
                <w:szCs w:val="20"/>
                <w:color w:val="auto"/>
              </w:rPr>
            </w:pPr>
            <w:r>
              <w:rPr>
                <w:rFonts w:ascii="Arial" w:cs="Arial" w:eastAsia="Arial" w:hAnsi="Arial"/>
                <w:sz w:val="16"/>
                <w:szCs w:val="16"/>
                <w:color w:val="auto"/>
              </w:rPr>
              <w:t>Chicago / Pulaski Rd</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7/1/2005</w:t>
            </w:r>
          </w:p>
        </w:tc>
        <w:tc>
          <w:tcPr>
            <w:tcW w:w="1640" w:type="dxa"/>
            <w:vAlign w:val="bottom"/>
          </w:tcPr>
          <w:p>
            <w:pPr>
              <w:ind w:left="60"/>
              <w:spacing w:after="0"/>
              <w:rPr>
                <w:sz w:val="20"/>
                <w:szCs w:val="20"/>
                <w:color w:val="auto"/>
              </w:rPr>
            </w:pPr>
            <w:r>
              <w:rPr>
                <w:rFonts w:ascii="Arial" w:cs="Arial" w:eastAsia="Arial" w:hAnsi="Arial"/>
                <w:sz w:val="16"/>
                <w:szCs w:val="16"/>
                <w:color w:val="auto"/>
              </w:rPr>
              <w:t>Chicago / South</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Wabash</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11/10/2004</w:t>
            </w:r>
          </w:p>
        </w:tc>
        <w:tc>
          <w:tcPr>
            <w:tcW w:w="1640" w:type="dxa"/>
            <w:vAlign w:val="bottom"/>
          </w:tcPr>
          <w:p>
            <w:pPr>
              <w:ind w:left="60"/>
              <w:spacing w:after="0"/>
              <w:rPr>
                <w:sz w:val="20"/>
                <w:szCs w:val="20"/>
                <w:color w:val="auto"/>
              </w:rPr>
            </w:pPr>
            <w:r>
              <w:rPr>
                <w:rFonts w:ascii="Arial" w:cs="Arial" w:eastAsia="Arial" w:hAnsi="Arial"/>
                <w:sz w:val="16"/>
                <w:szCs w:val="16"/>
                <w:color w:val="auto"/>
                <w:w w:val="97"/>
              </w:rPr>
              <w:t>Chicago / Stony Island</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7/1/2005</w:t>
            </w:r>
          </w:p>
        </w:tc>
        <w:tc>
          <w:tcPr>
            <w:tcW w:w="1640" w:type="dxa"/>
            <w:vAlign w:val="bottom"/>
          </w:tcPr>
          <w:p>
            <w:pPr>
              <w:ind w:left="60"/>
              <w:spacing w:after="0"/>
              <w:rPr>
                <w:sz w:val="20"/>
                <w:szCs w:val="20"/>
                <w:color w:val="auto"/>
              </w:rPr>
            </w:pPr>
            <w:r>
              <w:rPr>
                <w:rFonts w:ascii="Arial" w:cs="Arial" w:eastAsia="Arial" w:hAnsi="Arial"/>
                <w:sz w:val="16"/>
                <w:szCs w:val="16"/>
                <w:color w:val="auto"/>
                <w:w w:val="91"/>
              </w:rPr>
              <w:t>Chicago / West Addison</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2/25/2016</w:t>
            </w:r>
          </w:p>
        </w:tc>
        <w:tc>
          <w:tcPr>
            <w:tcW w:w="1640" w:type="dxa"/>
            <w:vAlign w:val="bottom"/>
          </w:tcPr>
          <w:p>
            <w:pPr>
              <w:ind w:left="60"/>
              <w:spacing w:after="0"/>
              <w:rPr>
                <w:sz w:val="20"/>
                <w:szCs w:val="20"/>
                <w:color w:val="auto"/>
              </w:rPr>
            </w:pPr>
            <w:r>
              <w:rPr>
                <w:rFonts w:ascii="Arial" w:cs="Arial" w:eastAsia="Arial" w:hAnsi="Arial"/>
                <w:sz w:val="16"/>
                <w:szCs w:val="16"/>
                <w:color w:val="auto"/>
                <w:w w:val="97"/>
              </w:rPr>
              <w:t>Chicago / West Devon</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Ave</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7/1/2005</w:t>
            </w:r>
          </w:p>
        </w:tc>
        <w:tc>
          <w:tcPr>
            <w:tcW w:w="1640" w:type="dxa"/>
            <w:vAlign w:val="bottom"/>
          </w:tcPr>
          <w:p>
            <w:pPr>
              <w:ind w:left="60"/>
              <w:spacing w:after="0"/>
              <w:rPr>
                <w:sz w:val="20"/>
                <w:szCs w:val="20"/>
                <w:color w:val="auto"/>
              </w:rPr>
            </w:pPr>
            <w:r>
              <w:rPr>
                <w:rFonts w:ascii="Arial" w:cs="Arial" w:eastAsia="Arial" w:hAnsi="Arial"/>
                <w:sz w:val="16"/>
                <w:szCs w:val="16"/>
                <w:color w:val="auto"/>
              </w:rPr>
              <w:t>Chicago / West</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Harrison 1</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6/10/2016</w:t>
            </w:r>
          </w:p>
        </w:tc>
        <w:tc>
          <w:tcPr>
            <w:tcW w:w="1640" w:type="dxa"/>
            <w:vAlign w:val="bottom"/>
          </w:tcPr>
          <w:p>
            <w:pPr>
              <w:ind w:left="60"/>
              <w:spacing w:after="0"/>
              <w:rPr>
                <w:sz w:val="20"/>
                <w:szCs w:val="20"/>
                <w:color w:val="auto"/>
              </w:rPr>
            </w:pPr>
            <w:r>
              <w:rPr>
                <w:rFonts w:ascii="Arial" w:cs="Arial" w:eastAsia="Arial" w:hAnsi="Arial"/>
                <w:sz w:val="16"/>
                <w:szCs w:val="16"/>
                <w:color w:val="auto"/>
              </w:rPr>
              <w:t>Chicago / West</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Harrison 2</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640" w:type="dxa"/>
            <w:vAlign w:val="bottom"/>
          </w:tcPr>
          <w:p>
            <w:pPr>
              <w:ind w:left="60"/>
              <w:spacing w:after="0"/>
              <w:rPr>
                <w:sz w:val="20"/>
                <w:szCs w:val="20"/>
                <w:color w:val="auto"/>
              </w:rPr>
            </w:pPr>
            <w:r>
              <w:rPr>
                <w:rFonts w:ascii="Arial" w:cs="Arial" w:eastAsia="Arial" w:hAnsi="Arial"/>
                <w:sz w:val="16"/>
                <w:szCs w:val="16"/>
                <w:color w:val="auto"/>
                <w:w w:val="95"/>
              </w:rPr>
              <w:t>Chicago / Western Ave</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640" w:type="dxa"/>
            <w:vAlign w:val="bottom"/>
          </w:tcPr>
          <w:p>
            <w:pPr>
              <w:ind w:left="60"/>
              <w:spacing w:after="0"/>
              <w:rPr>
                <w:sz w:val="20"/>
                <w:szCs w:val="20"/>
                <w:color w:val="auto"/>
              </w:rPr>
            </w:pPr>
            <w:r>
              <w:rPr>
                <w:rFonts w:ascii="Arial" w:cs="Arial" w:eastAsia="Arial" w:hAnsi="Arial"/>
                <w:sz w:val="16"/>
                <w:szCs w:val="16"/>
                <w:color w:val="auto"/>
              </w:rPr>
              <w:t>Cicero / Ogden Ave</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640" w:type="dxa"/>
            <w:vAlign w:val="bottom"/>
          </w:tcPr>
          <w:p>
            <w:pPr>
              <w:ind w:left="60"/>
              <w:spacing w:after="0"/>
              <w:rPr>
                <w:sz w:val="20"/>
                <w:szCs w:val="20"/>
                <w:color w:val="auto"/>
              </w:rPr>
            </w:pPr>
            <w:r>
              <w:rPr>
                <w:rFonts w:ascii="Arial" w:cs="Arial" w:eastAsia="Arial" w:hAnsi="Arial"/>
                <w:sz w:val="16"/>
                <w:szCs w:val="16"/>
                <w:color w:val="auto"/>
              </w:rPr>
              <w:t>Cicero / Roosevelt Rd</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6/10/2016</w:t>
            </w:r>
          </w:p>
        </w:tc>
        <w:tc>
          <w:tcPr>
            <w:tcW w:w="1640" w:type="dxa"/>
            <w:vAlign w:val="bottom"/>
          </w:tcPr>
          <w:p>
            <w:pPr>
              <w:ind w:left="60"/>
              <w:spacing w:after="0"/>
              <w:rPr>
                <w:sz w:val="20"/>
                <w:szCs w:val="20"/>
                <w:color w:val="auto"/>
              </w:rPr>
            </w:pPr>
            <w:r>
              <w:rPr>
                <w:rFonts w:ascii="Arial" w:cs="Arial" w:eastAsia="Arial" w:hAnsi="Arial"/>
                <w:sz w:val="16"/>
                <w:szCs w:val="16"/>
                <w:color w:val="auto"/>
              </w:rPr>
              <w:t>Country Club Hills</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7/15/2003</w:t>
            </w:r>
          </w:p>
        </w:tc>
        <w:tc>
          <w:tcPr>
            <w:tcW w:w="1640" w:type="dxa"/>
            <w:vAlign w:val="bottom"/>
          </w:tcPr>
          <w:p>
            <w:pPr>
              <w:ind w:left="60"/>
              <w:spacing w:after="0"/>
              <w:rPr>
                <w:sz w:val="20"/>
                <w:szCs w:val="20"/>
                <w:color w:val="auto"/>
              </w:rPr>
            </w:pPr>
            <w:r>
              <w:rPr>
                <w:rFonts w:ascii="Arial" w:cs="Arial" w:eastAsia="Arial" w:hAnsi="Arial"/>
                <w:sz w:val="16"/>
                <w:szCs w:val="16"/>
                <w:color w:val="auto"/>
              </w:rPr>
              <w:t>Crest Hill</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11/8/2016</w:t>
            </w:r>
          </w:p>
        </w:tc>
        <w:tc>
          <w:tcPr>
            <w:tcW w:w="1640" w:type="dxa"/>
            <w:vAlign w:val="bottom"/>
          </w:tcPr>
          <w:p>
            <w:pPr>
              <w:ind w:left="60"/>
              <w:spacing w:after="0"/>
              <w:rPr>
                <w:sz w:val="20"/>
                <w:szCs w:val="20"/>
                <w:color w:val="auto"/>
              </w:rPr>
            </w:pPr>
            <w:r>
              <w:rPr>
                <w:rFonts w:ascii="Arial" w:cs="Arial" w:eastAsia="Arial" w:hAnsi="Arial"/>
                <w:sz w:val="16"/>
                <w:szCs w:val="16"/>
                <w:color w:val="auto"/>
              </w:rPr>
              <w:t>Des Plaines</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10/1/2007</w:t>
            </w:r>
          </w:p>
        </w:tc>
        <w:tc>
          <w:tcPr>
            <w:tcW w:w="1640" w:type="dxa"/>
            <w:vAlign w:val="bottom"/>
          </w:tcPr>
          <w:p>
            <w:pPr>
              <w:ind w:left="60"/>
              <w:spacing w:after="0"/>
              <w:rPr>
                <w:sz w:val="20"/>
                <w:szCs w:val="20"/>
                <w:color w:val="auto"/>
              </w:rPr>
            </w:pPr>
            <w:r>
              <w:rPr>
                <w:rFonts w:ascii="Arial" w:cs="Arial" w:eastAsia="Arial" w:hAnsi="Arial"/>
                <w:sz w:val="16"/>
                <w:szCs w:val="16"/>
                <w:color w:val="auto"/>
              </w:rPr>
              <w:t>Gurnee</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6/10/2016</w:t>
            </w:r>
          </w:p>
        </w:tc>
        <w:tc>
          <w:tcPr>
            <w:tcW w:w="1640" w:type="dxa"/>
            <w:vAlign w:val="bottom"/>
          </w:tcPr>
          <w:p>
            <w:pPr>
              <w:ind w:left="60"/>
              <w:spacing w:after="0"/>
              <w:rPr>
                <w:sz w:val="20"/>
                <w:szCs w:val="20"/>
                <w:color w:val="auto"/>
              </w:rPr>
            </w:pPr>
            <w:r>
              <w:rPr>
                <w:rFonts w:ascii="Arial" w:cs="Arial" w:eastAsia="Arial" w:hAnsi="Arial"/>
                <w:sz w:val="16"/>
                <w:szCs w:val="16"/>
                <w:color w:val="auto"/>
              </w:rPr>
              <w:t>Harwood Heights</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12/1/2011</w:t>
            </w:r>
          </w:p>
        </w:tc>
        <w:tc>
          <w:tcPr>
            <w:tcW w:w="1640" w:type="dxa"/>
            <w:vAlign w:val="bottom"/>
          </w:tcPr>
          <w:p>
            <w:pPr>
              <w:ind w:left="60"/>
              <w:spacing w:after="0"/>
              <w:rPr>
                <w:sz w:val="20"/>
                <w:szCs w:val="20"/>
                <w:color w:val="auto"/>
              </w:rPr>
            </w:pPr>
            <w:r>
              <w:rPr>
                <w:rFonts w:ascii="Arial" w:cs="Arial" w:eastAsia="Arial" w:hAnsi="Arial"/>
                <w:sz w:val="16"/>
                <w:szCs w:val="16"/>
                <w:color w:val="auto"/>
              </w:rPr>
              <w:t>Highland Park</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11/4/2013</w:t>
            </w:r>
          </w:p>
        </w:tc>
        <w:tc>
          <w:tcPr>
            <w:tcW w:w="1640" w:type="dxa"/>
            <w:vAlign w:val="bottom"/>
          </w:tcPr>
          <w:p>
            <w:pPr>
              <w:ind w:left="60"/>
              <w:spacing w:after="0"/>
              <w:rPr>
                <w:sz w:val="20"/>
                <w:szCs w:val="20"/>
                <w:color w:val="auto"/>
              </w:rPr>
            </w:pPr>
            <w:r>
              <w:rPr>
                <w:rFonts w:ascii="Arial" w:cs="Arial" w:eastAsia="Arial" w:hAnsi="Arial"/>
                <w:sz w:val="16"/>
                <w:szCs w:val="16"/>
                <w:color w:val="auto"/>
              </w:rPr>
              <w:t>Lincolnshire</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12/1/2008</w:t>
            </w:r>
          </w:p>
        </w:tc>
        <w:tc>
          <w:tcPr>
            <w:tcW w:w="1640" w:type="dxa"/>
            <w:vAlign w:val="bottom"/>
          </w:tcPr>
          <w:p>
            <w:pPr>
              <w:ind w:left="60"/>
              <w:spacing w:after="0"/>
              <w:rPr>
                <w:sz w:val="20"/>
                <w:szCs w:val="20"/>
                <w:color w:val="auto"/>
              </w:rPr>
            </w:pPr>
            <w:r>
              <w:rPr>
                <w:rFonts w:ascii="Arial" w:cs="Arial" w:eastAsia="Arial" w:hAnsi="Arial"/>
                <w:sz w:val="16"/>
                <w:szCs w:val="16"/>
                <w:color w:val="auto"/>
              </w:rPr>
              <w:t>Naperville / Ogden</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Avenue</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12/1/2011</w:t>
            </w:r>
          </w:p>
        </w:tc>
        <w:tc>
          <w:tcPr>
            <w:tcW w:w="1640" w:type="dxa"/>
            <w:vAlign w:val="bottom"/>
          </w:tcPr>
          <w:p>
            <w:pPr>
              <w:ind w:left="60"/>
              <w:spacing w:after="0"/>
              <w:rPr>
                <w:sz w:val="20"/>
                <w:szCs w:val="20"/>
                <w:color w:val="auto"/>
              </w:rPr>
            </w:pPr>
            <w:r>
              <w:rPr>
                <w:rFonts w:ascii="Arial" w:cs="Arial" w:eastAsia="Arial" w:hAnsi="Arial"/>
                <w:sz w:val="16"/>
                <w:szCs w:val="16"/>
                <w:color w:val="auto"/>
                <w:w w:val="92"/>
              </w:rPr>
              <w:t>Naperville / State Route</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5/3/2008</w:t>
            </w:r>
          </w:p>
        </w:tc>
        <w:tc>
          <w:tcPr>
            <w:tcW w:w="1640" w:type="dxa"/>
            <w:vAlign w:val="bottom"/>
          </w:tcPr>
          <w:p>
            <w:pPr>
              <w:ind w:left="60"/>
              <w:spacing w:after="0"/>
              <w:rPr>
                <w:sz w:val="20"/>
                <w:szCs w:val="20"/>
                <w:color w:val="auto"/>
              </w:rPr>
            </w:pPr>
            <w:r>
              <w:rPr>
                <w:rFonts w:ascii="Arial" w:cs="Arial" w:eastAsia="Arial" w:hAnsi="Arial"/>
                <w:sz w:val="16"/>
                <w:szCs w:val="16"/>
                <w:color w:val="auto"/>
              </w:rPr>
              <w:t>North Aurora</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6/10/2016</w:t>
            </w:r>
          </w:p>
        </w:tc>
        <w:tc>
          <w:tcPr>
            <w:tcW w:w="1640" w:type="dxa"/>
            <w:vAlign w:val="bottom"/>
          </w:tcPr>
          <w:p>
            <w:pPr>
              <w:ind w:left="60"/>
              <w:spacing w:after="0"/>
              <w:rPr>
                <w:sz w:val="20"/>
                <w:szCs w:val="20"/>
                <w:color w:val="auto"/>
              </w:rPr>
            </w:pPr>
            <w:r>
              <w:rPr>
                <w:rFonts w:ascii="Arial" w:cs="Arial" w:eastAsia="Arial" w:hAnsi="Arial"/>
                <w:sz w:val="16"/>
                <w:szCs w:val="16"/>
                <w:color w:val="auto"/>
              </w:rPr>
              <w:t>Round Lake Beach</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7/2/2012</w:t>
            </w:r>
          </w:p>
        </w:tc>
        <w:tc>
          <w:tcPr>
            <w:tcW w:w="1640" w:type="dxa"/>
            <w:vAlign w:val="bottom"/>
          </w:tcPr>
          <w:p>
            <w:pPr>
              <w:ind w:left="60"/>
              <w:spacing w:after="0"/>
              <w:rPr>
                <w:sz w:val="20"/>
                <w:szCs w:val="20"/>
                <w:color w:val="auto"/>
              </w:rPr>
            </w:pPr>
            <w:r>
              <w:rPr>
                <w:rFonts w:ascii="Arial" w:cs="Arial" w:eastAsia="Arial" w:hAnsi="Arial"/>
                <w:sz w:val="16"/>
                <w:szCs w:val="16"/>
                <w:color w:val="auto"/>
              </w:rPr>
              <w:t>Skokie</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10/15/2002</w:t>
            </w:r>
          </w:p>
        </w:tc>
        <w:tc>
          <w:tcPr>
            <w:tcW w:w="1640" w:type="dxa"/>
            <w:vAlign w:val="bottom"/>
          </w:tcPr>
          <w:p>
            <w:pPr>
              <w:ind w:left="60"/>
              <w:spacing w:after="0"/>
              <w:rPr>
                <w:sz w:val="20"/>
                <w:szCs w:val="20"/>
                <w:color w:val="auto"/>
              </w:rPr>
            </w:pPr>
            <w:r>
              <w:rPr>
                <w:rFonts w:ascii="Arial" w:cs="Arial" w:eastAsia="Arial" w:hAnsi="Arial"/>
                <w:sz w:val="16"/>
                <w:szCs w:val="16"/>
                <w:color w:val="auto"/>
              </w:rPr>
              <w:t>South Holland</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8/1/2008</w:t>
            </w:r>
          </w:p>
        </w:tc>
        <w:tc>
          <w:tcPr>
            <w:tcW w:w="1640" w:type="dxa"/>
            <w:vAlign w:val="bottom"/>
          </w:tcPr>
          <w:p>
            <w:pPr>
              <w:ind w:left="60"/>
              <w:spacing w:after="0"/>
              <w:rPr>
                <w:sz w:val="20"/>
                <w:szCs w:val="20"/>
                <w:color w:val="auto"/>
              </w:rPr>
            </w:pPr>
            <w:r>
              <w:rPr>
                <w:rFonts w:ascii="Arial" w:cs="Arial" w:eastAsia="Arial" w:hAnsi="Arial"/>
                <w:sz w:val="16"/>
                <w:szCs w:val="16"/>
                <w:color w:val="auto"/>
              </w:rPr>
              <w:t>Tinley Park</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10/10/2008</w:t>
            </w:r>
          </w:p>
        </w:tc>
        <w:tc>
          <w:tcPr>
            <w:tcW w:w="1640" w:type="dxa"/>
            <w:vAlign w:val="bottom"/>
          </w:tcPr>
          <w:p>
            <w:pPr>
              <w:ind w:left="60"/>
              <w:spacing w:after="0"/>
              <w:rPr>
                <w:sz w:val="20"/>
                <w:szCs w:val="20"/>
                <w:color w:val="auto"/>
              </w:rPr>
            </w:pPr>
            <w:r>
              <w:rPr>
                <w:rFonts w:ascii="Arial" w:cs="Arial" w:eastAsia="Arial" w:hAnsi="Arial"/>
                <w:sz w:val="16"/>
                <w:szCs w:val="16"/>
                <w:color w:val="auto"/>
              </w:rPr>
              <w:t>Carmel</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9/16/2016</w:t>
            </w:r>
          </w:p>
        </w:tc>
        <w:tc>
          <w:tcPr>
            <w:tcW w:w="1640" w:type="dxa"/>
            <w:vAlign w:val="bottom"/>
          </w:tcPr>
          <w:p>
            <w:pPr>
              <w:ind w:left="60"/>
              <w:spacing w:after="0"/>
              <w:rPr>
                <w:sz w:val="20"/>
                <w:szCs w:val="20"/>
                <w:color w:val="auto"/>
              </w:rPr>
            </w:pPr>
            <w:r>
              <w:rPr>
                <w:rFonts w:ascii="Arial" w:cs="Arial" w:eastAsia="Arial" w:hAnsi="Arial"/>
                <w:sz w:val="16"/>
                <w:szCs w:val="16"/>
                <w:color w:val="auto"/>
              </w:rPr>
              <w:t>Greenwood</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9/16/2016</w:t>
            </w:r>
          </w:p>
        </w:tc>
        <w:tc>
          <w:tcPr>
            <w:tcW w:w="1640" w:type="dxa"/>
            <w:vAlign w:val="bottom"/>
          </w:tcPr>
          <w:p>
            <w:pPr>
              <w:ind w:left="60"/>
              <w:spacing w:after="0"/>
              <w:rPr>
                <w:sz w:val="20"/>
                <w:szCs w:val="20"/>
                <w:color w:val="auto"/>
              </w:rPr>
            </w:pPr>
            <w:r>
              <w:rPr>
                <w:rFonts w:ascii="Arial" w:cs="Arial" w:eastAsia="Arial" w:hAnsi="Arial"/>
                <w:sz w:val="16"/>
                <w:szCs w:val="16"/>
                <w:color w:val="auto"/>
              </w:rPr>
              <w:t>Indianapolis /</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Crawfordsville Rd</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10/10/2008</w:t>
            </w:r>
          </w:p>
        </w:tc>
        <w:tc>
          <w:tcPr>
            <w:tcW w:w="1640" w:type="dxa"/>
            <w:vAlign w:val="bottom"/>
          </w:tcPr>
          <w:p>
            <w:pPr>
              <w:ind w:left="60"/>
              <w:spacing w:after="0"/>
              <w:rPr>
                <w:sz w:val="20"/>
                <w:szCs w:val="20"/>
                <w:color w:val="auto"/>
              </w:rPr>
            </w:pPr>
            <w:r>
              <w:rPr>
                <w:rFonts w:ascii="Arial" w:cs="Arial" w:eastAsia="Arial" w:hAnsi="Arial"/>
                <w:sz w:val="16"/>
                <w:szCs w:val="16"/>
                <w:color w:val="auto"/>
              </w:rPr>
              <w:t>Indianapolis / Dandy</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1640" w:type="dxa"/>
            <w:vAlign w:val="bottom"/>
          </w:tcPr>
          <w:p>
            <w:pPr>
              <w:ind w:left="60"/>
              <w:spacing w:after="0"/>
              <w:rPr>
                <w:sz w:val="20"/>
                <w:szCs w:val="20"/>
                <w:color w:val="auto"/>
              </w:rPr>
            </w:pPr>
            <w:r>
              <w:rPr>
                <w:rFonts w:ascii="Arial" w:cs="Arial" w:eastAsia="Arial" w:hAnsi="Arial"/>
                <w:sz w:val="16"/>
                <w:szCs w:val="16"/>
                <w:color w:val="auto"/>
                <w:w w:val="95"/>
              </w:rPr>
              <w:t>Trail/Windham Lake Dr</w:t>
            </w:r>
          </w:p>
        </w:tc>
        <w:tc>
          <w:tcPr>
            <w:tcW w:w="0" w:type="dxa"/>
            <w:vAlign w:val="bottom"/>
          </w:tcPr>
          <w:p>
            <w:pPr>
              <w:spacing w:after="0"/>
              <w:rPr>
                <w:sz w:val="1"/>
                <w:szCs w:val="1"/>
                <w:color w:val="auto"/>
              </w:rPr>
            </w:pPr>
          </w:p>
        </w:tc>
      </w:tr>
      <w:tr>
        <w:trPr>
          <w:trHeight w:val="206"/>
        </w:trPr>
        <w:tc>
          <w:tcPr>
            <w:tcW w:w="800" w:type="dxa"/>
            <w:vAlign w:val="bottom"/>
          </w:tcPr>
          <w:p>
            <w:pPr>
              <w:jc w:val="center"/>
              <w:spacing w:after="0"/>
              <w:rPr>
                <w:sz w:val="20"/>
                <w:szCs w:val="20"/>
                <w:color w:val="auto"/>
              </w:rPr>
            </w:pPr>
            <w:r>
              <w:rPr>
                <w:rFonts w:ascii="Arial" w:cs="Arial" w:eastAsia="Arial" w:hAnsi="Arial"/>
                <w:sz w:val="16"/>
                <w:szCs w:val="16"/>
                <w:color w:val="auto"/>
                <w:w w:val="89"/>
              </w:rPr>
              <w:t>8/31/2007</w:t>
            </w:r>
          </w:p>
        </w:tc>
        <w:tc>
          <w:tcPr>
            <w:tcW w:w="1640" w:type="dxa"/>
            <w:vAlign w:val="bottom"/>
          </w:tcPr>
          <w:p>
            <w:pPr>
              <w:ind w:left="60"/>
              <w:spacing w:after="0"/>
              <w:rPr>
                <w:sz w:val="20"/>
                <w:szCs w:val="20"/>
                <w:color w:val="auto"/>
              </w:rPr>
            </w:pPr>
            <w:r>
              <w:rPr>
                <w:rFonts w:ascii="Arial" w:cs="Arial" w:eastAsia="Arial" w:hAnsi="Arial"/>
                <w:sz w:val="16"/>
                <w:szCs w:val="16"/>
                <w:color w:val="auto"/>
                <w:w w:val="94"/>
              </w:rPr>
              <w:t>Indianapolis / E 65th St</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11/30/2012</w:t>
            </w:r>
          </w:p>
        </w:tc>
        <w:tc>
          <w:tcPr>
            <w:tcW w:w="1640" w:type="dxa"/>
            <w:vAlign w:val="bottom"/>
          </w:tcPr>
          <w:p>
            <w:pPr>
              <w:ind w:left="60"/>
              <w:spacing w:after="0"/>
              <w:rPr>
                <w:sz w:val="20"/>
                <w:szCs w:val="20"/>
                <w:color w:val="auto"/>
              </w:rPr>
            </w:pPr>
            <w:r>
              <w:rPr>
                <w:rFonts w:ascii="Arial" w:cs="Arial" w:eastAsia="Arial" w:hAnsi="Arial"/>
                <w:sz w:val="16"/>
                <w:szCs w:val="16"/>
                <w:color w:val="auto"/>
                <w:w w:val="94"/>
              </w:rPr>
              <w:t>Indianapolis / E 86th St</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9/16/2016</w:t>
            </w:r>
          </w:p>
        </w:tc>
        <w:tc>
          <w:tcPr>
            <w:tcW w:w="1640" w:type="dxa"/>
            <w:vAlign w:val="bottom"/>
          </w:tcPr>
          <w:p>
            <w:pPr>
              <w:ind w:left="60"/>
              <w:spacing w:after="0"/>
              <w:rPr>
                <w:sz w:val="20"/>
                <w:szCs w:val="20"/>
                <w:color w:val="auto"/>
              </w:rPr>
            </w:pPr>
            <w:r>
              <w:rPr>
                <w:rFonts w:ascii="Arial" w:cs="Arial" w:eastAsia="Arial" w:hAnsi="Arial"/>
                <w:sz w:val="16"/>
                <w:szCs w:val="16"/>
                <w:color w:val="auto"/>
                <w:w w:val="92"/>
              </w:rPr>
              <w:t>Indianapolis / E Stop 11</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Rd</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4/22/2016</w:t>
            </w:r>
          </w:p>
        </w:tc>
        <w:tc>
          <w:tcPr>
            <w:tcW w:w="1640" w:type="dxa"/>
            <w:vAlign w:val="bottom"/>
          </w:tcPr>
          <w:p>
            <w:pPr>
              <w:ind w:left="60"/>
              <w:spacing w:after="0"/>
              <w:rPr>
                <w:sz w:val="20"/>
                <w:szCs w:val="20"/>
                <w:color w:val="auto"/>
              </w:rPr>
            </w:pPr>
            <w:r>
              <w:rPr>
                <w:rFonts w:ascii="Arial" w:cs="Arial" w:eastAsia="Arial" w:hAnsi="Arial"/>
                <w:sz w:val="16"/>
                <w:szCs w:val="16"/>
                <w:color w:val="auto"/>
                <w:w w:val="95"/>
              </w:rPr>
              <w:t>Indianapolis / Emerson</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Ave</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9/16/2016</w:t>
            </w:r>
          </w:p>
        </w:tc>
        <w:tc>
          <w:tcPr>
            <w:tcW w:w="1640" w:type="dxa"/>
            <w:vAlign w:val="bottom"/>
          </w:tcPr>
          <w:p>
            <w:pPr>
              <w:ind w:left="60"/>
              <w:spacing w:after="0"/>
              <w:rPr>
                <w:sz w:val="20"/>
                <w:szCs w:val="20"/>
                <w:color w:val="auto"/>
              </w:rPr>
            </w:pPr>
            <w:r>
              <w:rPr>
                <w:rFonts w:ascii="Arial" w:cs="Arial" w:eastAsia="Arial" w:hAnsi="Arial"/>
                <w:sz w:val="16"/>
                <w:szCs w:val="16"/>
                <w:color w:val="auto"/>
                <w:w w:val="94"/>
              </w:rPr>
              <w:t>Indianapolis / Fulton Dr</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4/22/2016</w:t>
            </w:r>
          </w:p>
        </w:tc>
        <w:tc>
          <w:tcPr>
            <w:tcW w:w="1640" w:type="dxa"/>
            <w:vAlign w:val="bottom"/>
          </w:tcPr>
          <w:p>
            <w:pPr>
              <w:ind w:left="60"/>
              <w:spacing w:after="0"/>
              <w:rPr>
                <w:sz w:val="20"/>
                <w:szCs w:val="20"/>
                <w:color w:val="auto"/>
              </w:rPr>
            </w:pPr>
            <w:r>
              <w:rPr>
                <w:rFonts w:ascii="Arial" w:cs="Arial" w:eastAsia="Arial" w:hAnsi="Arial"/>
                <w:sz w:val="16"/>
                <w:szCs w:val="16"/>
                <w:color w:val="auto"/>
              </w:rPr>
              <w:t>Indianapolis /</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Georgetown Road</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10/10/2008</w:t>
            </w:r>
          </w:p>
        </w:tc>
        <w:tc>
          <w:tcPr>
            <w:tcW w:w="1640" w:type="dxa"/>
            <w:vAlign w:val="bottom"/>
          </w:tcPr>
          <w:p>
            <w:pPr>
              <w:ind w:left="60"/>
              <w:spacing w:after="0"/>
              <w:rPr>
                <w:sz w:val="20"/>
                <w:szCs w:val="20"/>
                <w:color w:val="auto"/>
              </w:rPr>
            </w:pPr>
            <w:r>
              <w:rPr>
                <w:rFonts w:ascii="Arial" w:cs="Arial" w:eastAsia="Arial" w:hAnsi="Arial"/>
                <w:sz w:val="16"/>
                <w:szCs w:val="16"/>
                <w:color w:val="auto"/>
                <w:w w:val="92"/>
              </w:rPr>
              <w:t>Indianapolis / Southport</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1640" w:type="dxa"/>
            <w:vAlign w:val="bottom"/>
          </w:tcPr>
          <w:p>
            <w:pPr>
              <w:ind w:left="60"/>
              <w:spacing w:after="0"/>
              <w:rPr>
                <w:sz w:val="20"/>
                <w:szCs w:val="20"/>
                <w:color w:val="auto"/>
              </w:rPr>
            </w:pPr>
            <w:r>
              <w:rPr>
                <w:rFonts w:ascii="Arial" w:cs="Arial" w:eastAsia="Arial" w:hAnsi="Arial"/>
                <w:sz w:val="16"/>
                <w:szCs w:val="16"/>
                <w:color w:val="auto"/>
              </w:rPr>
              <w:t>Rd/Kildeer Dr</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740" w:type="dxa"/>
            <w:vAlign w:val="bottom"/>
            <w:vMerge w:val="restart"/>
          </w:tcPr>
          <w:p>
            <w:pPr>
              <w:jc w:val="right"/>
              <w:ind w:right="19"/>
              <w:spacing w:after="0"/>
              <w:rPr>
                <w:sz w:val="20"/>
                <w:szCs w:val="20"/>
                <w:color w:val="auto"/>
              </w:rPr>
            </w:pPr>
            <w:r>
              <w:rPr>
                <w:rFonts w:ascii="Arial" w:cs="Arial" w:eastAsia="Arial" w:hAnsi="Arial"/>
                <w:sz w:val="16"/>
                <w:szCs w:val="16"/>
                <w:color w:val="auto"/>
                <w:w w:val="87"/>
              </w:rPr>
              <w:t>4/22/2016</w:t>
            </w:r>
          </w:p>
        </w:tc>
        <w:tc>
          <w:tcPr>
            <w:tcW w:w="1580" w:type="dxa"/>
            <w:vAlign w:val="bottom"/>
          </w:tcPr>
          <w:p>
            <w:pPr>
              <w:ind w:left="80"/>
              <w:spacing w:after="0"/>
              <w:rPr>
                <w:sz w:val="20"/>
                <w:szCs w:val="20"/>
                <w:color w:val="auto"/>
              </w:rPr>
            </w:pPr>
            <w:r>
              <w:rPr>
                <w:rFonts w:ascii="Arial" w:cs="Arial" w:eastAsia="Arial" w:hAnsi="Arial"/>
                <w:sz w:val="16"/>
                <w:szCs w:val="16"/>
                <w:color w:val="auto"/>
              </w:rPr>
              <w:t>Indianapolis /</w:t>
            </w:r>
          </w:p>
        </w:tc>
        <w:tc>
          <w:tcPr>
            <w:tcW w:w="0" w:type="dxa"/>
            <w:vAlign w:val="bottom"/>
          </w:tcPr>
          <w:p>
            <w:pPr>
              <w:spacing w:after="0"/>
              <w:rPr>
                <w:sz w:val="1"/>
                <w:szCs w:val="1"/>
                <w:color w:val="auto"/>
              </w:rPr>
            </w:pPr>
          </w:p>
        </w:tc>
      </w:tr>
      <w:tr>
        <w:trPr>
          <w:trHeight w:val="98"/>
        </w:trPr>
        <w:tc>
          <w:tcPr>
            <w:tcW w:w="740" w:type="dxa"/>
            <w:vAlign w:val="bottom"/>
            <w:vMerge w:val="continue"/>
          </w:tcPr>
          <w:p>
            <w:pPr>
              <w:spacing w:after="0"/>
              <w:rPr>
                <w:sz w:val="8"/>
                <w:szCs w:val="8"/>
                <w:color w:val="auto"/>
              </w:rPr>
            </w:pPr>
          </w:p>
        </w:tc>
        <w:tc>
          <w:tcPr>
            <w:tcW w:w="1580" w:type="dxa"/>
            <w:vAlign w:val="bottom"/>
            <w:vMerge w:val="restart"/>
          </w:tcPr>
          <w:p>
            <w:pPr>
              <w:ind w:left="80"/>
              <w:spacing w:after="0"/>
              <w:rPr>
                <w:sz w:val="20"/>
                <w:szCs w:val="20"/>
                <w:color w:val="auto"/>
              </w:rPr>
            </w:pPr>
            <w:r>
              <w:rPr>
                <w:rFonts w:ascii="Arial" w:cs="Arial" w:eastAsia="Arial" w:hAnsi="Arial"/>
                <w:sz w:val="16"/>
                <w:szCs w:val="16"/>
                <w:color w:val="auto"/>
              </w:rPr>
              <w:t>Washington Street</w:t>
            </w:r>
          </w:p>
        </w:tc>
        <w:tc>
          <w:tcPr>
            <w:tcW w:w="0" w:type="dxa"/>
            <w:vAlign w:val="bottom"/>
          </w:tcPr>
          <w:p>
            <w:pPr>
              <w:spacing w:after="0"/>
              <w:rPr>
                <w:sz w:val="1"/>
                <w:szCs w:val="1"/>
                <w:color w:val="auto"/>
              </w:rPr>
            </w:pPr>
          </w:p>
        </w:tc>
      </w:tr>
      <w:tr>
        <w:trPr>
          <w:trHeight w:val="108"/>
        </w:trPr>
        <w:tc>
          <w:tcPr>
            <w:tcW w:w="74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740" w:type="dxa"/>
            <w:vAlign w:val="bottom"/>
            <w:vMerge w:val="restart"/>
          </w:tcPr>
          <w:p>
            <w:pPr>
              <w:jc w:val="right"/>
              <w:ind w:right="19"/>
              <w:spacing w:after="0"/>
              <w:rPr>
                <w:sz w:val="20"/>
                <w:szCs w:val="20"/>
                <w:color w:val="auto"/>
              </w:rPr>
            </w:pPr>
            <w:r>
              <w:rPr>
                <w:rFonts w:ascii="Arial" w:cs="Arial" w:eastAsia="Arial" w:hAnsi="Arial"/>
                <w:sz w:val="16"/>
                <w:szCs w:val="16"/>
                <w:color w:val="auto"/>
                <w:w w:val="87"/>
              </w:rPr>
              <w:t>4/22/2016</w:t>
            </w:r>
          </w:p>
        </w:tc>
        <w:tc>
          <w:tcPr>
            <w:tcW w:w="1580" w:type="dxa"/>
            <w:vAlign w:val="bottom"/>
          </w:tcPr>
          <w:p>
            <w:pPr>
              <w:ind w:left="80"/>
              <w:spacing w:after="0"/>
              <w:rPr>
                <w:sz w:val="20"/>
                <w:szCs w:val="20"/>
                <w:color w:val="auto"/>
              </w:rPr>
            </w:pPr>
            <w:r>
              <w:rPr>
                <w:rFonts w:ascii="Arial" w:cs="Arial" w:eastAsia="Arial" w:hAnsi="Arial"/>
                <w:sz w:val="16"/>
                <w:szCs w:val="16"/>
                <w:color w:val="auto"/>
                <w:w w:val="92"/>
              </w:rPr>
              <w:t>Indianapolis/ Lafayette</w:t>
            </w:r>
          </w:p>
        </w:tc>
        <w:tc>
          <w:tcPr>
            <w:tcW w:w="0" w:type="dxa"/>
            <w:vAlign w:val="bottom"/>
          </w:tcPr>
          <w:p>
            <w:pPr>
              <w:spacing w:after="0"/>
              <w:rPr>
                <w:sz w:val="1"/>
                <w:szCs w:val="1"/>
                <w:color w:val="auto"/>
              </w:rPr>
            </w:pPr>
          </w:p>
        </w:tc>
      </w:tr>
      <w:tr>
        <w:trPr>
          <w:trHeight w:val="98"/>
        </w:trPr>
        <w:tc>
          <w:tcPr>
            <w:tcW w:w="740" w:type="dxa"/>
            <w:vAlign w:val="bottom"/>
            <w:vMerge w:val="continue"/>
          </w:tcPr>
          <w:p>
            <w:pPr>
              <w:spacing w:after="0"/>
              <w:rPr>
                <w:sz w:val="8"/>
                <w:szCs w:val="8"/>
                <w:color w:val="auto"/>
              </w:rPr>
            </w:pPr>
          </w:p>
        </w:tc>
        <w:tc>
          <w:tcPr>
            <w:tcW w:w="1580" w:type="dxa"/>
            <w:vAlign w:val="bottom"/>
            <w:vMerge w:val="restart"/>
          </w:tcPr>
          <w:p>
            <w:pPr>
              <w:ind w:left="80"/>
              <w:spacing w:after="0"/>
              <w:rPr>
                <w:sz w:val="20"/>
                <w:szCs w:val="20"/>
                <w:color w:val="auto"/>
              </w:rPr>
            </w:pPr>
            <w:r>
              <w:rPr>
                <w:rFonts w:ascii="Arial" w:cs="Arial" w:eastAsia="Arial" w:hAnsi="Arial"/>
                <w:sz w:val="16"/>
                <w:szCs w:val="16"/>
                <w:color w:val="auto"/>
              </w:rPr>
              <w:t>Road</w:t>
            </w:r>
          </w:p>
        </w:tc>
        <w:tc>
          <w:tcPr>
            <w:tcW w:w="0" w:type="dxa"/>
            <w:vAlign w:val="bottom"/>
          </w:tcPr>
          <w:p>
            <w:pPr>
              <w:spacing w:after="0"/>
              <w:rPr>
                <w:sz w:val="1"/>
                <w:szCs w:val="1"/>
                <w:color w:val="auto"/>
              </w:rPr>
            </w:pPr>
          </w:p>
        </w:tc>
      </w:tr>
      <w:tr>
        <w:trPr>
          <w:trHeight w:val="108"/>
        </w:trPr>
        <w:tc>
          <w:tcPr>
            <w:tcW w:w="74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20" w:type="dxa"/>
            <w:vAlign w:val="bottom"/>
          </w:tcPr>
          <w:p>
            <w:pPr>
              <w:spacing w:after="0"/>
              <w:rPr>
                <w:sz w:val="20"/>
                <w:szCs w:val="20"/>
                <w:color w:val="auto"/>
              </w:rPr>
            </w:pPr>
            <w:r>
              <w:rPr>
                <w:rFonts w:ascii="Arial" w:cs="Arial" w:eastAsia="Arial" w:hAnsi="Arial"/>
                <w:sz w:val="16"/>
                <w:szCs w:val="16"/>
                <w:color w:val="auto"/>
              </w:rPr>
              <w:t>HI</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99"/>
              </w:rPr>
              <w:t>—</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29,211</w:t>
            </w:r>
          </w:p>
        </w:tc>
        <w:tc>
          <w:tcPr>
            <w:tcW w:w="1020" w:type="dxa"/>
            <w:vAlign w:val="bottom"/>
          </w:tcPr>
          <w:p>
            <w:pPr>
              <w:jc w:val="center"/>
              <w:spacing w:after="0"/>
              <w:rPr>
                <w:sz w:val="20"/>
                <w:szCs w:val="20"/>
                <w:color w:val="auto"/>
              </w:rPr>
            </w:pPr>
            <w:r>
              <w:rPr>
                <w:rFonts w:ascii="Arial" w:cs="Arial" w:eastAsia="Arial" w:hAnsi="Arial"/>
                <w:sz w:val="16"/>
                <w:szCs w:val="16"/>
                <w:color w:val="auto"/>
                <w:w w:val="82"/>
              </w:rPr>
              <w:t>115</w:t>
            </w:r>
          </w:p>
        </w:tc>
        <w:tc>
          <w:tcPr>
            <w:tcW w:w="660" w:type="dxa"/>
            <w:vAlign w:val="bottom"/>
          </w:tcPr>
          <w:p>
            <w:pPr>
              <w:spacing w:after="0"/>
              <w:rPr>
                <w:sz w:val="17"/>
                <w:szCs w:val="17"/>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29,326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29,326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378</w:t>
            </w:r>
          </w:p>
        </w:tc>
      </w:tr>
      <w:tr>
        <w:trPr>
          <w:trHeight w:val="459"/>
        </w:trPr>
        <w:tc>
          <w:tcPr>
            <w:tcW w:w="320" w:type="dxa"/>
            <w:vAlign w:val="bottom"/>
          </w:tcPr>
          <w:p>
            <w:pPr>
              <w:spacing w:after="0"/>
              <w:rPr>
                <w:sz w:val="20"/>
                <w:szCs w:val="20"/>
                <w:color w:val="auto"/>
              </w:rPr>
            </w:pPr>
            <w:r>
              <w:rPr>
                <w:rFonts w:ascii="Arial" w:cs="Arial" w:eastAsia="Arial" w:hAnsi="Arial"/>
                <w:sz w:val="16"/>
                <w:szCs w:val="16"/>
                <w:color w:val="auto"/>
              </w:rPr>
              <w:t>HI</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3,984</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15,044</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1,226</w:t>
            </w:r>
          </w:p>
        </w:tc>
        <w:tc>
          <w:tcPr>
            <w:tcW w:w="66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3,984</w:t>
            </w: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16,270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20,254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4,180</w:t>
            </w:r>
          </w:p>
        </w:tc>
      </w:tr>
      <w:tr>
        <w:trPr>
          <w:trHeight w:val="364"/>
        </w:trPr>
        <w:tc>
          <w:tcPr>
            <w:tcW w:w="320" w:type="dxa"/>
            <w:vAlign w:val="bottom"/>
          </w:tcPr>
          <w:p>
            <w:pPr>
              <w:spacing w:after="0"/>
              <w:rPr>
                <w:sz w:val="20"/>
                <w:szCs w:val="20"/>
                <w:color w:val="auto"/>
              </w:rPr>
            </w:pPr>
            <w:r>
              <w:rPr>
                <w:rFonts w:ascii="Arial" w:cs="Arial" w:eastAsia="Arial" w:hAnsi="Arial"/>
                <w:sz w:val="16"/>
                <w:szCs w:val="16"/>
                <w:color w:val="auto"/>
              </w:rPr>
              <w:t>HI</w:t>
            </w:r>
          </w:p>
        </w:tc>
        <w:tc>
          <w:tcPr>
            <w:tcW w:w="780" w:type="dxa"/>
            <w:vAlign w:val="bottom"/>
          </w:tcPr>
          <w:p>
            <w:pPr>
              <w:jc w:val="center"/>
              <w:spacing w:after="0"/>
              <w:rPr>
                <w:sz w:val="20"/>
                <w:szCs w:val="20"/>
                <w:color w:val="auto"/>
              </w:rPr>
            </w:pPr>
            <w:r>
              <w:rPr>
                <w:rFonts w:ascii="Arial" w:cs="Arial" w:eastAsia="Arial" w:hAnsi="Arial"/>
                <w:sz w:val="16"/>
                <w:szCs w:val="16"/>
                <w:color w:val="auto"/>
                <w:w w:val="94"/>
              </w:rPr>
              <w:t>9,084</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99"/>
              </w:rPr>
              <w:t>—</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24,701</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798</w:t>
            </w:r>
          </w:p>
        </w:tc>
        <w:tc>
          <w:tcPr>
            <w:tcW w:w="66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25,499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25,499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6,370</w:t>
            </w:r>
          </w:p>
        </w:tc>
      </w:tr>
      <w:tr>
        <w:trPr>
          <w:trHeight w:val="459"/>
        </w:trPr>
        <w:tc>
          <w:tcPr>
            <w:tcW w:w="320" w:type="dxa"/>
            <w:vAlign w:val="bottom"/>
          </w:tcPr>
          <w:p>
            <w:pPr>
              <w:spacing w:after="0"/>
              <w:rPr>
                <w:sz w:val="20"/>
                <w:szCs w:val="20"/>
                <w:color w:val="auto"/>
              </w:rPr>
            </w:pPr>
            <w:r>
              <w:rPr>
                <w:rFonts w:ascii="Arial" w:cs="Arial" w:eastAsia="Arial" w:hAnsi="Arial"/>
                <w:sz w:val="16"/>
                <w:szCs w:val="16"/>
                <w:color w:val="auto"/>
              </w:rPr>
              <w:t>HI</w:t>
            </w:r>
          </w:p>
        </w:tc>
        <w:tc>
          <w:tcPr>
            <w:tcW w:w="780" w:type="dxa"/>
            <w:vAlign w:val="bottom"/>
          </w:tcPr>
          <w:p>
            <w:pPr>
              <w:jc w:val="center"/>
              <w:spacing w:after="0"/>
              <w:rPr>
                <w:sz w:val="20"/>
                <w:szCs w:val="20"/>
                <w:color w:val="auto"/>
              </w:rPr>
            </w:pPr>
            <w:r>
              <w:rPr>
                <w:rFonts w:ascii="Arial" w:cs="Arial" w:eastAsia="Arial" w:hAnsi="Arial"/>
                <w:sz w:val="16"/>
                <w:szCs w:val="16"/>
                <w:color w:val="auto"/>
                <w:w w:val="94"/>
              </w:rPr>
              <w:t>7,029</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99"/>
              </w:rPr>
              <w:t>—</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7,776</w:t>
            </w:r>
          </w:p>
        </w:tc>
        <w:tc>
          <w:tcPr>
            <w:tcW w:w="1020" w:type="dxa"/>
            <w:vAlign w:val="bottom"/>
          </w:tcPr>
          <w:p>
            <w:pPr>
              <w:jc w:val="center"/>
              <w:spacing w:after="0"/>
              <w:rPr>
                <w:sz w:val="20"/>
                <w:szCs w:val="20"/>
                <w:color w:val="auto"/>
              </w:rPr>
            </w:pPr>
            <w:r>
              <w:rPr>
                <w:rFonts w:ascii="Arial" w:cs="Arial" w:eastAsia="Arial" w:hAnsi="Arial"/>
                <w:sz w:val="16"/>
                <w:szCs w:val="16"/>
                <w:color w:val="auto"/>
                <w:w w:val="82"/>
              </w:rPr>
              <w:t>116</w:t>
            </w:r>
          </w:p>
        </w:tc>
        <w:tc>
          <w:tcPr>
            <w:tcW w:w="66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7,892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7,892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620</w:t>
            </w:r>
          </w:p>
        </w:tc>
      </w:tr>
      <w:tr>
        <w:trPr>
          <w:trHeight w:val="364"/>
        </w:trPr>
        <w:tc>
          <w:tcPr>
            <w:tcW w:w="320" w:type="dxa"/>
            <w:vAlign w:val="bottom"/>
          </w:tcPr>
          <w:p>
            <w:pPr>
              <w:spacing w:after="0"/>
              <w:rPr>
                <w:sz w:val="20"/>
                <w:szCs w:val="20"/>
                <w:color w:val="auto"/>
              </w:rPr>
            </w:pPr>
            <w:r>
              <w:rPr>
                <w:rFonts w:ascii="Arial" w:cs="Arial" w:eastAsia="Arial" w:hAnsi="Arial"/>
                <w:sz w:val="16"/>
                <w:szCs w:val="16"/>
                <w:color w:val="auto"/>
              </w:rPr>
              <w:t>HI</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2,504</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4,357</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66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2,504</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4,359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6,863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19</w:t>
            </w:r>
          </w:p>
        </w:tc>
      </w:tr>
      <w:tr>
        <w:trPr>
          <w:trHeight w:val="270"/>
        </w:trPr>
        <w:tc>
          <w:tcPr>
            <w:tcW w:w="320" w:type="dxa"/>
            <w:vAlign w:val="bottom"/>
          </w:tcPr>
          <w:p>
            <w:pPr>
              <w:spacing w:after="0"/>
              <w:rPr>
                <w:sz w:val="20"/>
                <w:szCs w:val="20"/>
                <w:color w:val="auto"/>
              </w:rPr>
            </w:pPr>
            <w:r>
              <w:rPr>
                <w:rFonts w:ascii="Arial" w:cs="Arial" w:eastAsia="Arial" w:hAnsi="Arial"/>
                <w:sz w:val="16"/>
                <w:szCs w:val="16"/>
                <w:color w:val="auto"/>
              </w:rPr>
              <w:t>HI</w:t>
            </w:r>
          </w:p>
        </w:tc>
        <w:tc>
          <w:tcPr>
            <w:tcW w:w="780" w:type="dxa"/>
            <w:vAlign w:val="bottom"/>
          </w:tcPr>
          <w:p>
            <w:pPr>
              <w:jc w:val="center"/>
              <w:spacing w:after="0"/>
              <w:rPr>
                <w:sz w:val="20"/>
                <w:szCs w:val="20"/>
                <w:color w:val="auto"/>
              </w:rPr>
            </w:pPr>
            <w:r>
              <w:rPr>
                <w:rFonts w:ascii="Arial" w:cs="Arial" w:eastAsia="Arial" w:hAnsi="Arial"/>
                <w:sz w:val="16"/>
                <w:szCs w:val="16"/>
                <w:color w:val="auto"/>
                <w:w w:val="94"/>
              </w:rPr>
              <w:t>3,504</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1,317</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2,626</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345</w:t>
            </w:r>
          </w:p>
        </w:tc>
        <w:tc>
          <w:tcPr>
            <w:tcW w:w="66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1,317</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2,971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4,288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287</w:t>
            </w:r>
          </w:p>
        </w:tc>
      </w:tr>
      <w:tr>
        <w:trPr>
          <w:trHeight w:val="270"/>
        </w:trPr>
        <w:tc>
          <w:tcPr>
            <w:tcW w:w="320" w:type="dxa"/>
            <w:vAlign w:val="bottom"/>
          </w:tcPr>
          <w:p>
            <w:pPr>
              <w:ind w:left="20"/>
              <w:spacing w:after="0"/>
              <w:rPr>
                <w:sz w:val="20"/>
                <w:szCs w:val="20"/>
                <w:color w:val="auto"/>
              </w:rPr>
            </w:pPr>
            <w:r>
              <w:rPr>
                <w:rFonts w:ascii="Arial" w:cs="Arial" w:eastAsia="Arial" w:hAnsi="Arial"/>
                <w:sz w:val="16"/>
                <w:szCs w:val="16"/>
                <w:color w:val="auto"/>
              </w:rPr>
              <w:t>IL</w:t>
            </w:r>
          </w:p>
        </w:tc>
        <w:tc>
          <w:tcPr>
            <w:tcW w:w="780" w:type="dxa"/>
            <w:vAlign w:val="bottom"/>
          </w:tcPr>
          <w:p>
            <w:pPr>
              <w:jc w:val="center"/>
              <w:spacing w:after="0"/>
              <w:rPr>
                <w:sz w:val="20"/>
                <w:szCs w:val="20"/>
                <w:color w:val="auto"/>
              </w:rPr>
            </w:pPr>
            <w:r>
              <w:rPr>
                <w:rFonts w:ascii="Arial" w:cs="Arial" w:eastAsia="Arial" w:hAnsi="Arial"/>
                <w:sz w:val="16"/>
                <w:szCs w:val="16"/>
                <w:color w:val="auto"/>
                <w:w w:val="94"/>
              </w:rPr>
              <w:t>2,469</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922</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3,289</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363</w:t>
            </w:r>
          </w:p>
        </w:tc>
        <w:tc>
          <w:tcPr>
            <w:tcW w:w="66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922</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3,652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4,574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329</w:t>
            </w:r>
          </w:p>
        </w:tc>
      </w:tr>
      <w:tr>
        <w:trPr>
          <w:trHeight w:val="270"/>
        </w:trPr>
        <w:tc>
          <w:tcPr>
            <w:tcW w:w="320" w:type="dxa"/>
            <w:vAlign w:val="bottom"/>
          </w:tcPr>
          <w:p>
            <w:pPr>
              <w:ind w:left="20"/>
              <w:spacing w:after="0"/>
              <w:rPr>
                <w:sz w:val="20"/>
                <w:szCs w:val="20"/>
                <w:color w:val="auto"/>
              </w:rPr>
            </w:pPr>
            <w:r>
              <w:rPr>
                <w:rFonts w:ascii="Arial" w:cs="Arial" w:eastAsia="Arial" w:hAnsi="Arial"/>
                <w:sz w:val="16"/>
                <w:szCs w:val="16"/>
                <w:color w:val="auto"/>
              </w:rPr>
              <w:t>IL</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965</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9,085</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148</w:t>
            </w:r>
          </w:p>
        </w:tc>
        <w:tc>
          <w:tcPr>
            <w:tcW w:w="66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965</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9,233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10,198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379</w:t>
            </w:r>
          </w:p>
        </w:tc>
      </w:tr>
      <w:tr>
        <w:trPr>
          <w:trHeight w:val="270"/>
        </w:trPr>
        <w:tc>
          <w:tcPr>
            <w:tcW w:w="320" w:type="dxa"/>
            <w:vAlign w:val="bottom"/>
          </w:tcPr>
          <w:p>
            <w:pPr>
              <w:ind w:left="20"/>
              <w:spacing w:after="0"/>
              <w:rPr>
                <w:sz w:val="20"/>
                <w:szCs w:val="20"/>
                <w:color w:val="auto"/>
              </w:rPr>
            </w:pPr>
            <w:r>
              <w:rPr>
                <w:rFonts w:ascii="Arial" w:cs="Arial" w:eastAsia="Arial" w:hAnsi="Arial"/>
                <w:sz w:val="16"/>
                <w:szCs w:val="16"/>
                <w:color w:val="auto"/>
              </w:rPr>
              <w:t>IL</w:t>
            </w:r>
          </w:p>
        </w:tc>
        <w:tc>
          <w:tcPr>
            <w:tcW w:w="780" w:type="dxa"/>
            <w:vAlign w:val="bottom"/>
          </w:tcPr>
          <w:p>
            <w:pPr>
              <w:jc w:val="center"/>
              <w:spacing w:after="0"/>
              <w:rPr>
                <w:sz w:val="20"/>
                <w:szCs w:val="20"/>
                <w:color w:val="auto"/>
              </w:rPr>
            </w:pPr>
            <w:r>
              <w:rPr>
                <w:rFonts w:ascii="Arial" w:cs="Arial" w:eastAsia="Arial" w:hAnsi="Arial"/>
                <w:sz w:val="16"/>
                <w:szCs w:val="16"/>
                <w:color w:val="auto"/>
                <w:w w:val="94"/>
              </w:rPr>
              <w:t>4,842</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1,363</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5,850</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173</w:t>
            </w:r>
          </w:p>
        </w:tc>
        <w:tc>
          <w:tcPr>
            <w:tcW w:w="66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1,363</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6,023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7,386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502</w:t>
            </w:r>
          </w:p>
        </w:tc>
      </w:tr>
      <w:tr>
        <w:trPr>
          <w:trHeight w:val="270"/>
        </w:trPr>
        <w:tc>
          <w:tcPr>
            <w:tcW w:w="320" w:type="dxa"/>
            <w:vAlign w:val="bottom"/>
          </w:tcPr>
          <w:p>
            <w:pPr>
              <w:ind w:left="20"/>
              <w:spacing w:after="0"/>
              <w:rPr>
                <w:sz w:val="20"/>
                <w:szCs w:val="20"/>
                <w:color w:val="auto"/>
              </w:rPr>
            </w:pPr>
            <w:r>
              <w:rPr>
                <w:rFonts w:ascii="Arial" w:cs="Arial" w:eastAsia="Arial" w:hAnsi="Arial"/>
                <w:sz w:val="16"/>
                <w:szCs w:val="16"/>
                <w:color w:val="auto"/>
              </w:rPr>
              <w:t>IL</w:t>
            </w:r>
          </w:p>
        </w:tc>
        <w:tc>
          <w:tcPr>
            <w:tcW w:w="780" w:type="dxa"/>
            <w:vAlign w:val="bottom"/>
          </w:tcPr>
          <w:p>
            <w:pPr>
              <w:jc w:val="center"/>
              <w:spacing w:after="0"/>
              <w:rPr>
                <w:sz w:val="20"/>
                <w:szCs w:val="20"/>
                <w:color w:val="auto"/>
              </w:rPr>
            </w:pPr>
            <w:r>
              <w:rPr>
                <w:rFonts w:ascii="Arial" w:cs="Arial" w:eastAsia="Arial" w:hAnsi="Arial"/>
                <w:sz w:val="16"/>
                <w:szCs w:val="16"/>
                <w:color w:val="auto"/>
                <w:w w:val="94"/>
              </w:rPr>
              <w:t>5,765</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2,881</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6,324</w:t>
            </w:r>
          </w:p>
        </w:tc>
        <w:tc>
          <w:tcPr>
            <w:tcW w:w="1020" w:type="dxa"/>
            <w:vAlign w:val="bottom"/>
          </w:tcPr>
          <w:p>
            <w:pPr>
              <w:jc w:val="center"/>
              <w:spacing w:after="0"/>
              <w:rPr>
                <w:sz w:val="20"/>
                <w:szCs w:val="20"/>
                <w:color w:val="auto"/>
              </w:rPr>
            </w:pPr>
            <w:r>
              <w:rPr>
                <w:rFonts w:ascii="Arial" w:cs="Arial" w:eastAsia="Arial" w:hAnsi="Arial"/>
                <w:sz w:val="16"/>
                <w:szCs w:val="16"/>
                <w:color w:val="auto"/>
                <w:w w:val="82"/>
              </w:rPr>
              <w:t>116</w:t>
            </w:r>
          </w:p>
        </w:tc>
        <w:tc>
          <w:tcPr>
            <w:tcW w:w="66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2,881</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6,440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9,321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523</w:t>
            </w:r>
          </w:p>
        </w:tc>
      </w:tr>
      <w:tr>
        <w:trPr>
          <w:trHeight w:val="270"/>
        </w:trPr>
        <w:tc>
          <w:tcPr>
            <w:tcW w:w="320" w:type="dxa"/>
            <w:vAlign w:val="bottom"/>
          </w:tcPr>
          <w:p>
            <w:pPr>
              <w:ind w:left="20"/>
              <w:spacing w:after="0"/>
              <w:rPr>
                <w:sz w:val="20"/>
                <w:szCs w:val="20"/>
                <w:color w:val="auto"/>
              </w:rPr>
            </w:pPr>
            <w:r>
              <w:rPr>
                <w:rFonts w:ascii="Arial" w:cs="Arial" w:eastAsia="Arial" w:hAnsi="Arial"/>
                <w:sz w:val="16"/>
                <w:szCs w:val="16"/>
                <w:color w:val="auto"/>
              </w:rPr>
              <w:t>IL</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750</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7,828</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414</w:t>
            </w:r>
          </w:p>
        </w:tc>
        <w:tc>
          <w:tcPr>
            <w:tcW w:w="66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750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8,242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8,992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283</w:t>
            </w:r>
          </w:p>
        </w:tc>
      </w:tr>
      <w:tr>
        <w:trPr>
          <w:trHeight w:val="270"/>
        </w:trPr>
        <w:tc>
          <w:tcPr>
            <w:tcW w:w="320" w:type="dxa"/>
            <w:vAlign w:val="bottom"/>
          </w:tcPr>
          <w:p>
            <w:pPr>
              <w:ind w:left="20"/>
              <w:spacing w:after="0"/>
              <w:rPr>
                <w:sz w:val="20"/>
                <w:szCs w:val="20"/>
                <w:color w:val="auto"/>
              </w:rPr>
            </w:pPr>
            <w:r>
              <w:rPr>
                <w:rFonts w:ascii="Arial" w:cs="Arial" w:eastAsia="Arial" w:hAnsi="Arial"/>
                <w:sz w:val="16"/>
                <w:szCs w:val="16"/>
                <w:color w:val="auto"/>
              </w:rPr>
              <w:t>IL</w:t>
            </w:r>
          </w:p>
        </w:tc>
        <w:tc>
          <w:tcPr>
            <w:tcW w:w="780" w:type="dxa"/>
            <w:vAlign w:val="bottom"/>
          </w:tcPr>
          <w:p>
            <w:pPr>
              <w:jc w:val="center"/>
              <w:spacing w:after="0"/>
              <w:rPr>
                <w:sz w:val="20"/>
                <w:szCs w:val="20"/>
                <w:color w:val="auto"/>
              </w:rPr>
            </w:pPr>
            <w:r>
              <w:rPr>
                <w:rFonts w:ascii="Arial" w:cs="Arial" w:eastAsia="Arial" w:hAnsi="Arial"/>
                <w:sz w:val="16"/>
                <w:szCs w:val="16"/>
                <w:color w:val="auto"/>
                <w:w w:val="94"/>
              </w:rPr>
              <w:t>8,093</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1,318</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9,485</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213</w:t>
            </w:r>
          </w:p>
        </w:tc>
        <w:tc>
          <w:tcPr>
            <w:tcW w:w="66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1,318</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9,698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11,016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977</w:t>
            </w:r>
          </w:p>
        </w:tc>
      </w:tr>
      <w:tr>
        <w:trPr>
          <w:trHeight w:val="270"/>
        </w:trPr>
        <w:tc>
          <w:tcPr>
            <w:tcW w:w="320" w:type="dxa"/>
            <w:vAlign w:val="bottom"/>
          </w:tcPr>
          <w:p>
            <w:pPr>
              <w:ind w:left="20"/>
              <w:spacing w:after="0"/>
              <w:rPr>
                <w:sz w:val="20"/>
                <w:szCs w:val="20"/>
                <w:color w:val="auto"/>
              </w:rPr>
            </w:pPr>
            <w:r>
              <w:rPr>
                <w:rFonts w:ascii="Arial" w:cs="Arial" w:eastAsia="Arial" w:hAnsi="Arial"/>
                <w:sz w:val="16"/>
                <w:szCs w:val="16"/>
                <w:color w:val="auto"/>
              </w:rPr>
              <w:t>IL</w:t>
            </w:r>
          </w:p>
        </w:tc>
        <w:tc>
          <w:tcPr>
            <w:tcW w:w="780" w:type="dxa"/>
            <w:vAlign w:val="bottom"/>
          </w:tcPr>
          <w:p>
            <w:pPr>
              <w:jc w:val="center"/>
              <w:spacing w:after="0"/>
              <w:rPr>
                <w:sz w:val="20"/>
                <w:szCs w:val="20"/>
                <w:color w:val="auto"/>
              </w:rPr>
            </w:pPr>
            <w:r>
              <w:rPr>
                <w:rFonts w:ascii="Arial" w:cs="Arial" w:eastAsia="Arial" w:hAnsi="Arial"/>
                <w:sz w:val="16"/>
                <w:szCs w:val="16"/>
                <w:color w:val="auto"/>
                <w:w w:val="94"/>
              </w:rPr>
              <w:t>3,488</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1,143</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6,138</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529</w:t>
            </w:r>
          </w:p>
        </w:tc>
        <w:tc>
          <w:tcPr>
            <w:tcW w:w="66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1,143</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6,667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7,810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537</w:t>
            </w:r>
          </w:p>
        </w:tc>
      </w:tr>
      <w:tr>
        <w:trPr>
          <w:trHeight w:val="364"/>
        </w:trPr>
        <w:tc>
          <w:tcPr>
            <w:tcW w:w="320" w:type="dxa"/>
            <w:vAlign w:val="bottom"/>
          </w:tcPr>
          <w:p>
            <w:pPr>
              <w:ind w:left="20"/>
              <w:spacing w:after="0"/>
              <w:rPr>
                <w:sz w:val="20"/>
                <w:szCs w:val="20"/>
                <w:color w:val="auto"/>
              </w:rPr>
            </w:pPr>
            <w:r>
              <w:rPr>
                <w:rFonts w:ascii="Arial" w:cs="Arial" w:eastAsia="Arial" w:hAnsi="Arial"/>
                <w:sz w:val="16"/>
                <w:szCs w:val="16"/>
                <w:color w:val="auto"/>
              </w:rPr>
              <w:t>IL</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11,436</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621</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3,428</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2,245</w:t>
            </w:r>
          </w:p>
        </w:tc>
        <w:tc>
          <w:tcPr>
            <w:tcW w:w="66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621</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5,673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6,294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1,846</w:t>
            </w:r>
          </w:p>
        </w:tc>
      </w:tr>
      <w:tr>
        <w:trPr>
          <w:trHeight w:val="364"/>
        </w:trPr>
        <w:tc>
          <w:tcPr>
            <w:tcW w:w="320" w:type="dxa"/>
            <w:vAlign w:val="bottom"/>
          </w:tcPr>
          <w:p>
            <w:pPr>
              <w:ind w:left="20"/>
              <w:spacing w:after="0"/>
              <w:rPr>
                <w:sz w:val="20"/>
                <w:szCs w:val="20"/>
                <w:color w:val="auto"/>
              </w:rPr>
            </w:pPr>
            <w:r>
              <w:rPr>
                <w:rFonts w:ascii="Arial" w:cs="Arial" w:eastAsia="Arial" w:hAnsi="Arial"/>
                <w:sz w:val="16"/>
                <w:szCs w:val="16"/>
                <w:color w:val="auto"/>
              </w:rPr>
              <w:t>IL</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1,925</w:t>
            </w: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6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1,925</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1,925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99"/>
              </w:rPr>
              <w:t>—</w:t>
            </w:r>
          </w:p>
        </w:tc>
      </w:tr>
      <w:tr>
        <w:trPr>
          <w:trHeight w:val="270"/>
        </w:trPr>
        <w:tc>
          <w:tcPr>
            <w:tcW w:w="320" w:type="dxa"/>
            <w:vAlign w:val="bottom"/>
          </w:tcPr>
          <w:p>
            <w:pPr>
              <w:ind w:left="20"/>
              <w:spacing w:after="0"/>
              <w:rPr>
                <w:sz w:val="20"/>
                <w:szCs w:val="20"/>
                <w:color w:val="auto"/>
              </w:rPr>
            </w:pPr>
            <w:r>
              <w:rPr>
                <w:rFonts w:ascii="Arial" w:cs="Arial" w:eastAsia="Arial" w:hAnsi="Arial"/>
                <w:sz w:val="16"/>
                <w:szCs w:val="16"/>
                <w:color w:val="auto"/>
              </w:rPr>
              <w:t>IL</w:t>
            </w:r>
          </w:p>
        </w:tc>
        <w:tc>
          <w:tcPr>
            <w:tcW w:w="780" w:type="dxa"/>
            <w:vAlign w:val="bottom"/>
          </w:tcPr>
          <w:p>
            <w:pPr>
              <w:jc w:val="center"/>
              <w:spacing w:after="0"/>
              <w:rPr>
                <w:sz w:val="20"/>
                <w:szCs w:val="20"/>
                <w:color w:val="auto"/>
              </w:rPr>
            </w:pPr>
            <w:r>
              <w:rPr>
                <w:rFonts w:ascii="Arial" w:cs="Arial" w:eastAsia="Arial" w:hAnsi="Arial"/>
                <w:sz w:val="16"/>
                <w:szCs w:val="16"/>
                <w:color w:val="auto"/>
                <w:w w:val="94"/>
              </w:rPr>
              <w:t>5,324</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449</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2,471</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810</w:t>
            </w:r>
          </w:p>
        </w:tc>
        <w:tc>
          <w:tcPr>
            <w:tcW w:w="66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449</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3,281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3,730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1,241</w:t>
            </w:r>
          </w:p>
        </w:tc>
      </w:tr>
      <w:tr>
        <w:trPr>
          <w:trHeight w:val="364"/>
        </w:trPr>
        <w:tc>
          <w:tcPr>
            <w:tcW w:w="320" w:type="dxa"/>
            <w:vAlign w:val="bottom"/>
          </w:tcPr>
          <w:p>
            <w:pPr>
              <w:ind w:left="20"/>
              <w:spacing w:after="0"/>
              <w:rPr>
                <w:sz w:val="20"/>
                <w:szCs w:val="20"/>
                <w:color w:val="auto"/>
              </w:rPr>
            </w:pPr>
            <w:r>
              <w:rPr>
                <w:rFonts w:ascii="Arial" w:cs="Arial" w:eastAsia="Arial" w:hAnsi="Arial"/>
                <w:sz w:val="16"/>
                <w:szCs w:val="16"/>
                <w:color w:val="auto"/>
              </w:rPr>
              <w:t>IL</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1,327</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15,535</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66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1,327</w:t>
            </w: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15,537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16,864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362</w:t>
            </w:r>
          </w:p>
        </w:tc>
      </w:tr>
      <w:tr>
        <w:trPr>
          <w:trHeight w:val="459"/>
        </w:trPr>
        <w:tc>
          <w:tcPr>
            <w:tcW w:w="320" w:type="dxa"/>
            <w:vAlign w:val="bottom"/>
          </w:tcPr>
          <w:p>
            <w:pPr>
              <w:ind w:left="20"/>
              <w:spacing w:after="0"/>
              <w:rPr>
                <w:sz w:val="20"/>
                <w:szCs w:val="20"/>
                <w:color w:val="auto"/>
              </w:rPr>
            </w:pPr>
            <w:r>
              <w:rPr>
                <w:rFonts w:ascii="Arial" w:cs="Arial" w:eastAsia="Arial" w:hAnsi="Arial"/>
                <w:sz w:val="16"/>
                <w:szCs w:val="16"/>
                <w:color w:val="auto"/>
              </w:rPr>
              <w:t>IL</w:t>
            </w:r>
          </w:p>
        </w:tc>
        <w:tc>
          <w:tcPr>
            <w:tcW w:w="780" w:type="dxa"/>
            <w:vAlign w:val="bottom"/>
          </w:tcPr>
          <w:p>
            <w:pPr>
              <w:jc w:val="center"/>
              <w:spacing w:after="0"/>
              <w:rPr>
                <w:sz w:val="20"/>
                <w:szCs w:val="20"/>
                <w:color w:val="auto"/>
              </w:rPr>
            </w:pPr>
            <w:r>
              <w:rPr>
                <w:rFonts w:ascii="Arial" w:cs="Arial" w:eastAsia="Arial" w:hAnsi="Arial"/>
                <w:sz w:val="16"/>
                <w:szCs w:val="16"/>
                <w:color w:val="auto"/>
                <w:w w:val="94"/>
              </w:rPr>
              <w:t>4,477</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472</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2,582</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2,823</w:t>
            </w:r>
          </w:p>
        </w:tc>
        <w:tc>
          <w:tcPr>
            <w:tcW w:w="66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472</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5,405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5,877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1,440</w:t>
            </w:r>
          </w:p>
        </w:tc>
      </w:tr>
      <w:tr>
        <w:trPr>
          <w:trHeight w:val="459"/>
        </w:trPr>
        <w:tc>
          <w:tcPr>
            <w:tcW w:w="320" w:type="dxa"/>
            <w:vAlign w:val="bottom"/>
          </w:tcPr>
          <w:p>
            <w:pPr>
              <w:ind w:left="20"/>
              <w:spacing w:after="0"/>
              <w:rPr>
                <w:sz w:val="20"/>
                <w:szCs w:val="20"/>
                <w:color w:val="auto"/>
              </w:rPr>
            </w:pPr>
            <w:r>
              <w:rPr>
                <w:rFonts w:ascii="Arial" w:cs="Arial" w:eastAsia="Arial" w:hAnsi="Arial"/>
                <w:sz w:val="16"/>
                <w:szCs w:val="16"/>
                <w:color w:val="auto"/>
              </w:rPr>
              <w:t>IL</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4,502</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21,672</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52</w:t>
            </w:r>
          </w:p>
        </w:tc>
        <w:tc>
          <w:tcPr>
            <w:tcW w:w="66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4,502</w:t>
            </w: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21,724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26,226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325</w:t>
            </w:r>
          </w:p>
        </w:tc>
      </w:tr>
      <w:tr>
        <w:trPr>
          <w:trHeight w:val="364"/>
        </w:trPr>
        <w:tc>
          <w:tcPr>
            <w:tcW w:w="320" w:type="dxa"/>
            <w:vAlign w:val="bottom"/>
          </w:tcPr>
          <w:p>
            <w:pPr>
              <w:ind w:left="20"/>
              <w:spacing w:after="0"/>
              <w:rPr>
                <w:sz w:val="20"/>
                <w:szCs w:val="20"/>
                <w:color w:val="auto"/>
              </w:rPr>
            </w:pPr>
            <w:r>
              <w:rPr>
                <w:rFonts w:ascii="Arial" w:cs="Arial" w:eastAsia="Arial" w:hAnsi="Arial"/>
                <w:sz w:val="16"/>
                <w:szCs w:val="16"/>
                <w:color w:val="auto"/>
              </w:rPr>
              <w:t>IL</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670</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4,718</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342</w:t>
            </w:r>
          </w:p>
        </w:tc>
        <w:tc>
          <w:tcPr>
            <w:tcW w:w="66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670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5,060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5,730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176</w:t>
            </w:r>
          </w:p>
        </w:tc>
      </w:tr>
      <w:tr>
        <w:trPr>
          <w:trHeight w:val="270"/>
        </w:trPr>
        <w:tc>
          <w:tcPr>
            <w:tcW w:w="320" w:type="dxa"/>
            <w:vAlign w:val="bottom"/>
          </w:tcPr>
          <w:p>
            <w:pPr>
              <w:ind w:left="20"/>
              <w:spacing w:after="0"/>
              <w:rPr>
                <w:sz w:val="20"/>
                <w:szCs w:val="20"/>
                <w:color w:val="auto"/>
              </w:rPr>
            </w:pPr>
            <w:r>
              <w:rPr>
                <w:rFonts w:ascii="Arial" w:cs="Arial" w:eastAsia="Arial" w:hAnsi="Arial"/>
                <w:sz w:val="16"/>
                <w:szCs w:val="16"/>
                <w:color w:val="auto"/>
              </w:rPr>
              <w:t>IL</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1,590</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9,371</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397</w:t>
            </w:r>
          </w:p>
        </w:tc>
        <w:tc>
          <w:tcPr>
            <w:tcW w:w="66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1,590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9,768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11,358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328</w:t>
            </w:r>
          </w:p>
        </w:tc>
      </w:tr>
      <w:tr>
        <w:trPr>
          <w:trHeight w:val="270"/>
        </w:trPr>
        <w:tc>
          <w:tcPr>
            <w:tcW w:w="320" w:type="dxa"/>
            <w:vAlign w:val="bottom"/>
          </w:tcPr>
          <w:p>
            <w:pPr>
              <w:ind w:left="20"/>
              <w:spacing w:after="0"/>
              <w:rPr>
                <w:sz w:val="20"/>
                <w:szCs w:val="20"/>
                <w:color w:val="auto"/>
              </w:rPr>
            </w:pPr>
            <w:r>
              <w:rPr>
                <w:rFonts w:ascii="Arial" w:cs="Arial" w:eastAsia="Arial" w:hAnsi="Arial"/>
                <w:sz w:val="16"/>
                <w:szCs w:val="16"/>
                <w:color w:val="auto"/>
              </w:rPr>
              <w:t>IL</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910</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3,224</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354</w:t>
            </w:r>
          </w:p>
        </w:tc>
        <w:tc>
          <w:tcPr>
            <w:tcW w:w="66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910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3,578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4,488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126</w:t>
            </w:r>
          </w:p>
        </w:tc>
      </w:tr>
      <w:tr>
        <w:trPr>
          <w:trHeight w:val="270"/>
        </w:trPr>
        <w:tc>
          <w:tcPr>
            <w:tcW w:w="320" w:type="dxa"/>
            <w:vAlign w:val="bottom"/>
          </w:tcPr>
          <w:p>
            <w:pPr>
              <w:ind w:left="20"/>
              <w:spacing w:after="0"/>
              <w:rPr>
                <w:sz w:val="20"/>
                <w:szCs w:val="20"/>
                <w:color w:val="auto"/>
              </w:rPr>
            </w:pPr>
            <w:r>
              <w:rPr>
                <w:rFonts w:ascii="Arial" w:cs="Arial" w:eastAsia="Arial" w:hAnsi="Arial"/>
                <w:sz w:val="16"/>
                <w:szCs w:val="16"/>
                <w:color w:val="auto"/>
              </w:rPr>
              <w:t>IL</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195</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8,650</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85</w:t>
            </w:r>
          </w:p>
        </w:tc>
        <w:tc>
          <w:tcPr>
            <w:tcW w:w="66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195</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8,735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8,930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130</w:t>
            </w:r>
          </w:p>
        </w:tc>
      </w:tr>
      <w:tr>
        <w:trPr>
          <w:trHeight w:val="270"/>
        </w:trPr>
        <w:tc>
          <w:tcPr>
            <w:tcW w:w="320" w:type="dxa"/>
            <w:vAlign w:val="bottom"/>
          </w:tcPr>
          <w:p>
            <w:pPr>
              <w:ind w:left="20"/>
              <w:spacing w:after="0"/>
              <w:rPr>
                <w:sz w:val="20"/>
                <w:szCs w:val="20"/>
                <w:color w:val="auto"/>
              </w:rPr>
            </w:pPr>
            <w:r>
              <w:rPr>
                <w:rFonts w:ascii="Arial" w:cs="Arial" w:eastAsia="Arial" w:hAnsi="Arial"/>
                <w:sz w:val="16"/>
                <w:szCs w:val="16"/>
                <w:color w:val="auto"/>
              </w:rPr>
              <w:t>IL</w:t>
            </w:r>
          </w:p>
        </w:tc>
        <w:tc>
          <w:tcPr>
            <w:tcW w:w="780" w:type="dxa"/>
            <w:vAlign w:val="bottom"/>
          </w:tcPr>
          <w:p>
            <w:pPr>
              <w:jc w:val="center"/>
              <w:spacing w:after="0"/>
              <w:rPr>
                <w:sz w:val="20"/>
                <w:szCs w:val="20"/>
                <w:color w:val="auto"/>
              </w:rPr>
            </w:pPr>
            <w:r>
              <w:rPr>
                <w:rFonts w:ascii="Arial" w:cs="Arial" w:eastAsia="Arial" w:hAnsi="Arial"/>
                <w:sz w:val="16"/>
                <w:szCs w:val="16"/>
                <w:color w:val="auto"/>
                <w:w w:val="94"/>
              </w:rPr>
              <w:t>2,301</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847</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2,946</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1,040</w:t>
            </w:r>
          </w:p>
        </w:tc>
        <w:tc>
          <w:tcPr>
            <w:tcW w:w="66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968</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3,865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4,833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1,307</w:t>
            </w:r>
          </w:p>
        </w:tc>
      </w:tr>
      <w:tr>
        <w:trPr>
          <w:trHeight w:val="270"/>
        </w:trPr>
        <w:tc>
          <w:tcPr>
            <w:tcW w:w="320" w:type="dxa"/>
            <w:vAlign w:val="bottom"/>
          </w:tcPr>
          <w:p>
            <w:pPr>
              <w:ind w:left="20"/>
              <w:spacing w:after="0"/>
              <w:rPr>
                <w:sz w:val="20"/>
                <w:szCs w:val="20"/>
                <w:color w:val="auto"/>
              </w:rPr>
            </w:pPr>
            <w:r>
              <w:rPr>
                <w:rFonts w:ascii="Arial" w:cs="Arial" w:eastAsia="Arial" w:hAnsi="Arial"/>
                <w:sz w:val="16"/>
                <w:szCs w:val="16"/>
                <w:color w:val="auto"/>
              </w:rPr>
              <w:t>IL</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1,645</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10,630</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66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1,645</w:t>
            </w: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10,637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12,282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45</w:t>
            </w:r>
          </w:p>
        </w:tc>
      </w:tr>
      <w:tr>
        <w:trPr>
          <w:trHeight w:val="270"/>
        </w:trPr>
        <w:tc>
          <w:tcPr>
            <w:tcW w:w="320" w:type="dxa"/>
            <w:vAlign w:val="bottom"/>
          </w:tcPr>
          <w:p>
            <w:pPr>
              <w:ind w:left="20"/>
              <w:spacing w:after="0"/>
              <w:rPr>
                <w:sz w:val="20"/>
                <w:szCs w:val="20"/>
                <w:color w:val="auto"/>
              </w:rPr>
            </w:pPr>
            <w:r>
              <w:rPr>
                <w:rFonts w:ascii="Arial" w:cs="Arial" w:eastAsia="Arial" w:hAnsi="Arial"/>
                <w:sz w:val="16"/>
                <w:szCs w:val="16"/>
                <w:color w:val="auto"/>
              </w:rPr>
              <w:t>IL</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1,374</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8,296</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135</w:t>
            </w:r>
          </w:p>
        </w:tc>
        <w:tc>
          <w:tcPr>
            <w:tcW w:w="66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1,374</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8,431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9,805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2,028</w:t>
            </w:r>
          </w:p>
        </w:tc>
      </w:tr>
      <w:tr>
        <w:trPr>
          <w:trHeight w:val="270"/>
        </w:trPr>
        <w:tc>
          <w:tcPr>
            <w:tcW w:w="320" w:type="dxa"/>
            <w:vAlign w:val="bottom"/>
          </w:tcPr>
          <w:p>
            <w:pPr>
              <w:ind w:left="20"/>
              <w:spacing w:after="0"/>
              <w:rPr>
                <w:sz w:val="20"/>
                <w:szCs w:val="20"/>
                <w:color w:val="auto"/>
              </w:rPr>
            </w:pPr>
            <w:r>
              <w:rPr>
                <w:rFonts w:ascii="Arial" w:cs="Arial" w:eastAsia="Arial" w:hAnsi="Arial"/>
                <w:sz w:val="16"/>
                <w:szCs w:val="16"/>
                <w:color w:val="auto"/>
              </w:rPr>
              <w:t>IL</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1,724</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14,543</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125</w:t>
            </w:r>
          </w:p>
        </w:tc>
        <w:tc>
          <w:tcPr>
            <w:tcW w:w="66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1,724</w:t>
            </w: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14,668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16,392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219</w:t>
            </w:r>
          </w:p>
        </w:tc>
      </w:tr>
      <w:tr>
        <w:trPr>
          <w:trHeight w:val="270"/>
        </w:trPr>
        <w:tc>
          <w:tcPr>
            <w:tcW w:w="320" w:type="dxa"/>
            <w:vAlign w:val="bottom"/>
          </w:tcPr>
          <w:p>
            <w:pPr>
              <w:ind w:left="20"/>
              <w:spacing w:after="0"/>
              <w:rPr>
                <w:sz w:val="20"/>
                <w:szCs w:val="20"/>
                <w:color w:val="auto"/>
              </w:rPr>
            </w:pPr>
            <w:r>
              <w:rPr>
                <w:rFonts w:ascii="Arial" w:cs="Arial" w:eastAsia="Arial" w:hAnsi="Arial"/>
                <w:sz w:val="16"/>
                <w:szCs w:val="16"/>
                <w:color w:val="auto"/>
              </w:rPr>
              <w:t>IL</w:t>
            </w:r>
          </w:p>
        </w:tc>
        <w:tc>
          <w:tcPr>
            <w:tcW w:w="780" w:type="dxa"/>
            <w:vAlign w:val="bottom"/>
          </w:tcPr>
          <w:p>
            <w:pPr>
              <w:jc w:val="center"/>
              <w:spacing w:after="0"/>
              <w:rPr>
                <w:sz w:val="20"/>
                <w:szCs w:val="20"/>
                <w:color w:val="auto"/>
              </w:rPr>
            </w:pPr>
            <w:r>
              <w:rPr>
                <w:rFonts w:ascii="Arial" w:cs="Arial" w:eastAsia="Arial" w:hAnsi="Arial"/>
                <w:sz w:val="16"/>
                <w:szCs w:val="16"/>
                <w:color w:val="auto"/>
                <w:w w:val="93"/>
              </w:rPr>
              <w:t>12,678</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5,798</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6,016</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269</w:t>
            </w:r>
          </w:p>
        </w:tc>
        <w:tc>
          <w:tcPr>
            <w:tcW w:w="66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5,798</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6,285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12,083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844</w:t>
            </w:r>
          </w:p>
        </w:tc>
      </w:tr>
      <w:tr>
        <w:trPr>
          <w:trHeight w:val="270"/>
        </w:trPr>
        <w:tc>
          <w:tcPr>
            <w:tcW w:w="320" w:type="dxa"/>
            <w:vAlign w:val="bottom"/>
          </w:tcPr>
          <w:p>
            <w:pPr>
              <w:ind w:left="20"/>
              <w:spacing w:after="0"/>
              <w:rPr>
                <w:sz w:val="20"/>
                <w:szCs w:val="20"/>
                <w:color w:val="auto"/>
              </w:rPr>
            </w:pPr>
            <w:r>
              <w:rPr>
                <w:rFonts w:ascii="Arial" w:cs="Arial" w:eastAsia="Arial" w:hAnsi="Arial"/>
                <w:sz w:val="16"/>
                <w:szCs w:val="16"/>
                <w:color w:val="auto"/>
              </w:rPr>
              <w:t>IL</w:t>
            </w:r>
          </w:p>
        </w:tc>
        <w:tc>
          <w:tcPr>
            <w:tcW w:w="780" w:type="dxa"/>
            <w:vAlign w:val="bottom"/>
          </w:tcPr>
          <w:p>
            <w:pPr>
              <w:jc w:val="center"/>
              <w:spacing w:after="0"/>
              <w:rPr>
                <w:sz w:val="20"/>
                <w:szCs w:val="20"/>
                <w:color w:val="auto"/>
              </w:rPr>
            </w:pPr>
            <w:r>
              <w:rPr>
                <w:rFonts w:ascii="Arial" w:cs="Arial" w:eastAsia="Arial" w:hAnsi="Arial"/>
                <w:sz w:val="16"/>
                <w:szCs w:val="16"/>
                <w:color w:val="auto"/>
                <w:w w:val="94"/>
              </w:rPr>
              <w:t>3,585</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1,438</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5,128</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102</w:t>
            </w:r>
          </w:p>
        </w:tc>
        <w:tc>
          <w:tcPr>
            <w:tcW w:w="66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1,438</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5,230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6,668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422</w:t>
            </w:r>
          </w:p>
        </w:tc>
      </w:tr>
      <w:tr>
        <w:trPr>
          <w:trHeight w:val="364"/>
        </w:trPr>
        <w:tc>
          <w:tcPr>
            <w:tcW w:w="320" w:type="dxa"/>
            <w:vAlign w:val="bottom"/>
          </w:tcPr>
          <w:p>
            <w:pPr>
              <w:ind w:left="20"/>
              <w:spacing w:after="0"/>
              <w:rPr>
                <w:sz w:val="20"/>
                <w:szCs w:val="20"/>
                <w:color w:val="auto"/>
              </w:rPr>
            </w:pPr>
            <w:r>
              <w:rPr>
                <w:rFonts w:ascii="Arial" w:cs="Arial" w:eastAsia="Arial" w:hAnsi="Arial"/>
                <w:sz w:val="16"/>
                <w:szCs w:val="16"/>
                <w:color w:val="auto"/>
              </w:rPr>
              <w:t>IL</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2,800</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7,355</w:t>
            </w:r>
          </w:p>
        </w:tc>
        <w:tc>
          <w:tcPr>
            <w:tcW w:w="1020" w:type="dxa"/>
            <w:vAlign w:val="bottom"/>
          </w:tcPr>
          <w:p>
            <w:pPr>
              <w:jc w:val="center"/>
              <w:spacing w:after="0"/>
              <w:rPr>
                <w:sz w:val="20"/>
                <w:szCs w:val="20"/>
                <w:color w:val="auto"/>
              </w:rPr>
            </w:pPr>
            <w:r>
              <w:rPr>
                <w:rFonts w:ascii="Arial" w:cs="Arial" w:eastAsia="Arial" w:hAnsi="Arial"/>
                <w:sz w:val="16"/>
                <w:szCs w:val="16"/>
                <w:color w:val="auto"/>
                <w:w w:val="90"/>
              </w:rPr>
              <w:t>(710)</w:t>
            </w:r>
          </w:p>
        </w:tc>
        <w:tc>
          <w:tcPr>
            <w:tcW w:w="660" w:type="dxa"/>
            <w:vAlign w:val="bottom"/>
          </w:tcPr>
          <w:p>
            <w:pPr>
              <w:ind w:left="280"/>
              <w:spacing w:after="0"/>
              <w:rPr>
                <w:sz w:val="20"/>
                <w:szCs w:val="20"/>
                <w:color w:val="auto"/>
              </w:rPr>
            </w:pPr>
            <w:r>
              <w:rPr>
                <w:rFonts w:ascii="Arial" w:cs="Arial" w:eastAsia="Arial" w:hAnsi="Arial"/>
                <w:sz w:val="16"/>
                <w:szCs w:val="16"/>
                <w:color w:val="auto"/>
              </w:rPr>
              <w:t>(d)</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1,950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7,495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9,445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1,588</w:t>
            </w:r>
          </w:p>
        </w:tc>
      </w:tr>
      <w:tr>
        <w:trPr>
          <w:trHeight w:val="459"/>
        </w:trPr>
        <w:tc>
          <w:tcPr>
            <w:tcW w:w="320" w:type="dxa"/>
            <w:vAlign w:val="bottom"/>
          </w:tcPr>
          <w:p>
            <w:pPr>
              <w:ind w:left="20"/>
              <w:spacing w:after="0"/>
              <w:rPr>
                <w:sz w:val="20"/>
                <w:szCs w:val="20"/>
                <w:color w:val="auto"/>
              </w:rPr>
            </w:pPr>
            <w:r>
              <w:rPr>
                <w:rFonts w:ascii="Arial" w:cs="Arial" w:eastAsia="Arial" w:hAnsi="Arial"/>
                <w:sz w:val="16"/>
                <w:szCs w:val="16"/>
                <w:color w:val="auto"/>
              </w:rPr>
              <w:t>IL</w:t>
            </w:r>
          </w:p>
        </w:tc>
        <w:tc>
          <w:tcPr>
            <w:tcW w:w="780" w:type="dxa"/>
            <w:vAlign w:val="bottom"/>
          </w:tcPr>
          <w:p>
            <w:pPr>
              <w:jc w:val="center"/>
              <w:spacing w:after="0"/>
              <w:rPr>
                <w:sz w:val="20"/>
                <w:szCs w:val="20"/>
                <w:color w:val="auto"/>
              </w:rPr>
            </w:pPr>
            <w:r>
              <w:rPr>
                <w:rFonts w:ascii="Arial" w:cs="Arial" w:eastAsia="Arial" w:hAnsi="Arial"/>
                <w:sz w:val="16"/>
                <w:szCs w:val="16"/>
                <w:color w:val="auto"/>
                <w:w w:val="94"/>
              </w:rPr>
              <w:t>4,633</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1,860</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5,793</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136</w:t>
            </w:r>
          </w:p>
        </w:tc>
        <w:tc>
          <w:tcPr>
            <w:tcW w:w="66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1,860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5,929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7,789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801</w:t>
            </w:r>
          </w:p>
        </w:tc>
      </w:tr>
      <w:tr>
        <w:trPr>
          <w:trHeight w:val="364"/>
        </w:trPr>
        <w:tc>
          <w:tcPr>
            <w:tcW w:w="320" w:type="dxa"/>
            <w:vAlign w:val="bottom"/>
          </w:tcPr>
          <w:p>
            <w:pPr>
              <w:ind w:left="20"/>
              <w:spacing w:after="0"/>
              <w:rPr>
                <w:sz w:val="20"/>
                <w:szCs w:val="20"/>
                <w:color w:val="auto"/>
              </w:rPr>
            </w:pPr>
            <w:r>
              <w:rPr>
                <w:rFonts w:ascii="Arial" w:cs="Arial" w:eastAsia="Arial" w:hAnsi="Arial"/>
                <w:sz w:val="16"/>
                <w:szCs w:val="16"/>
                <w:color w:val="auto"/>
              </w:rPr>
              <w:t>IL</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2,711</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600</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5,833</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176</w:t>
            </w:r>
          </w:p>
        </w:tc>
        <w:tc>
          <w:tcPr>
            <w:tcW w:w="66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600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6,009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6,609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1,377</w:t>
            </w:r>
          </w:p>
        </w:tc>
      </w:tr>
      <w:tr>
        <w:trPr>
          <w:trHeight w:val="270"/>
        </w:trPr>
        <w:tc>
          <w:tcPr>
            <w:tcW w:w="320" w:type="dxa"/>
            <w:vAlign w:val="bottom"/>
          </w:tcPr>
          <w:p>
            <w:pPr>
              <w:ind w:left="20"/>
              <w:spacing w:after="0"/>
              <w:rPr>
                <w:sz w:val="20"/>
                <w:szCs w:val="20"/>
                <w:color w:val="auto"/>
              </w:rPr>
            </w:pPr>
            <w:r>
              <w:rPr>
                <w:rFonts w:ascii="Arial" w:cs="Arial" w:eastAsia="Arial" w:hAnsi="Arial"/>
                <w:sz w:val="16"/>
                <w:szCs w:val="16"/>
                <w:color w:val="auto"/>
              </w:rPr>
              <w:t>IL</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796</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2,977</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150</w:t>
            </w:r>
          </w:p>
        </w:tc>
        <w:tc>
          <w:tcPr>
            <w:tcW w:w="66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796</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3,127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3,923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46</w:t>
            </w:r>
          </w:p>
        </w:tc>
      </w:tr>
      <w:tr>
        <w:trPr>
          <w:trHeight w:val="270"/>
        </w:trPr>
        <w:tc>
          <w:tcPr>
            <w:tcW w:w="320" w:type="dxa"/>
            <w:vAlign w:val="bottom"/>
          </w:tcPr>
          <w:p>
            <w:pPr>
              <w:ind w:left="20"/>
              <w:spacing w:after="0"/>
              <w:rPr>
                <w:sz w:val="20"/>
                <w:szCs w:val="20"/>
                <w:color w:val="auto"/>
              </w:rPr>
            </w:pPr>
            <w:r>
              <w:rPr>
                <w:rFonts w:ascii="Arial" w:cs="Arial" w:eastAsia="Arial" w:hAnsi="Arial"/>
                <w:sz w:val="16"/>
                <w:szCs w:val="16"/>
                <w:color w:val="auto"/>
              </w:rPr>
              <w:t>IL</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1,119</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7,502</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3,250</w:t>
            </w:r>
          </w:p>
        </w:tc>
        <w:tc>
          <w:tcPr>
            <w:tcW w:w="66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1,119</w:t>
            </w: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10,752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11,871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937</w:t>
            </w:r>
          </w:p>
        </w:tc>
      </w:tr>
      <w:tr>
        <w:trPr>
          <w:trHeight w:val="270"/>
        </w:trPr>
        <w:tc>
          <w:tcPr>
            <w:tcW w:w="320" w:type="dxa"/>
            <w:vAlign w:val="bottom"/>
          </w:tcPr>
          <w:p>
            <w:pPr>
              <w:ind w:left="20"/>
              <w:spacing w:after="0"/>
              <w:rPr>
                <w:sz w:val="20"/>
                <w:szCs w:val="20"/>
                <w:color w:val="auto"/>
              </w:rPr>
            </w:pPr>
            <w:r>
              <w:rPr>
                <w:rFonts w:ascii="Arial" w:cs="Arial" w:eastAsia="Arial" w:hAnsi="Arial"/>
                <w:sz w:val="16"/>
                <w:szCs w:val="16"/>
                <w:color w:val="auto"/>
              </w:rPr>
              <w:t>IL</w:t>
            </w:r>
          </w:p>
        </w:tc>
        <w:tc>
          <w:tcPr>
            <w:tcW w:w="780" w:type="dxa"/>
            <w:vAlign w:val="bottom"/>
          </w:tcPr>
          <w:p>
            <w:pPr>
              <w:jc w:val="center"/>
              <w:spacing w:after="0"/>
              <w:rPr>
                <w:sz w:val="20"/>
                <w:szCs w:val="20"/>
                <w:color w:val="auto"/>
              </w:rPr>
            </w:pPr>
            <w:r>
              <w:rPr>
                <w:rFonts w:ascii="Arial" w:cs="Arial" w:eastAsia="Arial" w:hAnsi="Arial"/>
                <w:sz w:val="16"/>
                <w:szCs w:val="16"/>
                <w:color w:val="auto"/>
                <w:w w:val="94"/>
              </w:rPr>
              <w:t>2,301</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839</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2,879</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386</w:t>
            </w:r>
          </w:p>
        </w:tc>
        <w:tc>
          <w:tcPr>
            <w:tcW w:w="66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865</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3,239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4,104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1,248</w:t>
            </w:r>
          </w:p>
        </w:tc>
      </w:tr>
      <w:tr>
        <w:trPr>
          <w:trHeight w:val="270"/>
        </w:trPr>
        <w:tc>
          <w:tcPr>
            <w:tcW w:w="320" w:type="dxa"/>
            <w:vAlign w:val="bottom"/>
          </w:tcPr>
          <w:p>
            <w:pPr>
              <w:ind w:left="20"/>
              <w:spacing w:after="0"/>
              <w:rPr>
                <w:sz w:val="20"/>
                <w:szCs w:val="20"/>
                <w:color w:val="auto"/>
              </w:rPr>
            </w:pPr>
            <w:r>
              <w:rPr>
                <w:rFonts w:ascii="Arial" w:cs="Arial" w:eastAsia="Arial" w:hAnsi="Arial"/>
                <w:sz w:val="16"/>
                <w:szCs w:val="16"/>
                <w:color w:val="auto"/>
              </w:rPr>
              <w:t>IL</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1,823</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4,794</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1,010</w:t>
            </w:r>
          </w:p>
        </w:tc>
        <w:tc>
          <w:tcPr>
            <w:tcW w:w="66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1,548</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6,079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7,627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1,148</w:t>
            </w:r>
          </w:p>
        </w:tc>
      </w:tr>
      <w:tr>
        <w:trPr>
          <w:trHeight w:val="270"/>
        </w:trPr>
        <w:tc>
          <w:tcPr>
            <w:tcW w:w="320" w:type="dxa"/>
            <w:vAlign w:val="bottom"/>
          </w:tcPr>
          <w:p>
            <w:pPr>
              <w:spacing w:after="0"/>
              <w:rPr>
                <w:sz w:val="20"/>
                <w:szCs w:val="20"/>
                <w:color w:val="auto"/>
              </w:rPr>
            </w:pPr>
            <w:r>
              <w:rPr>
                <w:rFonts w:ascii="Arial" w:cs="Arial" w:eastAsia="Arial" w:hAnsi="Arial"/>
                <w:sz w:val="16"/>
                <w:szCs w:val="16"/>
                <w:color w:val="auto"/>
              </w:rPr>
              <w:t>IN</w:t>
            </w:r>
          </w:p>
        </w:tc>
        <w:tc>
          <w:tcPr>
            <w:tcW w:w="780" w:type="dxa"/>
            <w:vAlign w:val="bottom"/>
          </w:tcPr>
          <w:p>
            <w:pPr>
              <w:jc w:val="center"/>
              <w:spacing w:after="0"/>
              <w:rPr>
                <w:sz w:val="20"/>
                <w:szCs w:val="20"/>
                <w:color w:val="auto"/>
              </w:rPr>
            </w:pPr>
            <w:r>
              <w:rPr>
                <w:rFonts w:ascii="Arial" w:cs="Arial" w:eastAsia="Arial" w:hAnsi="Arial"/>
                <w:sz w:val="16"/>
                <w:szCs w:val="16"/>
                <w:color w:val="auto"/>
                <w:w w:val="94"/>
              </w:rPr>
              <w:t>4,860</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1,169</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4,393</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313</w:t>
            </w:r>
          </w:p>
        </w:tc>
        <w:tc>
          <w:tcPr>
            <w:tcW w:w="66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1,169</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4,706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5,875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1,119</w:t>
            </w:r>
          </w:p>
        </w:tc>
      </w:tr>
      <w:tr>
        <w:trPr>
          <w:trHeight w:val="270"/>
        </w:trPr>
        <w:tc>
          <w:tcPr>
            <w:tcW w:w="320" w:type="dxa"/>
            <w:vAlign w:val="bottom"/>
          </w:tcPr>
          <w:p>
            <w:pPr>
              <w:spacing w:after="0"/>
              <w:rPr>
                <w:sz w:val="20"/>
                <w:szCs w:val="20"/>
                <w:color w:val="auto"/>
              </w:rPr>
            </w:pPr>
            <w:r>
              <w:rPr>
                <w:rFonts w:ascii="Arial" w:cs="Arial" w:eastAsia="Arial" w:hAnsi="Arial"/>
                <w:sz w:val="16"/>
                <w:szCs w:val="16"/>
                <w:color w:val="auto"/>
              </w:rPr>
              <w:t>IN</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457</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2,954</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66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457</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2,963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3,420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26</w:t>
            </w:r>
          </w:p>
        </w:tc>
      </w:tr>
      <w:tr>
        <w:trPr>
          <w:trHeight w:val="364"/>
        </w:trPr>
        <w:tc>
          <w:tcPr>
            <w:tcW w:w="320" w:type="dxa"/>
            <w:vAlign w:val="bottom"/>
          </w:tcPr>
          <w:p>
            <w:pPr>
              <w:spacing w:after="0"/>
              <w:rPr>
                <w:sz w:val="20"/>
                <w:szCs w:val="20"/>
                <w:color w:val="auto"/>
              </w:rPr>
            </w:pPr>
            <w:r>
              <w:rPr>
                <w:rFonts w:ascii="Arial" w:cs="Arial" w:eastAsia="Arial" w:hAnsi="Arial"/>
                <w:sz w:val="16"/>
                <w:szCs w:val="16"/>
                <w:color w:val="auto"/>
              </w:rPr>
              <w:t>IN</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287</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3,251</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66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287</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3,272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3,559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29</w:t>
            </w:r>
          </w:p>
        </w:tc>
      </w:tr>
      <w:tr>
        <w:trPr>
          <w:trHeight w:val="459"/>
        </w:trPr>
        <w:tc>
          <w:tcPr>
            <w:tcW w:w="320" w:type="dxa"/>
            <w:vAlign w:val="bottom"/>
          </w:tcPr>
          <w:p>
            <w:pPr>
              <w:spacing w:after="0"/>
              <w:rPr>
                <w:sz w:val="20"/>
                <w:szCs w:val="20"/>
                <w:color w:val="auto"/>
              </w:rPr>
            </w:pPr>
            <w:r>
              <w:rPr>
                <w:rFonts w:ascii="Arial" w:cs="Arial" w:eastAsia="Arial" w:hAnsi="Arial"/>
                <w:sz w:val="16"/>
                <w:szCs w:val="16"/>
                <w:color w:val="auto"/>
              </w:rPr>
              <w:t>IN</w:t>
            </w:r>
          </w:p>
        </w:tc>
        <w:tc>
          <w:tcPr>
            <w:tcW w:w="780" w:type="dxa"/>
            <w:vAlign w:val="bottom"/>
          </w:tcPr>
          <w:p>
            <w:pPr>
              <w:jc w:val="center"/>
              <w:spacing w:after="0"/>
              <w:rPr>
                <w:sz w:val="20"/>
                <w:szCs w:val="20"/>
                <w:color w:val="auto"/>
              </w:rPr>
            </w:pPr>
            <w:r>
              <w:rPr>
                <w:rFonts w:ascii="Arial" w:cs="Arial" w:eastAsia="Arial" w:hAnsi="Arial"/>
                <w:sz w:val="16"/>
                <w:szCs w:val="16"/>
                <w:color w:val="auto"/>
                <w:w w:val="94"/>
              </w:rPr>
              <w:t>5,460</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850</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4,545</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714</w:t>
            </w:r>
          </w:p>
        </w:tc>
        <w:tc>
          <w:tcPr>
            <w:tcW w:w="66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850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5,259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6,109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1,269</w:t>
            </w:r>
          </w:p>
        </w:tc>
      </w:tr>
      <w:tr>
        <w:trPr>
          <w:trHeight w:val="364"/>
        </w:trPr>
        <w:tc>
          <w:tcPr>
            <w:tcW w:w="320" w:type="dxa"/>
            <w:vAlign w:val="bottom"/>
          </w:tcPr>
          <w:p>
            <w:pPr>
              <w:spacing w:after="0"/>
              <w:rPr>
                <w:sz w:val="20"/>
                <w:szCs w:val="20"/>
                <w:color w:val="auto"/>
              </w:rPr>
            </w:pPr>
            <w:r>
              <w:rPr>
                <w:rFonts w:ascii="Arial" w:cs="Arial" w:eastAsia="Arial" w:hAnsi="Arial"/>
                <w:sz w:val="16"/>
                <w:szCs w:val="16"/>
                <w:color w:val="auto"/>
              </w:rPr>
              <w:t>IN</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588</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3,457</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530</w:t>
            </w:r>
          </w:p>
        </w:tc>
        <w:tc>
          <w:tcPr>
            <w:tcW w:w="66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588</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3,987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4,575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1,089</w:t>
            </w:r>
          </w:p>
        </w:tc>
      </w:tr>
      <w:tr>
        <w:trPr>
          <w:trHeight w:val="270"/>
        </w:trPr>
        <w:tc>
          <w:tcPr>
            <w:tcW w:w="320" w:type="dxa"/>
            <w:vAlign w:val="bottom"/>
          </w:tcPr>
          <w:p>
            <w:pPr>
              <w:spacing w:after="0"/>
              <w:rPr>
                <w:sz w:val="20"/>
                <w:szCs w:val="20"/>
                <w:color w:val="auto"/>
              </w:rPr>
            </w:pPr>
            <w:r>
              <w:rPr>
                <w:rFonts w:ascii="Arial" w:cs="Arial" w:eastAsia="Arial" w:hAnsi="Arial"/>
                <w:sz w:val="16"/>
                <w:szCs w:val="16"/>
                <w:color w:val="auto"/>
              </w:rPr>
              <w:t>IN</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646</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1,294</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195</w:t>
            </w:r>
          </w:p>
        </w:tc>
        <w:tc>
          <w:tcPr>
            <w:tcW w:w="660" w:type="dxa"/>
            <w:vAlign w:val="bottom"/>
          </w:tcPr>
          <w:p>
            <w:pPr>
              <w:spacing w:after="0"/>
              <w:rPr>
                <w:sz w:val="23"/>
                <w:szCs w:val="23"/>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646</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1,489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2,135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195</w:t>
            </w:r>
          </w:p>
        </w:tc>
      </w:tr>
      <w:tr>
        <w:trPr>
          <w:trHeight w:val="364"/>
        </w:trPr>
        <w:tc>
          <w:tcPr>
            <w:tcW w:w="320" w:type="dxa"/>
            <w:vAlign w:val="bottom"/>
          </w:tcPr>
          <w:p>
            <w:pPr>
              <w:spacing w:after="0"/>
              <w:rPr>
                <w:sz w:val="20"/>
                <w:szCs w:val="20"/>
                <w:color w:val="auto"/>
              </w:rPr>
            </w:pPr>
            <w:r>
              <w:rPr>
                <w:rFonts w:ascii="Arial" w:cs="Arial" w:eastAsia="Arial" w:hAnsi="Arial"/>
                <w:sz w:val="16"/>
                <w:szCs w:val="16"/>
                <w:color w:val="auto"/>
              </w:rPr>
              <w:t>IN</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1,923</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5,925</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66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1,923</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5,927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7,850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51</w:t>
            </w:r>
          </w:p>
        </w:tc>
      </w:tr>
      <w:tr>
        <w:trPr>
          <w:trHeight w:val="459"/>
        </w:trPr>
        <w:tc>
          <w:tcPr>
            <w:tcW w:w="320" w:type="dxa"/>
            <w:vAlign w:val="bottom"/>
          </w:tcPr>
          <w:p>
            <w:pPr>
              <w:spacing w:after="0"/>
              <w:rPr>
                <w:sz w:val="20"/>
                <w:szCs w:val="20"/>
                <w:color w:val="auto"/>
              </w:rPr>
            </w:pPr>
            <w:r>
              <w:rPr>
                <w:rFonts w:ascii="Arial" w:cs="Arial" w:eastAsia="Arial" w:hAnsi="Arial"/>
                <w:sz w:val="16"/>
                <w:szCs w:val="16"/>
                <w:color w:val="auto"/>
              </w:rPr>
              <w:t>IN</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876</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4,778</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236</w:t>
            </w:r>
          </w:p>
        </w:tc>
        <w:tc>
          <w:tcPr>
            <w:tcW w:w="66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876</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5,014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5,890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97</w:t>
            </w:r>
          </w:p>
        </w:tc>
      </w:tr>
      <w:tr>
        <w:trPr>
          <w:trHeight w:val="364"/>
        </w:trPr>
        <w:tc>
          <w:tcPr>
            <w:tcW w:w="320" w:type="dxa"/>
            <w:vAlign w:val="bottom"/>
          </w:tcPr>
          <w:p>
            <w:pPr>
              <w:spacing w:after="0"/>
              <w:rPr>
                <w:sz w:val="20"/>
                <w:szCs w:val="20"/>
                <w:color w:val="auto"/>
              </w:rPr>
            </w:pPr>
            <w:r>
              <w:rPr>
                <w:rFonts w:ascii="Arial" w:cs="Arial" w:eastAsia="Arial" w:hAnsi="Arial"/>
                <w:sz w:val="16"/>
                <w:szCs w:val="16"/>
                <w:color w:val="auto"/>
              </w:rPr>
              <w:t>IN</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663</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4,434</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66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663</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4,444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5,107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38</w:t>
            </w:r>
          </w:p>
        </w:tc>
      </w:tr>
      <w:tr>
        <w:trPr>
          <w:trHeight w:val="364"/>
        </w:trPr>
        <w:tc>
          <w:tcPr>
            <w:tcW w:w="320" w:type="dxa"/>
            <w:vAlign w:val="bottom"/>
          </w:tcPr>
          <w:p>
            <w:pPr>
              <w:spacing w:after="0"/>
              <w:rPr>
                <w:sz w:val="20"/>
                <w:szCs w:val="20"/>
                <w:color w:val="auto"/>
              </w:rPr>
            </w:pPr>
            <w:r>
              <w:rPr>
                <w:rFonts w:ascii="Arial" w:cs="Arial" w:eastAsia="Arial" w:hAnsi="Arial"/>
                <w:sz w:val="16"/>
                <w:szCs w:val="16"/>
                <w:color w:val="auto"/>
              </w:rPr>
              <w:t>IN</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1,326</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6,164</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327</w:t>
            </w:r>
          </w:p>
        </w:tc>
        <w:tc>
          <w:tcPr>
            <w:tcW w:w="66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1,326</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6,491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7,817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125</w:t>
            </w:r>
          </w:p>
        </w:tc>
      </w:tr>
      <w:tr>
        <w:trPr>
          <w:trHeight w:val="459"/>
        </w:trPr>
        <w:tc>
          <w:tcPr>
            <w:tcW w:w="320" w:type="dxa"/>
            <w:vAlign w:val="bottom"/>
          </w:tcPr>
          <w:p>
            <w:pPr>
              <w:spacing w:after="0"/>
              <w:rPr>
                <w:sz w:val="20"/>
                <w:szCs w:val="20"/>
                <w:color w:val="auto"/>
              </w:rPr>
            </w:pPr>
            <w:r>
              <w:rPr>
                <w:rFonts w:ascii="Arial" w:cs="Arial" w:eastAsia="Arial" w:hAnsi="Arial"/>
                <w:sz w:val="16"/>
                <w:szCs w:val="16"/>
                <w:color w:val="auto"/>
              </w:rPr>
              <w:t>IN</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426</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2,903</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418</w:t>
            </w:r>
          </w:p>
        </w:tc>
        <w:tc>
          <w:tcPr>
            <w:tcW w:w="66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426</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3,321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3,747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853</w:t>
            </w:r>
          </w:p>
        </w:tc>
      </w:tr>
      <w:tr>
        <w:trPr>
          <w:trHeight w:val="459"/>
        </w:trPr>
        <w:tc>
          <w:tcPr>
            <w:tcW w:w="320" w:type="dxa"/>
            <w:vAlign w:val="bottom"/>
          </w:tcPr>
          <w:p>
            <w:pPr>
              <w:spacing w:after="0"/>
              <w:rPr>
                <w:sz w:val="20"/>
                <w:szCs w:val="20"/>
                <w:color w:val="auto"/>
              </w:rPr>
            </w:pPr>
            <w:r>
              <w:rPr>
                <w:rFonts w:ascii="Arial" w:cs="Arial" w:eastAsia="Arial" w:hAnsi="Arial"/>
                <w:sz w:val="16"/>
                <w:szCs w:val="16"/>
                <w:color w:val="auto"/>
              </w:rPr>
              <w:t>IN</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172</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3,066</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213</w:t>
            </w:r>
          </w:p>
        </w:tc>
        <w:tc>
          <w:tcPr>
            <w:tcW w:w="66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172</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3,279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3,451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62</w:t>
            </w:r>
          </w:p>
        </w:tc>
      </w:tr>
      <w:tr>
        <w:trPr>
          <w:trHeight w:val="459"/>
        </w:trPr>
        <w:tc>
          <w:tcPr>
            <w:tcW w:w="320" w:type="dxa"/>
            <w:vAlign w:val="bottom"/>
          </w:tcPr>
          <w:p>
            <w:pPr>
              <w:spacing w:after="0"/>
              <w:rPr>
                <w:sz w:val="20"/>
                <w:szCs w:val="20"/>
                <w:color w:val="auto"/>
              </w:rPr>
            </w:pPr>
            <w:r>
              <w:rPr>
                <w:rFonts w:ascii="Arial" w:cs="Arial" w:eastAsia="Arial" w:hAnsi="Arial"/>
                <w:sz w:val="16"/>
                <w:szCs w:val="16"/>
                <w:color w:val="auto"/>
              </w:rPr>
              <w:t>IN</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903</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3,658</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305</w:t>
            </w:r>
          </w:p>
        </w:tc>
        <w:tc>
          <w:tcPr>
            <w:tcW w:w="66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903</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3,963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4,866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-10325735</wp:posOffset>
            </wp:positionV>
            <wp:extent cx="7246620" cy="2743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-9880600</wp:posOffset>
            </wp:positionV>
            <wp:extent cx="7246620" cy="291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-9298305</wp:posOffset>
            </wp:positionV>
            <wp:extent cx="7246620"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-8955405</wp:posOffset>
            </wp:positionV>
            <wp:extent cx="7246620"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-8613140</wp:posOffset>
            </wp:positionV>
            <wp:extent cx="7246620" cy="1714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-8270240</wp:posOffset>
            </wp:positionV>
            <wp:extent cx="7246620"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-7927340</wp:posOffset>
            </wp:positionV>
            <wp:extent cx="7246620"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-7465060</wp:posOffset>
            </wp:positionV>
            <wp:extent cx="7246620"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-7122160</wp:posOffset>
            </wp:positionV>
            <wp:extent cx="7246620" cy="291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-6539865</wp:posOffset>
            </wp:positionV>
            <wp:extent cx="7246620" cy="291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-6077585</wp:posOffset>
            </wp:positionV>
            <wp:extent cx="7246620" cy="1714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-5734685</wp:posOffset>
            </wp:positionV>
            <wp:extent cx="7246620" cy="1714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-5391785</wp:posOffset>
            </wp:positionV>
            <wp:extent cx="7246620" cy="1714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-5049520</wp:posOffset>
            </wp:positionV>
            <wp:extent cx="7246620" cy="1714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-4706620</wp:posOffset>
            </wp:positionV>
            <wp:extent cx="7246620" cy="1714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-4244340</wp:posOffset>
            </wp:positionV>
            <wp:extent cx="7246620" cy="2914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-3781425</wp:posOffset>
            </wp:positionV>
            <wp:extent cx="7246620"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-3439160</wp:posOffset>
            </wp:positionV>
            <wp:extent cx="7246620" cy="1714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-3096260</wp:posOffset>
            </wp:positionV>
            <wp:extent cx="7246620"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-2753995</wp:posOffset>
            </wp:positionV>
            <wp:extent cx="7246620" cy="291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-2171065</wp:posOffset>
            </wp:positionV>
            <wp:extent cx="7246620"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-1828800</wp:posOffset>
            </wp:positionV>
            <wp:extent cx="7246620" cy="2914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-1246505</wp:posOffset>
            </wp:positionV>
            <wp:extent cx="7246620"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-783590</wp:posOffset>
            </wp:positionV>
            <wp:extent cx="7246620" cy="2914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-201295</wp:posOffset>
            </wp:positionV>
            <wp:extent cx="7246620" cy="291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ectPr>
          <w:pgSz w:w="11900" w:h="16838" w:orient="portrait"/>
          <w:cols w:equalWidth="0" w:num="2">
            <w:col w:w="2440" w:space="240"/>
            <w:col w:w="8320"/>
          </w:cols>
          <w:pgMar w:left="360" w:top="130" w:right="539" w:bottom="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02"/>
        </w:trPr>
        <w:tc>
          <w:tcPr>
            <w:tcW w:w="800" w:type="dxa"/>
            <w:vAlign w:val="bottom"/>
          </w:tcPr>
          <w:p>
            <w:pPr>
              <w:jc w:val="center"/>
              <w:spacing w:after="0"/>
              <w:rPr>
                <w:sz w:val="20"/>
                <w:szCs w:val="20"/>
                <w:color w:val="auto"/>
              </w:rPr>
            </w:pPr>
            <w:r>
              <w:rPr>
                <w:rFonts w:ascii="Arial" w:cs="Arial" w:eastAsia="Arial" w:hAnsi="Arial"/>
                <w:sz w:val="16"/>
                <w:szCs w:val="16"/>
                <w:color w:val="auto"/>
                <w:w w:val="89"/>
              </w:rPr>
              <w:t>4/22/2016</w:t>
            </w:r>
          </w:p>
        </w:tc>
        <w:tc>
          <w:tcPr>
            <w:tcW w:w="1600" w:type="dxa"/>
            <w:vAlign w:val="bottom"/>
          </w:tcPr>
          <w:p>
            <w:pPr>
              <w:ind w:left="60"/>
              <w:spacing w:after="0"/>
              <w:rPr>
                <w:sz w:val="20"/>
                <w:szCs w:val="20"/>
                <w:color w:val="auto"/>
              </w:rPr>
            </w:pPr>
            <w:r>
              <w:rPr>
                <w:rFonts w:ascii="Arial" w:cs="Arial" w:eastAsia="Arial" w:hAnsi="Arial"/>
                <w:sz w:val="16"/>
                <w:szCs w:val="16"/>
                <w:color w:val="auto"/>
                <w:w w:val="96"/>
              </w:rPr>
              <w:t>Indianapolis/ Rockville</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1600" w:type="dxa"/>
            <w:vAlign w:val="bottom"/>
          </w:tcPr>
          <w:p>
            <w:pPr>
              <w:ind w:left="60"/>
              <w:spacing w:after="0"/>
              <w:rPr>
                <w:sz w:val="20"/>
                <w:szCs w:val="20"/>
                <w:color w:val="auto"/>
              </w:rPr>
            </w:pPr>
            <w:r>
              <w:rPr>
                <w:rFonts w:ascii="Arial" w:cs="Arial" w:eastAsia="Arial" w:hAnsi="Arial"/>
                <w:sz w:val="16"/>
                <w:szCs w:val="16"/>
                <w:color w:val="auto"/>
              </w:rPr>
              <w:t>Road</w:t>
            </w: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10/10/2008</w:t>
            </w:r>
          </w:p>
        </w:tc>
        <w:tc>
          <w:tcPr>
            <w:tcW w:w="1600" w:type="dxa"/>
            <w:vAlign w:val="bottom"/>
          </w:tcPr>
          <w:p>
            <w:pPr>
              <w:ind w:left="60"/>
              <w:spacing w:after="0"/>
              <w:rPr>
                <w:sz w:val="20"/>
                <w:szCs w:val="20"/>
                <w:color w:val="auto"/>
              </w:rPr>
            </w:pPr>
            <w:r>
              <w:rPr>
                <w:rFonts w:ascii="Arial" w:cs="Arial" w:eastAsia="Arial" w:hAnsi="Arial"/>
                <w:sz w:val="16"/>
                <w:szCs w:val="16"/>
                <w:color w:val="auto"/>
              </w:rPr>
              <w:t>Mishawaka</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4/13/2006</w:t>
            </w:r>
          </w:p>
        </w:tc>
        <w:tc>
          <w:tcPr>
            <w:tcW w:w="1600" w:type="dxa"/>
            <w:vAlign w:val="bottom"/>
          </w:tcPr>
          <w:p>
            <w:pPr>
              <w:ind w:left="60"/>
              <w:spacing w:after="0"/>
              <w:rPr>
                <w:sz w:val="20"/>
                <w:szCs w:val="20"/>
                <w:color w:val="auto"/>
              </w:rPr>
            </w:pPr>
            <w:r>
              <w:rPr>
                <w:rFonts w:ascii="Arial" w:cs="Arial" w:eastAsia="Arial" w:hAnsi="Arial"/>
                <w:sz w:val="16"/>
                <w:szCs w:val="16"/>
                <w:color w:val="auto"/>
              </w:rPr>
              <w:t>Wichita</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6/27/2011</w:t>
            </w:r>
          </w:p>
        </w:tc>
        <w:tc>
          <w:tcPr>
            <w:tcW w:w="1600" w:type="dxa"/>
            <w:vAlign w:val="bottom"/>
          </w:tcPr>
          <w:p>
            <w:pPr>
              <w:ind w:left="60"/>
              <w:spacing w:after="0"/>
              <w:rPr>
                <w:sz w:val="20"/>
                <w:szCs w:val="20"/>
                <w:color w:val="auto"/>
              </w:rPr>
            </w:pPr>
            <w:r>
              <w:rPr>
                <w:rFonts w:ascii="Arial" w:cs="Arial" w:eastAsia="Arial" w:hAnsi="Arial"/>
                <w:sz w:val="16"/>
                <w:szCs w:val="16"/>
                <w:color w:val="auto"/>
              </w:rPr>
              <w:t>Covington</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600" w:type="dxa"/>
            <w:vAlign w:val="bottom"/>
          </w:tcPr>
          <w:p>
            <w:pPr>
              <w:ind w:left="60"/>
              <w:spacing w:after="0"/>
              <w:rPr>
                <w:sz w:val="20"/>
                <w:szCs w:val="20"/>
                <w:color w:val="auto"/>
              </w:rPr>
            </w:pPr>
            <w:r>
              <w:rPr>
                <w:rFonts w:ascii="Arial" w:cs="Arial" w:eastAsia="Arial" w:hAnsi="Arial"/>
                <w:sz w:val="16"/>
                <w:szCs w:val="16"/>
                <w:color w:val="auto"/>
              </w:rPr>
              <w:t>Crescent Springs</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600" w:type="dxa"/>
            <w:vAlign w:val="bottom"/>
          </w:tcPr>
          <w:p>
            <w:pPr>
              <w:ind w:left="60"/>
              <w:spacing w:after="0"/>
              <w:rPr>
                <w:sz w:val="20"/>
                <w:szCs w:val="20"/>
                <w:color w:val="auto"/>
              </w:rPr>
            </w:pPr>
            <w:r>
              <w:rPr>
                <w:rFonts w:ascii="Arial" w:cs="Arial" w:eastAsia="Arial" w:hAnsi="Arial"/>
                <w:sz w:val="16"/>
                <w:szCs w:val="16"/>
                <w:color w:val="auto"/>
              </w:rPr>
              <w:t>Erlanger</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600" w:type="dxa"/>
            <w:vAlign w:val="bottom"/>
          </w:tcPr>
          <w:p>
            <w:pPr>
              <w:ind w:left="60"/>
              <w:spacing w:after="0"/>
              <w:rPr>
                <w:sz w:val="20"/>
                <w:szCs w:val="20"/>
                <w:color w:val="auto"/>
              </w:rPr>
            </w:pPr>
            <w:r>
              <w:rPr>
                <w:rFonts w:ascii="Arial" w:cs="Arial" w:eastAsia="Arial" w:hAnsi="Arial"/>
                <w:sz w:val="16"/>
                <w:szCs w:val="16"/>
                <w:color w:val="auto"/>
                <w:w w:val="99"/>
              </w:rPr>
              <w:t>Florence / Centennial</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00" w:type="dxa"/>
            <w:vAlign w:val="bottom"/>
            <w:vMerge w:val="restart"/>
          </w:tcPr>
          <w:p>
            <w:pPr>
              <w:ind w:left="60"/>
              <w:spacing w:after="0"/>
              <w:rPr>
                <w:sz w:val="20"/>
                <w:szCs w:val="20"/>
                <w:color w:val="auto"/>
              </w:rPr>
            </w:pPr>
            <w:r>
              <w:rPr>
                <w:rFonts w:ascii="Arial" w:cs="Arial" w:eastAsia="Arial" w:hAnsi="Arial"/>
                <w:sz w:val="16"/>
                <w:szCs w:val="16"/>
                <w:color w:val="auto"/>
              </w:rPr>
              <w:t>Circle</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600" w:type="dxa"/>
            <w:vAlign w:val="bottom"/>
          </w:tcPr>
          <w:p>
            <w:pPr>
              <w:ind w:left="60"/>
              <w:spacing w:after="0"/>
              <w:rPr>
                <w:sz w:val="20"/>
                <w:szCs w:val="20"/>
                <w:color w:val="auto"/>
              </w:rPr>
            </w:pPr>
            <w:r>
              <w:rPr>
                <w:rFonts w:ascii="Arial" w:cs="Arial" w:eastAsia="Arial" w:hAnsi="Arial"/>
                <w:sz w:val="16"/>
                <w:szCs w:val="16"/>
                <w:color w:val="auto"/>
              </w:rPr>
              <w:t>Florence / Steilen Dr</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7/1/2005</w:t>
            </w:r>
          </w:p>
        </w:tc>
        <w:tc>
          <w:tcPr>
            <w:tcW w:w="1600" w:type="dxa"/>
            <w:vAlign w:val="bottom"/>
          </w:tcPr>
          <w:p>
            <w:pPr>
              <w:ind w:left="60"/>
              <w:spacing w:after="0"/>
              <w:rPr>
                <w:sz w:val="20"/>
                <w:szCs w:val="20"/>
                <w:color w:val="auto"/>
              </w:rPr>
            </w:pPr>
            <w:r>
              <w:rPr>
                <w:rFonts w:ascii="Arial" w:cs="Arial" w:eastAsia="Arial" w:hAnsi="Arial"/>
                <w:sz w:val="16"/>
                <w:szCs w:val="16"/>
                <w:color w:val="auto"/>
                <w:w w:val="98"/>
              </w:rPr>
              <w:t>Louisville / Bardstown</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00" w:type="dxa"/>
            <w:vAlign w:val="bottom"/>
            <w:vMerge w:val="restart"/>
          </w:tcPr>
          <w:p>
            <w:pPr>
              <w:ind w:left="60"/>
              <w:spacing w:after="0"/>
              <w:rPr>
                <w:sz w:val="20"/>
                <w:szCs w:val="20"/>
                <w:color w:val="auto"/>
              </w:rPr>
            </w:pPr>
            <w:r>
              <w:rPr>
                <w:rFonts w:ascii="Arial" w:cs="Arial" w:eastAsia="Arial" w:hAnsi="Arial"/>
                <w:sz w:val="16"/>
                <w:szCs w:val="16"/>
                <w:color w:val="auto"/>
              </w:rPr>
              <w:t>Rd</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9/16/2016</w:t>
            </w:r>
          </w:p>
        </w:tc>
        <w:tc>
          <w:tcPr>
            <w:tcW w:w="1600" w:type="dxa"/>
            <w:vAlign w:val="bottom"/>
          </w:tcPr>
          <w:p>
            <w:pPr>
              <w:ind w:left="60"/>
              <w:spacing w:after="0"/>
              <w:rPr>
                <w:sz w:val="20"/>
                <w:szCs w:val="20"/>
                <w:color w:val="auto"/>
              </w:rPr>
            </w:pPr>
            <w:r>
              <w:rPr>
                <w:rFonts w:ascii="Arial" w:cs="Arial" w:eastAsia="Arial" w:hAnsi="Arial"/>
                <w:sz w:val="16"/>
                <w:szCs w:val="16"/>
                <w:color w:val="auto"/>
              </w:rPr>
              <w:t>Louisville / Preston</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00" w:type="dxa"/>
            <w:vAlign w:val="bottom"/>
            <w:vMerge w:val="restart"/>
          </w:tcPr>
          <w:p>
            <w:pPr>
              <w:ind w:left="60"/>
              <w:spacing w:after="0"/>
              <w:rPr>
                <w:sz w:val="20"/>
                <w:szCs w:val="20"/>
                <w:color w:val="auto"/>
              </w:rPr>
            </w:pPr>
            <w:r>
              <w:rPr>
                <w:rFonts w:ascii="Arial" w:cs="Arial" w:eastAsia="Arial" w:hAnsi="Arial"/>
                <w:sz w:val="16"/>
                <w:szCs w:val="16"/>
                <w:color w:val="auto"/>
              </w:rPr>
              <w:t>Hwy</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7/1/2005</w:t>
            </w:r>
          </w:p>
        </w:tc>
        <w:tc>
          <w:tcPr>
            <w:tcW w:w="1600" w:type="dxa"/>
            <w:vAlign w:val="bottom"/>
          </w:tcPr>
          <w:p>
            <w:pPr>
              <w:ind w:left="60"/>
              <w:spacing w:after="0"/>
              <w:rPr>
                <w:sz w:val="20"/>
                <w:szCs w:val="20"/>
                <w:color w:val="auto"/>
              </w:rPr>
            </w:pPr>
            <w:r>
              <w:rPr>
                <w:rFonts w:ascii="Arial" w:cs="Arial" w:eastAsia="Arial" w:hAnsi="Arial"/>
                <w:sz w:val="16"/>
                <w:szCs w:val="16"/>
                <w:color w:val="auto"/>
              </w:rPr>
              <w:t>Louisville / Warwick</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00" w:type="dxa"/>
            <w:vAlign w:val="bottom"/>
            <w:vMerge w:val="restart"/>
          </w:tcPr>
          <w:p>
            <w:pPr>
              <w:ind w:left="60"/>
              <w:spacing w:after="0"/>
              <w:rPr>
                <w:sz w:val="20"/>
                <w:szCs w:val="20"/>
                <w:color w:val="auto"/>
              </w:rPr>
            </w:pPr>
            <w:r>
              <w:rPr>
                <w:rFonts w:ascii="Arial" w:cs="Arial" w:eastAsia="Arial" w:hAnsi="Arial"/>
                <w:sz w:val="16"/>
                <w:szCs w:val="16"/>
                <w:color w:val="auto"/>
              </w:rPr>
              <w:t>Ave</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12/1/2005</w:t>
            </w:r>
          </w:p>
        </w:tc>
        <w:tc>
          <w:tcPr>
            <w:tcW w:w="1600" w:type="dxa"/>
            <w:vAlign w:val="bottom"/>
          </w:tcPr>
          <w:p>
            <w:pPr>
              <w:ind w:left="60"/>
              <w:spacing w:after="0"/>
              <w:rPr>
                <w:sz w:val="20"/>
                <w:szCs w:val="20"/>
                <w:color w:val="auto"/>
              </w:rPr>
            </w:pPr>
            <w:r>
              <w:rPr>
                <w:rFonts w:ascii="Arial" w:cs="Arial" w:eastAsia="Arial" w:hAnsi="Arial"/>
                <w:sz w:val="16"/>
                <w:szCs w:val="16"/>
                <w:color w:val="auto"/>
                <w:w w:val="93"/>
              </w:rPr>
              <w:t>Louisville / Wattbourne</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00" w:type="dxa"/>
            <w:vAlign w:val="bottom"/>
            <w:vMerge w:val="restart"/>
          </w:tcPr>
          <w:p>
            <w:pPr>
              <w:ind w:left="60"/>
              <w:spacing w:after="0"/>
              <w:rPr>
                <w:sz w:val="20"/>
                <w:szCs w:val="20"/>
                <w:color w:val="auto"/>
              </w:rPr>
            </w:pPr>
            <w:r>
              <w:rPr>
                <w:rFonts w:ascii="Arial" w:cs="Arial" w:eastAsia="Arial" w:hAnsi="Arial"/>
                <w:sz w:val="16"/>
                <w:szCs w:val="16"/>
                <w:color w:val="auto"/>
              </w:rPr>
              <w:t>Ln</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600" w:type="dxa"/>
            <w:vAlign w:val="bottom"/>
          </w:tcPr>
          <w:p>
            <w:pPr>
              <w:ind w:left="60"/>
              <w:spacing w:after="0"/>
              <w:rPr>
                <w:sz w:val="20"/>
                <w:szCs w:val="20"/>
                <w:color w:val="auto"/>
              </w:rPr>
            </w:pPr>
            <w:r>
              <w:rPr>
                <w:rFonts w:ascii="Arial" w:cs="Arial" w:eastAsia="Arial" w:hAnsi="Arial"/>
                <w:sz w:val="16"/>
                <w:szCs w:val="16"/>
                <w:color w:val="auto"/>
              </w:rPr>
              <w:t>Walton</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8/26/2004</w:t>
            </w:r>
          </w:p>
        </w:tc>
        <w:tc>
          <w:tcPr>
            <w:tcW w:w="1600" w:type="dxa"/>
            <w:vAlign w:val="bottom"/>
          </w:tcPr>
          <w:p>
            <w:pPr>
              <w:ind w:left="60"/>
              <w:spacing w:after="0"/>
              <w:rPr>
                <w:sz w:val="20"/>
                <w:szCs w:val="20"/>
                <w:color w:val="auto"/>
              </w:rPr>
            </w:pPr>
            <w:r>
              <w:rPr>
                <w:rFonts w:ascii="Arial" w:cs="Arial" w:eastAsia="Arial" w:hAnsi="Arial"/>
                <w:sz w:val="16"/>
                <w:szCs w:val="16"/>
                <w:color w:val="auto"/>
              </w:rPr>
              <w:t>Metairie</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8/26/2004</w:t>
            </w:r>
          </w:p>
        </w:tc>
        <w:tc>
          <w:tcPr>
            <w:tcW w:w="1600" w:type="dxa"/>
            <w:vAlign w:val="bottom"/>
          </w:tcPr>
          <w:p>
            <w:pPr>
              <w:ind w:left="60"/>
              <w:spacing w:after="0"/>
              <w:rPr>
                <w:sz w:val="20"/>
                <w:szCs w:val="20"/>
                <w:color w:val="auto"/>
              </w:rPr>
            </w:pPr>
            <w:r>
              <w:rPr>
                <w:rFonts w:ascii="Arial" w:cs="Arial" w:eastAsia="Arial" w:hAnsi="Arial"/>
                <w:sz w:val="16"/>
                <w:szCs w:val="16"/>
                <w:color w:val="auto"/>
              </w:rPr>
              <w:t>New Orleans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80" w:type="dxa"/>
            <w:vAlign w:val="bottom"/>
          </w:tcPr>
          <w:p>
            <w:pPr>
              <w:jc w:val="center"/>
              <w:ind w:right="79"/>
              <w:spacing w:after="0"/>
              <w:rPr>
                <w:sz w:val="20"/>
                <w:szCs w:val="20"/>
                <w:color w:val="auto"/>
              </w:rPr>
            </w:pPr>
            <w:r>
              <w:rPr>
                <w:rFonts w:ascii="Arial" w:cs="Arial" w:eastAsia="Arial" w:hAnsi="Arial"/>
                <w:sz w:val="16"/>
                <w:szCs w:val="16"/>
                <w:color w:val="auto"/>
              </w:rPr>
              <w:t>IN</w:t>
            </w: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1,531</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4,076</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247</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1,531</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4,323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5,854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82</w:t>
            </w:r>
          </w:p>
        </w:tc>
      </w:tr>
      <w:tr>
        <w:trPr>
          <w:trHeight w:val="459"/>
        </w:trPr>
        <w:tc>
          <w:tcPr>
            <w:tcW w:w="380" w:type="dxa"/>
            <w:vAlign w:val="bottom"/>
          </w:tcPr>
          <w:p>
            <w:pPr>
              <w:jc w:val="center"/>
              <w:ind w:right="79"/>
              <w:spacing w:after="0"/>
              <w:rPr>
                <w:sz w:val="20"/>
                <w:szCs w:val="20"/>
                <w:color w:val="auto"/>
              </w:rPr>
            </w:pPr>
            <w:r>
              <w:rPr>
                <w:rFonts w:ascii="Arial" w:cs="Arial" w:eastAsia="Arial" w:hAnsi="Arial"/>
                <w:sz w:val="16"/>
                <w:szCs w:val="16"/>
                <w:color w:val="auto"/>
              </w:rPr>
              <w:t>IN</w:t>
            </w:r>
          </w:p>
        </w:tc>
        <w:tc>
          <w:tcPr>
            <w:tcW w:w="720" w:type="dxa"/>
            <w:vAlign w:val="bottom"/>
          </w:tcPr>
          <w:p>
            <w:pPr>
              <w:jc w:val="center"/>
              <w:spacing w:after="0"/>
              <w:rPr>
                <w:sz w:val="20"/>
                <w:szCs w:val="20"/>
                <w:color w:val="auto"/>
              </w:rPr>
            </w:pPr>
            <w:r>
              <w:rPr>
                <w:rFonts w:ascii="Arial" w:cs="Arial" w:eastAsia="Arial" w:hAnsi="Arial"/>
                <w:sz w:val="16"/>
                <w:szCs w:val="16"/>
                <w:color w:val="auto"/>
                <w:w w:val="94"/>
              </w:rPr>
              <w:t>5,201</w:t>
            </w: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630</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3,349</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347</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630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3,696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4,326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910</w:t>
            </w:r>
          </w:p>
        </w:tc>
      </w:tr>
      <w:tr>
        <w:trPr>
          <w:trHeight w:val="270"/>
        </w:trPr>
        <w:tc>
          <w:tcPr>
            <w:tcW w:w="380" w:type="dxa"/>
            <w:vAlign w:val="bottom"/>
          </w:tcPr>
          <w:p>
            <w:pPr>
              <w:jc w:val="center"/>
              <w:ind w:right="59"/>
              <w:spacing w:after="0"/>
              <w:rPr>
                <w:sz w:val="20"/>
                <w:szCs w:val="20"/>
                <w:color w:val="auto"/>
              </w:rPr>
            </w:pPr>
            <w:r>
              <w:rPr>
                <w:rFonts w:ascii="Arial" w:cs="Arial" w:eastAsia="Arial" w:hAnsi="Arial"/>
                <w:sz w:val="16"/>
                <w:szCs w:val="16"/>
                <w:color w:val="auto"/>
                <w:w w:val="93"/>
              </w:rPr>
              <w:t>KS</w:t>
            </w: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366</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1,897</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466</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366</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2,363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2,729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834</w:t>
            </w:r>
          </w:p>
        </w:tc>
      </w:tr>
      <w:tr>
        <w:trPr>
          <w:trHeight w:val="270"/>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KY</w:t>
            </w:r>
          </w:p>
        </w:tc>
        <w:tc>
          <w:tcPr>
            <w:tcW w:w="720" w:type="dxa"/>
            <w:vAlign w:val="bottom"/>
          </w:tcPr>
          <w:p>
            <w:pPr>
              <w:jc w:val="center"/>
              <w:spacing w:after="0"/>
              <w:rPr>
                <w:sz w:val="20"/>
                <w:szCs w:val="20"/>
                <w:color w:val="auto"/>
              </w:rPr>
            </w:pPr>
            <w:r>
              <w:rPr>
                <w:rFonts w:ascii="Arial" w:cs="Arial" w:eastAsia="Arial" w:hAnsi="Arial"/>
                <w:sz w:val="16"/>
                <w:szCs w:val="16"/>
                <w:color w:val="auto"/>
                <w:w w:val="94"/>
              </w:rPr>
              <w:t>1,909</w:t>
            </w: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839</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2,543</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169</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839</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2,712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3,551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448</w:t>
            </w:r>
          </w:p>
        </w:tc>
      </w:tr>
      <w:tr>
        <w:trPr>
          <w:trHeight w:val="270"/>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KY</w:t>
            </w: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120</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5,313</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289</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120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5,602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5,722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187</w:t>
            </w:r>
          </w:p>
        </w:tc>
      </w:tr>
      <w:tr>
        <w:trPr>
          <w:trHeight w:val="270"/>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KY</w:t>
            </w:r>
          </w:p>
        </w:tc>
        <w:tc>
          <w:tcPr>
            <w:tcW w:w="720" w:type="dxa"/>
            <w:vAlign w:val="bottom"/>
          </w:tcPr>
          <w:p>
            <w:pPr>
              <w:jc w:val="center"/>
              <w:spacing w:after="0"/>
              <w:rPr>
                <w:sz w:val="20"/>
                <w:szCs w:val="20"/>
                <w:color w:val="auto"/>
              </w:rPr>
            </w:pPr>
            <w:r>
              <w:rPr>
                <w:rFonts w:ascii="Arial" w:cs="Arial" w:eastAsia="Arial" w:hAnsi="Arial"/>
                <w:sz w:val="16"/>
                <w:szCs w:val="16"/>
                <w:color w:val="auto"/>
                <w:w w:val="94"/>
              </w:rPr>
              <w:t>3,799</w:t>
            </w: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220</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7,132</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258</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220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7,390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7,610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244</w:t>
            </w:r>
          </w:p>
        </w:tc>
      </w:tr>
      <w:tr>
        <w:trPr>
          <w:trHeight w:val="364"/>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KY</w:t>
            </w: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240</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8,234</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666</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240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8,900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9,140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305</w:t>
            </w:r>
          </w:p>
        </w:tc>
      </w:tr>
      <w:tr>
        <w:trPr>
          <w:trHeight w:val="364"/>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KY</w:t>
            </w:r>
          </w:p>
        </w:tc>
        <w:tc>
          <w:tcPr>
            <w:tcW w:w="720" w:type="dxa"/>
            <w:vAlign w:val="bottom"/>
          </w:tcPr>
          <w:p>
            <w:pPr>
              <w:jc w:val="center"/>
              <w:spacing w:after="0"/>
              <w:rPr>
                <w:sz w:val="20"/>
                <w:szCs w:val="20"/>
                <w:color w:val="auto"/>
              </w:rPr>
            </w:pPr>
            <w:r>
              <w:rPr>
                <w:rFonts w:ascii="Arial" w:cs="Arial" w:eastAsia="Arial" w:hAnsi="Arial"/>
                <w:sz w:val="16"/>
                <w:szCs w:val="16"/>
                <w:color w:val="auto"/>
                <w:w w:val="94"/>
              </w:rPr>
              <w:t>6,326</w:t>
            </w: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540</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13,616</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674</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540</w:t>
            </w: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14,290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14,830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473</w:t>
            </w:r>
          </w:p>
        </w:tc>
      </w:tr>
      <w:tr>
        <w:trPr>
          <w:trHeight w:val="364"/>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KY</w:t>
            </w:r>
          </w:p>
        </w:tc>
        <w:tc>
          <w:tcPr>
            <w:tcW w:w="720" w:type="dxa"/>
            <w:vAlign w:val="bottom"/>
          </w:tcPr>
          <w:p>
            <w:pPr>
              <w:jc w:val="center"/>
              <w:spacing w:after="0"/>
              <w:rPr>
                <w:sz w:val="20"/>
                <w:szCs w:val="20"/>
                <w:color w:val="auto"/>
              </w:rPr>
            </w:pPr>
            <w:r>
              <w:rPr>
                <w:rFonts w:ascii="Arial" w:cs="Arial" w:eastAsia="Arial" w:hAnsi="Arial"/>
                <w:sz w:val="16"/>
                <w:szCs w:val="16"/>
                <w:color w:val="auto"/>
                <w:w w:val="94"/>
              </w:rPr>
              <w:t>3,586</w:t>
            </w: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586</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3,244</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583</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586</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3,827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4,413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1,250</w:t>
            </w:r>
          </w:p>
        </w:tc>
      </w:tr>
      <w:tr>
        <w:trPr>
          <w:trHeight w:val="459"/>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KY</w:t>
            </w: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2,970</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8,237</w:t>
            </w:r>
          </w:p>
        </w:tc>
        <w:tc>
          <w:tcPr>
            <w:tcW w:w="1220" w:type="dxa"/>
            <w:vAlign w:val="bottom"/>
          </w:tcPr>
          <w:p>
            <w:pPr>
              <w:jc w:val="center"/>
              <w:ind w:right="139"/>
              <w:spacing w:after="0"/>
              <w:rPr>
                <w:sz w:val="20"/>
                <w:szCs w:val="20"/>
                <w:color w:val="auto"/>
              </w:rPr>
            </w:pPr>
            <w:r>
              <w:rPr>
                <w:rFonts w:ascii="Arial" w:cs="Arial" w:eastAsia="Arial" w:hAnsi="Arial"/>
                <w:sz w:val="16"/>
                <w:szCs w:val="16"/>
                <w:color w:val="auto"/>
                <w:w w:val="89"/>
              </w:rPr>
              <w:t>24</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2,970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8,261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11,231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71</w:t>
            </w:r>
          </w:p>
        </w:tc>
      </w:tr>
      <w:tr>
        <w:trPr>
          <w:trHeight w:val="459"/>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KY</w:t>
            </w:r>
          </w:p>
        </w:tc>
        <w:tc>
          <w:tcPr>
            <w:tcW w:w="720" w:type="dxa"/>
            <w:vAlign w:val="bottom"/>
          </w:tcPr>
          <w:p>
            <w:pPr>
              <w:jc w:val="center"/>
              <w:spacing w:after="0"/>
              <w:rPr>
                <w:sz w:val="20"/>
                <w:szCs w:val="20"/>
                <w:color w:val="auto"/>
              </w:rPr>
            </w:pPr>
            <w:r>
              <w:rPr>
                <w:rFonts w:ascii="Arial" w:cs="Arial" w:eastAsia="Arial" w:hAnsi="Arial"/>
                <w:sz w:val="16"/>
                <w:szCs w:val="16"/>
                <w:color w:val="auto"/>
                <w:w w:val="94"/>
              </w:rPr>
              <w:t>6,745</w:t>
            </w: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1,217</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4,611</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393</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1,217</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5,004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6,221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1,557</w:t>
            </w:r>
          </w:p>
        </w:tc>
      </w:tr>
      <w:tr>
        <w:trPr>
          <w:trHeight w:val="459"/>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KY</w:t>
            </w:r>
          </w:p>
        </w:tc>
        <w:tc>
          <w:tcPr>
            <w:tcW w:w="720" w:type="dxa"/>
            <w:vAlign w:val="bottom"/>
          </w:tcPr>
          <w:p>
            <w:pPr>
              <w:jc w:val="center"/>
              <w:spacing w:after="0"/>
              <w:rPr>
                <w:sz w:val="20"/>
                <w:szCs w:val="20"/>
                <w:color w:val="auto"/>
              </w:rPr>
            </w:pPr>
            <w:r>
              <w:rPr>
                <w:rFonts w:ascii="Arial" w:cs="Arial" w:eastAsia="Arial" w:hAnsi="Arial"/>
                <w:sz w:val="16"/>
                <w:szCs w:val="16"/>
                <w:color w:val="auto"/>
                <w:w w:val="94"/>
              </w:rPr>
              <w:t>4,510</w:t>
            </w: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892</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2,677</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539</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892</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3,216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4,108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927</w:t>
            </w:r>
          </w:p>
        </w:tc>
      </w:tr>
      <w:tr>
        <w:trPr>
          <w:trHeight w:val="364"/>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KY</w:t>
            </w: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290</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6,245</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330</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290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6,575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6,865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216</w:t>
            </w:r>
          </w:p>
        </w:tc>
      </w:tr>
      <w:tr>
        <w:trPr>
          <w:trHeight w:val="270"/>
        </w:trPr>
        <w:tc>
          <w:tcPr>
            <w:tcW w:w="380" w:type="dxa"/>
            <w:vAlign w:val="bottom"/>
          </w:tcPr>
          <w:p>
            <w:pPr>
              <w:jc w:val="center"/>
              <w:ind w:right="79"/>
              <w:spacing w:after="0"/>
              <w:rPr>
                <w:sz w:val="20"/>
                <w:szCs w:val="20"/>
                <w:color w:val="auto"/>
              </w:rPr>
            </w:pPr>
            <w:r>
              <w:rPr>
                <w:rFonts w:ascii="Arial" w:cs="Arial" w:eastAsia="Arial" w:hAnsi="Arial"/>
                <w:sz w:val="16"/>
                <w:szCs w:val="16"/>
                <w:color w:val="auto"/>
              </w:rPr>
              <w:t>LA</w:t>
            </w:r>
          </w:p>
        </w:tc>
        <w:tc>
          <w:tcPr>
            <w:tcW w:w="720" w:type="dxa"/>
            <w:vAlign w:val="bottom"/>
          </w:tcPr>
          <w:p>
            <w:pPr>
              <w:jc w:val="center"/>
              <w:spacing w:after="0"/>
              <w:rPr>
                <w:sz w:val="20"/>
                <w:szCs w:val="20"/>
                <w:color w:val="auto"/>
              </w:rPr>
            </w:pPr>
            <w:r>
              <w:rPr>
                <w:rFonts w:ascii="Arial" w:cs="Arial" w:eastAsia="Arial" w:hAnsi="Arial"/>
                <w:sz w:val="16"/>
                <w:szCs w:val="16"/>
                <w:color w:val="auto"/>
                <w:w w:val="94"/>
              </w:rPr>
              <w:t>3,699</w:t>
            </w: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2,056</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4,216</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331</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2,056</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4,547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6,603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1,497</w:t>
            </w:r>
          </w:p>
        </w:tc>
      </w:tr>
      <w:tr>
        <w:trPr>
          <w:trHeight w:val="270"/>
        </w:trPr>
        <w:tc>
          <w:tcPr>
            <w:tcW w:w="380" w:type="dxa"/>
            <w:vAlign w:val="bottom"/>
          </w:tcPr>
          <w:p>
            <w:pPr>
              <w:jc w:val="center"/>
              <w:ind w:right="79"/>
              <w:spacing w:after="0"/>
              <w:rPr>
                <w:sz w:val="20"/>
                <w:szCs w:val="20"/>
                <w:color w:val="auto"/>
              </w:rPr>
            </w:pPr>
            <w:r>
              <w:rPr>
                <w:rFonts w:ascii="Arial" w:cs="Arial" w:eastAsia="Arial" w:hAnsi="Arial"/>
                <w:sz w:val="16"/>
                <w:szCs w:val="16"/>
                <w:color w:val="auto"/>
              </w:rPr>
              <w:t>LA</w:t>
            </w:r>
          </w:p>
        </w:tc>
        <w:tc>
          <w:tcPr>
            <w:tcW w:w="720" w:type="dxa"/>
            <w:vAlign w:val="bottom"/>
          </w:tcPr>
          <w:p>
            <w:pPr>
              <w:jc w:val="center"/>
              <w:spacing w:after="0"/>
              <w:rPr>
                <w:sz w:val="20"/>
                <w:szCs w:val="20"/>
                <w:color w:val="auto"/>
              </w:rPr>
            </w:pPr>
            <w:r>
              <w:rPr>
                <w:rFonts w:ascii="Arial" w:cs="Arial" w:eastAsia="Arial" w:hAnsi="Arial"/>
                <w:sz w:val="16"/>
                <w:szCs w:val="16"/>
                <w:color w:val="auto"/>
                <w:w w:val="94"/>
              </w:rPr>
              <w:t>5,230</w:t>
            </w: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4,058</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4,325</w:t>
            </w:r>
          </w:p>
        </w:tc>
        <w:tc>
          <w:tcPr>
            <w:tcW w:w="1220" w:type="dxa"/>
            <w:vAlign w:val="bottom"/>
          </w:tcPr>
          <w:p>
            <w:pPr>
              <w:jc w:val="center"/>
              <w:ind w:right="119"/>
              <w:spacing w:after="0"/>
              <w:rPr>
                <w:sz w:val="20"/>
                <w:szCs w:val="20"/>
                <w:color w:val="auto"/>
              </w:rPr>
            </w:pPr>
            <w:r>
              <w:rPr>
                <w:rFonts w:ascii="Arial" w:cs="Arial" w:eastAsia="Arial" w:hAnsi="Arial"/>
                <w:sz w:val="16"/>
                <w:szCs w:val="16"/>
                <w:color w:val="auto"/>
                <w:w w:val="97"/>
              </w:rPr>
              <w:t>850</w:t>
            </w: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89"/>
              </w:rPr>
              <w:t>4,059</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5,174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9,233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1,814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-2967990</wp:posOffset>
            </wp:positionV>
            <wp:extent cx="7246620" cy="1714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-2625090</wp:posOffset>
            </wp:positionV>
            <wp:extent cx="7246620" cy="1714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-2282825</wp:posOffset>
            </wp:positionV>
            <wp:extent cx="7246620" cy="1714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-1819910</wp:posOffset>
            </wp:positionV>
            <wp:extent cx="7246620" cy="1714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-1357630</wp:posOffset>
            </wp:positionV>
            <wp:extent cx="7246620" cy="2914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-775335</wp:posOffset>
            </wp:positionV>
            <wp:extent cx="7246620" cy="2914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-312420</wp:posOffset>
            </wp:positionV>
            <wp:extent cx="7246620" cy="1714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5"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90</w:t>
      </w:r>
    </w:p>
    <w:p>
      <w:pPr>
        <w:sectPr>
          <w:pgSz w:w="11900" w:h="16838" w:orient="portrait"/>
          <w:cols w:equalWidth="0" w:num="2">
            <w:col w:w="2400" w:space="260"/>
            <w:col w:w="8340"/>
          </w:cols>
          <w:pgMar w:left="360" w:top="130" w:right="5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2"/>
        </w:trPr>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acquired</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9"/>
              </w:rPr>
              <w:t>or</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development</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completed</w:t>
            </w:r>
          </w:p>
        </w:tc>
        <w:tc>
          <w:tcPr>
            <w:tcW w:w="1660" w:type="dxa"/>
            <w:vAlign w:val="bottom"/>
          </w:tcPr>
          <w:p>
            <w:pPr>
              <w:ind w:left="420"/>
              <w:spacing w:after="0"/>
              <w:rPr>
                <w:sz w:val="20"/>
                <w:szCs w:val="20"/>
                <w:color w:val="auto"/>
              </w:rPr>
            </w:pPr>
            <w:r>
              <w:rPr>
                <w:rFonts w:ascii="Arial" w:cs="Arial" w:eastAsia="Arial" w:hAnsi="Arial"/>
                <w:sz w:val="16"/>
                <w:szCs w:val="16"/>
                <w:b w:val="1"/>
                <w:bCs w:val="1"/>
                <w:color w:val="auto"/>
              </w:rPr>
              <w:t>Store Name</w:t>
            </w:r>
          </w:p>
        </w:tc>
        <w:tc>
          <w:tcPr>
            <w:tcW w:w="0" w:type="dxa"/>
            <w:vAlign w:val="bottom"/>
          </w:tcPr>
          <w:p>
            <w:pPr>
              <w:spacing w:after="0"/>
              <w:rPr>
                <w:sz w:val="1"/>
                <w:szCs w:val="1"/>
                <w:color w:val="auto"/>
              </w:rPr>
            </w:pPr>
          </w:p>
        </w:tc>
      </w:tr>
      <w:tr>
        <w:trPr>
          <w:trHeight w:val="33"/>
        </w:trPr>
        <w:tc>
          <w:tcPr>
            <w:tcW w:w="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60" w:type="dxa"/>
            <w:vAlign w:val="bottom"/>
          </w:tcPr>
          <w:p>
            <w:pPr>
              <w:jc w:val="center"/>
              <w:spacing w:after="0"/>
              <w:rPr>
                <w:sz w:val="20"/>
                <w:szCs w:val="20"/>
                <w:color w:val="auto"/>
              </w:rPr>
            </w:pPr>
            <w:r>
              <w:rPr>
                <w:rFonts w:ascii="Arial" w:cs="Arial" w:eastAsia="Arial" w:hAnsi="Arial"/>
                <w:sz w:val="16"/>
                <w:szCs w:val="16"/>
                <w:color w:val="auto"/>
                <w:w w:val="89"/>
              </w:rPr>
              <w:t>6/1/2003</w:t>
            </w:r>
          </w:p>
        </w:tc>
        <w:tc>
          <w:tcPr>
            <w:tcW w:w="1660" w:type="dxa"/>
            <w:vAlign w:val="bottom"/>
          </w:tcPr>
          <w:p>
            <w:pPr>
              <w:ind w:left="20"/>
              <w:spacing w:after="0"/>
              <w:rPr>
                <w:sz w:val="20"/>
                <w:szCs w:val="20"/>
                <w:color w:val="auto"/>
              </w:rPr>
            </w:pPr>
            <w:r>
              <w:rPr>
                <w:rFonts w:ascii="Arial" w:cs="Arial" w:eastAsia="Arial" w:hAnsi="Arial"/>
                <w:sz w:val="16"/>
                <w:szCs w:val="16"/>
                <w:color w:val="auto"/>
              </w:rPr>
              <w:t>Ashland</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5/1/2004</w:t>
            </w:r>
          </w:p>
        </w:tc>
        <w:tc>
          <w:tcPr>
            <w:tcW w:w="1660" w:type="dxa"/>
            <w:vAlign w:val="bottom"/>
          </w:tcPr>
          <w:p>
            <w:pPr>
              <w:ind w:left="20"/>
              <w:spacing w:after="0"/>
              <w:rPr>
                <w:sz w:val="20"/>
                <w:szCs w:val="20"/>
                <w:color w:val="auto"/>
              </w:rPr>
            </w:pPr>
            <w:r>
              <w:rPr>
                <w:rFonts w:ascii="Arial" w:cs="Arial" w:eastAsia="Arial" w:hAnsi="Arial"/>
                <w:sz w:val="16"/>
                <w:szCs w:val="16"/>
                <w:color w:val="auto"/>
              </w:rPr>
              <w:t>Auburn</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11/4/2013</w:t>
            </w:r>
          </w:p>
        </w:tc>
        <w:tc>
          <w:tcPr>
            <w:tcW w:w="1660" w:type="dxa"/>
            <w:vAlign w:val="bottom"/>
          </w:tcPr>
          <w:p>
            <w:pPr>
              <w:ind w:left="20"/>
              <w:spacing w:after="0"/>
              <w:rPr>
                <w:sz w:val="20"/>
                <w:szCs w:val="20"/>
                <w:color w:val="auto"/>
              </w:rPr>
            </w:pPr>
            <w:r>
              <w:rPr>
                <w:rFonts w:ascii="Arial" w:cs="Arial" w:eastAsia="Arial" w:hAnsi="Arial"/>
                <w:sz w:val="16"/>
                <w:szCs w:val="16"/>
                <w:color w:val="auto"/>
              </w:rPr>
              <w:t>Billerica</w:t>
            </w: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5/1/2004</w:t>
            </w:r>
          </w:p>
        </w:tc>
        <w:tc>
          <w:tcPr>
            <w:tcW w:w="1660" w:type="dxa"/>
            <w:vAlign w:val="bottom"/>
          </w:tcPr>
          <w:p>
            <w:pPr>
              <w:ind w:left="20"/>
              <w:spacing w:after="0"/>
              <w:rPr>
                <w:sz w:val="20"/>
                <w:szCs w:val="20"/>
                <w:color w:val="auto"/>
              </w:rPr>
            </w:pPr>
            <w:r>
              <w:rPr>
                <w:rFonts w:ascii="Arial" w:cs="Arial" w:eastAsia="Arial" w:hAnsi="Arial"/>
                <w:sz w:val="16"/>
                <w:szCs w:val="16"/>
                <w:color w:val="auto"/>
              </w:rPr>
              <w:t>Brockton / Centre St /</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60" w:type="dxa"/>
            <w:vAlign w:val="bottom"/>
            <w:vMerge w:val="restart"/>
          </w:tcPr>
          <w:p>
            <w:pPr>
              <w:ind w:left="20"/>
              <w:spacing w:after="0"/>
              <w:rPr>
                <w:sz w:val="20"/>
                <w:szCs w:val="20"/>
                <w:color w:val="auto"/>
              </w:rPr>
            </w:pPr>
            <w:r>
              <w:rPr>
                <w:rFonts w:ascii="Arial" w:cs="Arial" w:eastAsia="Arial" w:hAnsi="Arial"/>
                <w:sz w:val="16"/>
                <w:szCs w:val="16"/>
                <w:color w:val="auto"/>
              </w:rPr>
              <w:t>Rte 123</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11/4/2013</w:t>
            </w:r>
          </w:p>
        </w:tc>
        <w:tc>
          <w:tcPr>
            <w:tcW w:w="1660" w:type="dxa"/>
            <w:vAlign w:val="bottom"/>
          </w:tcPr>
          <w:p>
            <w:pPr>
              <w:ind w:left="20"/>
              <w:spacing w:after="0"/>
              <w:rPr>
                <w:sz w:val="20"/>
                <w:szCs w:val="20"/>
                <w:color w:val="auto"/>
              </w:rPr>
            </w:pPr>
            <w:r>
              <w:rPr>
                <w:rFonts w:ascii="Arial" w:cs="Arial" w:eastAsia="Arial" w:hAnsi="Arial"/>
                <w:sz w:val="16"/>
                <w:szCs w:val="16"/>
                <w:color w:val="auto"/>
              </w:rPr>
              <w:t>Brockton / Oak St</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11/9/2012</w:t>
            </w:r>
          </w:p>
        </w:tc>
        <w:tc>
          <w:tcPr>
            <w:tcW w:w="1660" w:type="dxa"/>
            <w:vAlign w:val="bottom"/>
          </w:tcPr>
          <w:p>
            <w:pPr>
              <w:ind w:left="20"/>
              <w:spacing w:after="0"/>
              <w:rPr>
                <w:sz w:val="20"/>
                <w:szCs w:val="20"/>
                <w:color w:val="auto"/>
              </w:rPr>
            </w:pPr>
            <w:r>
              <w:rPr>
                <w:rFonts w:ascii="Arial" w:cs="Arial" w:eastAsia="Arial" w:hAnsi="Arial"/>
                <w:sz w:val="16"/>
                <w:szCs w:val="16"/>
                <w:color w:val="auto"/>
              </w:rPr>
              <w:t>Danvers</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2/6/2004</w:t>
            </w:r>
          </w:p>
        </w:tc>
        <w:tc>
          <w:tcPr>
            <w:tcW w:w="1660" w:type="dxa"/>
            <w:vAlign w:val="bottom"/>
          </w:tcPr>
          <w:p>
            <w:pPr>
              <w:ind w:left="20"/>
              <w:spacing w:after="0"/>
              <w:rPr>
                <w:sz w:val="20"/>
                <w:szCs w:val="20"/>
                <w:color w:val="auto"/>
              </w:rPr>
            </w:pPr>
            <w:r>
              <w:rPr>
                <w:rFonts w:ascii="Arial" w:cs="Arial" w:eastAsia="Arial" w:hAnsi="Arial"/>
                <w:sz w:val="16"/>
                <w:szCs w:val="16"/>
                <w:color w:val="auto"/>
              </w:rPr>
              <w:t>Dedham / Allied Dr</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3/4/2002</w:t>
            </w:r>
          </w:p>
        </w:tc>
        <w:tc>
          <w:tcPr>
            <w:tcW w:w="1660" w:type="dxa"/>
            <w:vAlign w:val="bottom"/>
          </w:tcPr>
          <w:p>
            <w:pPr>
              <w:ind w:left="20"/>
              <w:spacing w:after="0"/>
              <w:rPr>
                <w:sz w:val="20"/>
                <w:szCs w:val="20"/>
                <w:color w:val="auto"/>
              </w:rPr>
            </w:pPr>
            <w:r>
              <w:rPr>
                <w:rFonts w:ascii="Arial" w:cs="Arial" w:eastAsia="Arial" w:hAnsi="Arial"/>
                <w:sz w:val="16"/>
                <w:szCs w:val="16"/>
                <w:color w:val="auto"/>
              </w:rPr>
              <w:t>Dedham / Milton St</w:t>
            </w: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5/13/2015</w:t>
            </w:r>
          </w:p>
        </w:tc>
        <w:tc>
          <w:tcPr>
            <w:tcW w:w="1660" w:type="dxa"/>
            <w:vAlign w:val="bottom"/>
          </w:tcPr>
          <w:p>
            <w:pPr>
              <w:ind w:left="20"/>
              <w:spacing w:after="0"/>
              <w:rPr>
                <w:sz w:val="20"/>
                <w:szCs w:val="20"/>
                <w:color w:val="auto"/>
              </w:rPr>
            </w:pPr>
            <w:r>
              <w:rPr>
                <w:rFonts w:ascii="Arial" w:cs="Arial" w:eastAsia="Arial" w:hAnsi="Arial"/>
                <w:sz w:val="16"/>
                <w:szCs w:val="16"/>
                <w:color w:val="auto"/>
              </w:rPr>
              <w:t>Dedham / Providence</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60" w:type="dxa"/>
            <w:vAlign w:val="bottom"/>
            <w:vMerge w:val="restart"/>
          </w:tcPr>
          <w:p>
            <w:pPr>
              <w:ind w:left="20"/>
              <w:spacing w:after="0"/>
              <w:rPr>
                <w:sz w:val="20"/>
                <w:szCs w:val="20"/>
                <w:color w:val="auto"/>
              </w:rPr>
            </w:pPr>
            <w:r>
              <w:rPr>
                <w:rFonts w:ascii="Arial" w:cs="Arial" w:eastAsia="Arial" w:hAnsi="Arial"/>
                <w:sz w:val="16"/>
                <w:szCs w:val="16"/>
                <w:color w:val="auto"/>
              </w:rPr>
              <w:t>Highway</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2/6/2004</w:t>
            </w:r>
          </w:p>
        </w:tc>
        <w:tc>
          <w:tcPr>
            <w:tcW w:w="1660" w:type="dxa"/>
            <w:vAlign w:val="bottom"/>
          </w:tcPr>
          <w:p>
            <w:pPr>
              <w:ind w:left="20"/>
              <w:spacing w:after="0"/>
              <w:rPr>
                <w:sz w:val="20"/>
                <w:szCs w:val="20"/>
                <w:color w:val="auto"/>
              </w:rPr>
            </w:pPr>
            <w:r>
              <w:rPr>
                <w:rFonts w:ascii="Arial" w:cs="Arial" w:eastAsia="Arial" w:hAnsi="Arial"/>
                <w:sz w:val="16"/>
                <w:szCs w:val="16"/>
                <w:color w:val="auto"/>
              </w:rPr>
              <w:t>East Somerville</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7/1/2005</w:t>
            </w:r>
          </w:p>
        </w:tc>
        <w:tc>
          <w:tcPr>
            <w:tcW w:w="1660" w:type="dxa"/>
            <w:vAlign w:val="bottom"/>
          </w:tcPr>
          <w:p>
            <w:pPr>
              <w:ind w:left="20"/>
              <w:spacing w:after="0"/>
              <w:rPr>
                <w:sz w:val="20"/>
                <w:szCs w:val="20"/>
                <w:color w:val="auto"/>
              </w:rPr>
            </w:pPr>
            <w:r>
              <w:rPr>
                <w:rFonts w:ascii="Arial" w:cs="Arial" w:eastAsia="Arial" w:hAnsi="Arial"/>
                <w:sz w:val="16"/>
                <w:szCs w:val="16"/>
                <w:color w:val="auto"/>
              </w:rPr>
              <w:t>Everett</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5/1/2004</w:t>
            </w:r>
          </w:p>
        </w:tc>
        <w:tc>
          <w:tcPr>
            <w:tcW w:w="1660" w:type="dxa"/>
            <w:vAlign w:val="bottom"/>
          </w:tcPr>
          <w:p>
            <w:pPr>
              <w:ind w:left="20"/>
              <w:spacing w:after="0"/>
              <w:rPr>
                <w:sz w:val="20"/>
                <w:szCs w:val="20"/>
                <w:color w:val="auto"/>
              </w:rPr>
            </w:pPr>
            <w:r>
              <w:rPr>
                <w:rFonts w:ascii="Arial" w:cs="Arial" w:eastAsia="Arial" w:hAnsi="Arial"/>
                <w:sz w:val="16"/>
                <w:szCs w:val="16"/>
                <w:color w:val="auto"/>
              </w:rPr>
              <w:t>Foxboro</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7/2/2012</w:t>
            </w:r>
          </w:p>
        </w:tc>
        <w:tc>
          <w:tcPr>
            <w:tcW w:w="1660" w:type="dxa"/>
            <w:vAlign w:val="bottom"/>
          </w:tcPr>
          <w:p>
            <w:pPr>
              <w:ind w:left="20"/>
              <w:spacing w:after="0"/>
              <w:rPr>
                <w:sz w:val="20"/>
                <w:szCs w:val="20"/>
                <w:color w:val="auto"/>
              </w:rPr>
            </w:pPr>
            <w:r>
              <w:rPr>
                <w:rFonts w:ascii="Arial" w:cs="Arial" w:eastAsia="Arial" w:hAnsi="Arial"/>
                <w:sz w:val="16"/>
                <w:szCs w:val="16"/>
                <w:color w:val="auto"/>
              </w:rPr>
              <w:t>Framingham</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5/1/2004</w:t>
            </w:r>
          </w:p>
        </w:tc>
        <w:tc>
          <w:tcPr>
            <w:tcW w:w="1660" w:type="dxa"/>
            <w:vAlign w:val="bottom"/>
          </w:tcPr>
          <w:p>
            <w:pPr>
              <w:ind w:left="20"/>
              <w:spacing w:after="0"/>
              <w:rPr>
                <w:sz w:val="20"/>
                <w:szCs w:val="20"/>
                <w:color w:val="auto"/>
              </w:rPr>
            </w:pPr>
            <w:r>
              <w:rPr>
                <w:rFonts w:ascii="Arial" w:cs="Arial" w:eastAsia="Arial" w:hAnsi="Arial"/>
                <w:sz w:val="16"/>
                <w:szCs w:val="16"/>
                <w:color w:val="auto"/>
              </w:rPr>
              <w:t>Hudson</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12/31/2007</w:t>
            </w:r>
          </w:p>
        </w:tc>
        <w:tc>
          <w:tcPr>
            <w:tcW w:w="1660" w:type="dxa"/>
            <w:vAlign w:val="bottom"/>
          </w:tcPr>
          <w:p>
            <w:pPr>
              <w:ind w:left="20"/>
              <w:spacing w:after="0"/>
              <w:rPr>
                <w:sz w:val="20"/>
                <w:szCs w:val="20"/>
                <w:color w:val="auto"/>
              </w:rPr>
            </w:pPr>
            <w:r>
              <w:rPr>
                <w:rFonts w:ascii="Arial" w:cs="Arial" w:eastAsia="Arial" w:hAnsi="Arial"/>
                <w:sz w:val="16"/>
                <w:szCs w:val="16"/>
                <w:color w:val="auto"/>
              </w:rPr>
              <w:t>Jamaica Plain</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10/18/2002</w:t>
            </w:r>
          </w:p>
        </w:tc>
        <w:tc>
          <w:tcPr>
            <w:tcW w:w="1660" w:type="dxa"/>
            <w:vAlign w:val="bottom"/>
          </w:tcPr>
          <w:p>
            <w:pPr>
              <w:ind w:left="20"/>
              <w:spacing w:after="0"/>
              <w:rPr>
                <w:sz w:val="20"/>
                <w:szCs w:val="20"/>
                <w:color w:val="auto"/>
              </w:rPr>
            </w:pPr>
            <w:r>
              <w:rPr>
                <w:rFonts w:ascii="Arial" w:cs="Arial" w:eastAsia="Arial" w:hAnsi="Arial"/>
                <w:sz w:val="16"/>
                <w:szCs w:val="16"/>
                <w:color w:val="auto"/>
              </w:rPr>
              <w:t>Kingston</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6/22/2001</w:t>
            </w:r>
          </w:p>
        </w:tc>
        <w:tc>
          <w:tcPr>
            <w:tcW w:w="1660" w:type="dxa"/>
            <w:vAlign w:val="bottom"/>
          </w:tcPr>
          <w:p>
            <w:pPr>
              <w:ind w:left="20"/>
              <w:spacing w:after="0"/>
              <w:rPr>
                <w:sz w:val="20"/>
                <w:szCs w:val="20"/>
                <w:color w:val="auto"/>
              </w:rPr>
            </w:pPr>
            <w:r>
              <w:rPr>
                <w:rFonts w:ascii="Arial" w:cs="Arial" w:eastAsia="Arial" w:hAnsi="Arial"/>
                <w:sz w:val="16"/>
                <w:szCs w:val="16"/>
                <w:color w:val="auto"/>
              </w:rPr>
              <w:t>Lynn</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3/31/2004</w:t>
            </w:r>
          </w:p>
        </w:tc>
        <w:tc>
          <w:tcPr>
            <w:tcW w:w="1660" w:type="dxa"/>
            <w:vAlign w:val="bottom"/>
          </w:tcPr>
          <w:p>
            <w:pPr>
              <w:ind w:left="20"/>
              <w:spacing w:after="0"/>
              <w:rPr>
                <w:sz w:val="20"/>
                <w:szCs w:val="20"/>
                <w:color w:val="auto"/>
              </w:rPr>
            </w:pPr>
            <w:r>
              <w:rPr>
                <w:rFonts w:ascii="Arial" w:cs="Arial" w:eastAsia="Arial" w:hAnsi="Arial"/>
                <w:sz w:val="16"/>
                <w:szCs w:val="16"/>
                <w:color w:val="auto"/>
              </w:rPr>
              <w:t>Marshfield</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11/14/2002</w:t>
            </w:r>
          </w:p>
        </w:tc>
        <w:tc>
          <w:tcPr>
            <w:tcW w:w="1660" w:type="dxa"/>
            <w:vAlign w:val="bottom"/>
          </w:tcPr>
          <w:p>
            <w:pPr>
              <w:ind w:left="20"/>
              <w:spacing w:after="0"/>
              <w:rPr>
                <w:sz w:val="20"/>
                <w:szCs w:val="20"/>
                <w:color w:val="auto"/>
              </w:rPr>
            </w:pPr>
            <w:r>
              <w:rPr>
                <w:rFonts w:ascii="Arial" w:cs="Arial" w:eastAsia="Arial" w:hAnsi="Arial"/>
                <w:sz w:val="16"/>
                <w:szCs w:val="16"/>
                <w:color w:val="auto"/>
              </w:rPr>
              <w:t>Milton</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11/4/2013</w:t>
            </w:r>
          </w:p>
        </w:tc>
        <w:tc>
          <w:tcPr>
            <w:tcW w:w="1660" w:type="dxa"/>
            <w:vAlign w:val="bottom"/>
          </w:tcPr>
          <w:p>
            <w:pPr>
              <w:ind w:left="20"/>
              <w:spacing w:after="0"/>
              <w:rPr>
                <w:sz w:val="20"/>
                <w:szCs w:val="20"/>
                <w:color w:val="auto"/>
              </w:rPr>
            </w:pPr>
            <w:r>
              <w:rPr>
                <w:rFonts w:ascii="Arial" w:cs="Arial" w:eastAsia="Arial" w:hAnsi="Arial"/>
                <w:sz w:val="16"/>
                <w:szCs w:val="16"/>
                <w:color w:val="auto"/>
              </w:rPr>
              <w:t>North Andover</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10/15/1999</w:t>
            </w:r>
          </w:p>
        </w:tc>
        <w:tc>
          <w:tcPr>
            <w:tcW w:w="1660" w:type="dxa"/>
            <w:vAlign w:val="bottom"/>
          </w:tcPr>
          <w:p>
            <w:pPr>
              <w:ind w:left="20"/>
              <w:spacing w:after="0"/>
              <w:rPr>
                <w:sz w:val="20"/>
                <w:szCs w:val="20"/>
                <w:color w:val="auto"/>
              </w:rPr>
            </w:pPr>
            <w:r>
              <w:rPr>
                <w:rFonts w:ascii="Arial" w:cs="Arial" w:eastAsia="Arial" w:hAnsi="Arial"/>
                <w:sz w:val="16"/>
                <w:szCs w:val="16"/>
                <w:color w:val="auto"/>
              </w:rPr>
              <w:t>North Oxford</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2/28/2001</w:t>
            </w:r>
          </w:p>
        </w:tc>
        <w:tc>
          <w:tcPr>
            <w:tcW w:w="1660" w:type="dxa"/>
            <w:vAlign w:val="bottom"/>
          </w:tcPr>
          <w:p>
            <w:pPr>
              <w:ind w:left="20"/>
              <w:spacing w:after="0"/>
              <w:rPr>
                <w:sz w:val="20"/>
                <w:szCs w:val="20"/>
                <w:color w:val="auto"/>
              </w:rPr>
            </w:pPr>
            <w:r>
              <w:rPr>
                <w:rFonts w:ascii="Arial" w:cs="Arial" w:eastAsia="Arial" w:hAnsi="Arial"/>
                <w:sz w:val="16"/>
                <w:szCs w:val="16"/>
                <w:color w:val="auto"/>
              </w:rPr>
              <w:t>Northborough</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8/15/1999</w:t>
            </w:r>
          </w:p>
        </w:tc>
        <w:tc>
          <w:tcPr>
            <w:tcW w:w="1660" w:type="dxa"/>
            <w:vAlign w:val="bottom"/>
          </w:tcPr>
          <w:p>
            <w:pPr>
              <w:ind w:left="20"/>
              <w:spacing w:after="0"/>
              <w:rPr>
                <w:sz w:val="20"/>
                <w:szCs w:val="20"/>
                <w:color w:val="auto"/>
              </w:rPr>
            </w:pPr>
            <w:r>
              <w:rPr>
                <w:rFonts w:ascii="Arial" w:cs="Arial" w:eastAsia="Arial" w:hAnsi="Arial"/>
                <w:sz w:val="16"/>
                <w:szCs w:val="16"/>
                <w:color w:val="auto"/>
              </w:rPr>
              <w:t>Norwood</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7/1/2005</w:t>
            </w:r>
          </w:p>
        </w:tc>
        <w:tc>
          <w:tcPr>
            <w:tcW w:w="1660" w:type="dxa"/>
            <w:vAlign w:val="bottom"/>
          </w:tcPr>
          <w:p>
            <w:pPr>
              <w:ind w:left="20"/>
              <w:spacing w:after="0"/>
              <w:rPr>
                <w:sz w:val="20"/>
                <w:szCs w:val="20"/>
                <w:color w:val="auto"/>
              </w:rPr>
            </w:pPr>
            <w:r>
              <w:rPr>
                <w:rFonts w:ascii="Arial" w:cs="Arial" w:eastAsia="Arial" w:hAnsi="Arial"/>
                <w:sz w:val="16"/>
                <w:szCs w:val="16"/>
                <w:color w:val="auto"/>
              </w:rPr>
              <w:t>Plainville</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2/16/2016</w:t>
            </w:r>
          </w:p>
        </w:tc>
        <w:tc>
          <w:tcPr>
            <w:tcW w:w="1660" w:type="dxa"/>
            <w:vAlign w:val="bottom"/>
          </w:tcPr>
          <w:p>
            <w:pPr>
              <w:ind w:left="20"/>
              <w:spacing w:after="0"/>
              <w:rPr>
                <w:sz w:val="20"/>
                <w:szCs w:val="20"/>
                <w:color w:val="auto"/>
              </w:rPr>
            </w:pPr>
            <w:r>
              <w:rPr>
                <w:rFonts w:ascii="Arial" w:cs="Arial" w:eastAsia="Arial" w:hAnsi="Arial"/>
                <w:sz w:val="16"/>
                <w:szCs w:val="16"/>
                <w:color w:val="auto"/>
              </w:rPr>
              <w:t>Quincy / Liberty St</w:t>
            </w: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6/30/2016</w:t>
            </w:r>
          </w:p>
        </w:tc>
        <w:tc>
          <w:tcPr>
            <w:tcW w:w="1660" w:type="dxa"/>
            <w:vAlign w:val="bottom"/>
          </w:tcPr>
          <w:p>
            <w:pPr>
              <w:ind w:left="20"/>
              <w:spacing w:after="0"/>
              <w:rPr>
                <w:sz w:val="20"/>
                <w:szCs w:val="20"/>
                <w:color w:val="auto"/>
              </w:rPr>
            </w:pPr>
            <w:r>
              <w:rPr>
                <w:rFonts w:ascii="Arial" w:cs="Arial" w:eastAsia="Arial" w:hAnsi="Arial"/>
                <w:sz w:val="16"/>
                <w:szCs w:val="16"/>
                <w:color w:val="auto"/>
              </w:rPr>
              <w:t>Quincy / Old Colony</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60" w:type="dxa"/>
            <w:vAlign w:val="bottom"/>
            <w:vMerge w:val="restart"/>
          </w:tcPr>
          <w:p>
            <w:pPr>
              <w:ind w:left="20"/>
              <w:spacing w:after="0"/>
              <w:rPr>
                <w:sz w:val="20"/>
                <w:szCs w:val="20"/>
                <w:color w:val="auto"/>
              </w:rPr>
            </w:pPr>
            <w:r>
              <w:rPr>
                <w:rFonts w:ascii="Arial" w:cs="Arial" w:eastAsia="Arial" w:hAnsi="Arial"/>
                <w:sz w:val="16"/>
                <w:szCs w:val="16"/>
                <w:color w:val="auto"/>
              </w:rPr>
              <w:t>Ave</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2/6/2004</w:t>
            </w:r>
          </w:p>
        </w:tc>
        <w:tc>
          <w:tcPr>
            <w:tcW w:w="1660" w:type="dxa"/>
            <w:vAlign w:val="bottom"/>
          </w:tcPr>
          <w:p>
            <w:pPr>
              <w:ind w:left="20"/>
              <w:spacing w:after="0"/>
              <w:rPr>
                <w:sz w:val="20"/>
                <w:szCs w:val="20"/>
                <w:color w:val="auto"/>
              </w:rPr>
            </w:pPr>
            <w:r>
              <w:rPr>
                <w:rFonts w:ascii="Arial" w:cs="Arial" w:eastAsia="Arial" w:hAnsi="Arial"/>
                <w:sz w:val="16"/>
                <w:szCs w:val="16"/>
                <w:color w:val="auto"/>
              </w:rPr>
              <w:t>Quincy / Weston Ave</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5/15/2000</w:t>
            </w:r>
          </w:p>
        </w:tc>
        <w:tc>
          <w:tcPr>
            <w:tcW w:w="1660" w:type="dxa"/>
            <w:vAlign w:val="bottom"/>
          </w:tcPr>
          <w:p>
            <w:pPr>
              <w:ind w:left="20"/>
              <w:spacing w:after="0"/>
              <w:rPr>
                <w:sz w:val="20"/>
                <w:szCs w:val="20"/>
                <w:color w:val="auto"/>
              </w:rPr>
            </w:pPr>
            <w:r>
              <w:rPr>
                <w:rFonts w:ascii="Arial" w:cs="Arial" w:eastAsia="Arial" w:hAnsi="Arial"/>
                <w:sz w:val="16"/>
                <w:szCs w:val="16"/>
                <w:color w:val="auto"/>
              </w:rPr>
              <w:t>Raynham</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12/1/2011</w:t>
            </w:r>
          </w:p>
        </w:tc>
        <w:tc>
          <w:tcPr>
            <w:tcW w:w="1660" w:type="dxa"/>
            <w:vAlign w:val="bottom"/>
          </w:tcPr>
          <w:p>
            <w:pPr>
              <w:ind w:left="20"/>
              <w:spacing w:after="0"/>
              <w:rPr>
                <w:sz w:val="20"/>
                <w:szCs w:val="20"/>
                <w:color w:val="auto"/>
              </w:rPr>
            </w:pPr>
            <w:r>
              <w:rPr>
                <w:rFonts w:ascii="Arial" w:cs="Arial" w:eastAsia="Arial" w:hAnsi="Arial"/>
                <w:sz w:val="16"/>
                <w:szCs w:val="16"/>
                <w:color w:val="auto"/>
              </w:rPr>
              <w:t>Revere</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6/1/2003</w:t>
            </w:r>
          </w:p>
        </w:tc>
        <w:tc>
          <w:tcPr>
            <w:tcW w:w="1660" w:type="dxa"/>
            <w:vAlign w:val="bottom"/>
          </w:tcPr>
          <w:p>
            <w:pPr>
              <w:ind w:left="20"/>
              <w:spacing w:after="0"/>
              <w:rPr>
                <w:sz w:val="20"/>
                <w:szCs w:val="20"/>
                <w:color w:val="auto"/>
              </w:rPr>
            </w:pPr>
            <w:r>
              <w:rPr>
                <w:rFonts w:ascii="Arial" w:cs="Arial" w:eastAsia="Arial" w:hAnsi="Arial"/>
                <w:sz w:val="16"/>
                <w:szCs w:val="16"/>
                <w:color w:val="auto"/>
              </w:rPr>
              <w:t>Saugus</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6/15/2001</w:t>
            </w:r>
          </w:p>
        </w:tc>
        <w:tc>
          <w:tcPr>
            <w:tcW w:w="1660" w:type="dxa"/>
            <w:vAlign w:val="bottom"/>
          </w:tcPr>
          <w:p>
            <w:pPr>
              <w:ind w:left="20"/>
              <w:spacing w:after="0"/>
              <w:rPr>
                <w:sz w:val="20"/>
                <w:szCs w:val="20"/>
                <w:color w:val="auto"/>
              </w:rPr>
            </w:pPr>
            <w:r>
              <w:rPr>
                <w:rFonts w:ascii="Arial" w:cs="Arial" w:eastAsia="Arial" w:hAnsi="Arial"/>
                <w:sz w:val="16"/>
                <w:szCs w:val="16"/>
                <w:color w:val="auto"/>
              </w:rPr>
              <w:t>Somerville</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7/1/2005</w:t>
            </w:r>
          </w:p>
        </w:tc>
        <w:tc>
          <w:tcPr>
            <w:tcW w:w="1660" w:type="dxa"/>
            <w:vAlign w:val="bottom"/>
          </w:tcPr>
          <w:p>
            <w:pPr>
              <w:ind w:left="20"/>
              <w:spacing w:after="0"/>
              <w:rPr>
                <w:sz w:val="20"/>
                <w:szCs w:val="20"/>
                <w:color w:val="auto"/>
              </w:rPr>
            </w:pPr>
            <w:r>
              <w:rPr>
                <w:rFonts w:ascii="Arial" w:cs="Arial" w:eastAsia="Arial" w:hAnsi="Arial"/>
                <w:sz w:val="16"/>
                <w:szCs w:val="16"/>
                <w:color w:val="auto"/>
              </w:rPr>
              <w:t>Stoneham</w:t>
            </w: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5/1/2004</w:t>
            </w:r>
          </w:p>
        </w:tc>
        <w:tc>
          <w:tcPr>
            <w:tcW w:w="1660" w:type="dxa"/>
            <w:vAlign w:val="bottom"/>
          </w:tcPr>
          <w:p>
            <w:pPr>
              <w:ind w:left="20"/>
              <w:spacing w:after="0"/>
              <w:rPr>
                <w:sz w:val="20"/>
                <w:szCs w:val="20"/>
                <w:color w:val="auto"/>
              </w:rPr>
            </w:pPr>
            <w:r>
              <w:rPr>
                <w:rFonts w:ascii="Arial" w:cs="Arial" w:eastAsia="Arial" w:hAnsi="Arial"/>
                <w:sz w:val="16"/>
                <w:szCs w:val="16"/>
                <w:color w:val="auto"/>
                <w:w w:val="94"/>
              </w:rPr>
              <w:t>Stoughton / Washington</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60" w:type="dxa"/>
            <w:vAlign w:val="bottom"/>
            <w:vMerge w:val="restart"/>
          </w:tcPr>
          <w:p>
            <w:pPr>
              <w:ind w:left="20"/>
              <w:spacing w:after="0"/>
              <w:rPr>
                <w:sz w:val="20"/>
                <w:szCs w:val="20"/>
                <w:color w:val="auto"/>
              </w:rPr>
            </w:pPr>
            <w:r>
              <w:rPr>
                <w:rFonts w:ascii="Arial" w:cs="Arial" w:eastAsia="Arial" w:hAnsi="Arial"/>
                <w:sz w:val="16"/>
                <w:szCs w:val="16"/>
                <w:color w:val="auto"/>
              </w:rPr>
              <w:t>St 1</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9/16/2016</w:t>
            </w:r>
          </w:p>
        </w:tc>
        <w:tc>
          <w:tcPr>
            <w:tcW w:w="1660" w:type="dxa"/>
            <w:vAlign w:val="bottom"/>
          </w:tcPr>
          <w:p>
            <w:pPr>
              <w:ind w:left="20"/>
              <w:spacing w:after="0"/>
              <w:rPr>
                <w:sz w:val="20"/>
                <w:szCs w:val="20"/>
                <w:color w:val="auto"/>
              </w:rPr>
            </w:pPr>
            <w:r>
              <w:rPr>
                <w:rFonts w:ascii="Arial" w:cs="Arial" w:eastAsia="Arial" w:hAnsi="Arial"/>
                <w:sz w:val="16"/>
                <w:szCs w:val="16"/>
                <w:color w:val="auto"/>
                <w:w w:val="94"/>
              </w:rPr>
              <w:t>Stoughton / Washington</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60" w:type="dxa"/>
            <w:vAlign w:val="bottom"/>
            <w:vMerge w:val="restart"/>
          </w:tcPr>
          <w:p>
            <w:pPr>
              <w:ind w:left="20"/>
              <w:spacing w:after="0"/>
              <w:rPr>
                <w:sz w:val="20"/>
                <w:szCs w:val="20"/>
                <w:color w:val="auto"/>
              </w:rPr>
            </w:pPr>
            <w:r>
              <w:rPr>
                <w:rFonts w:ascii="Arial" w:cs="Arial" w:eastAsia="Arial" w:hAnsi="Arial"/>
                <w:sz w:val="16"/>
                <w:szCs w:val="16"/>
                <w:color w:val="auto"/>
              </w:rPr>
              <w:t>St 2</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7/2/2012</w:t>
            </w:r>
          </w:p>
        </w:tc>
        <w:tc>
          <w:tcPr>
            <w:tcW w:w="1660" w:type="dxa"/>
            <w:vAlign w:val="bottom"/>
          </w:tcPr>
          <w:p>
            <w:pPr>
              <w:ind w:left="20"/>
              <w:spacing w:after="0"/>
              <w:rPr>
                <w:sz w:val="20"/>
                <w:szCs w:val="20"/>
                <w:color w:val="auto"/>
              </w:rPr>
            </w:pPr>
            <w:r>
              <w:rPr>
                <w:rFonts w:ascii="Arial" w:cs="Arial" w:eastAsia="Arial" w:hAnsi="Arial"/>
                <w:sz w:val="16"/>
                <w:szCs w:val="16"/>
                <w:color w:val="auto"/>
              </w:rPr>
              <w:t>Tyngsboro</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2/6/2004</w:t>
            </w:r>
          </w:p>
        </w:tc>
        <w:tc>
          <w:tcPr>
            <w:tcW w:w="1660" w:type="dxa"/>
            <w:vAlign w:val="bottom"/>
          </w:tcPr>
          <w:p>
            <w:pPr>
              <w:ind w:left="20"/>
              <w:spacing w:after="0"/>
              <w:rPr>
                <w:sz w:val="20"/>
                <w:szCs w:val="20"/>
                <w:color w:val="auto"/>
              </w:rPr>
            </w:pPr>
            <w:r>
              <w:rPr>
                <w:rFonts w:ascii="Arial" w:cs="Arial" w:eastAsia="Arial" w:hAnsi="Arial"/>
                <w:sz w:val="16"/>
                <w:szCs w:val="16"/>
                <w:color w:val="auto"/>
              </w:rPr>
              <w:t>Waltham</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9/14/2000</w:t>
            </w:r>
          </w:p>
        </w:tc>
        <w:tc>
          <w:tcPr>
            <w:tcW w:w="1660" w:type="dxa"/>
            <w:vAlign w:val="bottom"/>
          </w:tcPr>
          <w:p>
            <w:pPr>
              <w:ind w:left="20"/>
              <w:spacing w:after="0"/>
              <w:rPr>
                <w:sz w:val="20"/>
                <w:szCs w:val="20"/>
                <w:color w:val="auto"/>
              </w:rPr>
            </w:pPr>
            <w:r>
              <w:rPr>
                <w:rFonts w:ascii="Arial" w:cs="Arial" w:eastAsia="Arial" w:hAnsi="Arial"/>
                <w:sz w:val="16"/>
                <w:szCs w:val="16"/>
                <w:color w:val="auto"/>
              </w:rPr>
              <w:t>Weymouth</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2/6/2004</w:t>
            </w:r>
          </w:p>
        </w:tc>
        <w:tc>
          <w:tcPr>
            <w:tcW w:w="1660" w:type="dxa"/>
            <w:vAlign w:val="bottom"/>
          </w:tcPr>
          <w:p>
            <w:pPr>
              <w:ind w:left="20"/>
              <w:spacing w:after="0"/>
              <w:rPr>
                <w:sz w:val="20"/>
                <w:szCs w:val="20"/>
                <w:color w:val="auto"/>
              </w:rPr>
            </w:pPr>
            <w:r>
              <w:rPr>
                <w:rFonts w:ascii="Arial" w:cs="Arial" w:eastAsia="Arial" w:hAnsi="Arial"/>
                <w:sz w:val="16"/>
                <w:szCs w:val="16"/>
                <w:color w:val="auto"/>
              </w:rPr>
              <w:t>Woburn</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12/1/2006</w:t>
            </w:r>
          </w:p>
        </w:tc>
        <w:tc>
          <w:tcPr>
            <w:tcW w:w="1660" w:type="dxa"/>
            <w:vAlign w:val="bottom"/>
          </w:tcPr>
          <w:p>
            <w:pPr>
              <w:ind w:left="20"/>
              <w:spacing w:after="0"/>
              <w:rPr>
                <w:sz w:val="20"/>
                <w:szCs w:val="20"/>
                <w:color w:val="auto"/>
              </w:rPr>
            </w:pPr>
            <w:r>
              <w:rPr>
                <w:rFonts w:ascii="Arial" w:cs="Arial" w:eastAsia="Arial" w:hAnsi="Arial"/>
                <w:sz w:val="16"/>
                <w:szCs w:val="16"/>
                <w:color w:val="auto"/>
              </w:rPr>
              <w:t>Worcester / Ararat St</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5/1/2004</w:t>
            </w:r>
          </w:p>
        </w:tc>
        <w:tc>
          <w:tcPr>
            <w:tcW w:w="1660" w:type="dxa"/>
            <w:vAlign w:val="bottom"/>
          </w:tcPr>
          <w:p>
            <w:pPr>
              <w:ind w:left="20"/>
              <w:spacing w:after="0"/>
              <w:rPr>
                <w:sz w:val="20"/>
                <w:szCs w:val="20"/>
                <w:color w:val="auto"/>
              </w:rPr>
            </w:pPr>
            <w:r>
              <w:rPr>
                <w:rFonts w:ascii="Arial" w:cs="Arial" w:eastAsia="Arial" w:hAnsi="Arial"/>
                <w:sz w:val="16"/>
                <w:szCs w:val="16"/>
                <w:color w:val="auto"/>
              </w:rPr>
              <w:t>Worcester / Millbury St</w:t>
            </w: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8/31/2007</w:t>
            </w:r>
          </w:p>
        </w:tc>
        <w:tc>
          <w:tcPr>
            <w:tcW w:w="1660" w:type="dxa"/>
            <w:vAlign w:val="bottom"/>
          </w:tcPr>
          <w:p>
            <w:pPr>
              <w:ind w:left="20"/>
              <w:spacing w:after="0"/>
              <w:rPr>
                <w:sz w:val="20"/>
                <w:szCs w:val="20"/>
                <w:color w:val="auto"/>
              </w:rPr>
            </w:pPr>
            <w:r>
              <w:rPr>
                <w:rFonts w:ascii="Arial" w:cs="Arial" w:eastAsia="Arial" w:hAnsi="Arial"/>
                <w:sz w:val="16"/>
                <w:szCs w:val="16"/>
                <w:color w:val="auto"/>
                <w:w w:val="97"/>
              </w:rPr>
              <w:t>Annapolis / Renard Ct /</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60" w:type="dxa"/>
            <w:vAlign w:val="bottom"/>
            <w:vMerge w:val="restart"/>
          </w:tcPr>
          <w:p>
            <w:pPr>
              <w:ind w:left="20"/>
              <w:spacing w:after="0"/>
              <w:rPr>
                <w:sz w:val="20"/>
                <w:szCs w:val="20"/>
                <w:color w:val="auto"/>
              </w:rPr>
            </w:pPr>
            <w:r>
              <w:rPr>
                <w:rFonts w:ascii="Arial" w:cs="Arial" w:eastAsia="Arial" w:hAnsi="Arial"/>
                <w:sz w:val="16"/>
                <w:szCs w:val="16"/>
                <w:color w:val="auto"/>
              </w:rPr>
              <w:t>Annex</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4/17/2007</w:t>
            </w:r>
          </w:p>
        </w:tc>
        <w:tc>
          <w:tcPr>
            <w:tcW w:w="1660" w:type="dxa"/>
            <w:vAlign w:val="bottom"/>
          </w:tcPr>
          <w:p>
            <w:pPr>
              <w:ind w:left="20"/>
              <w:spacing w:after="0"/>
              <w:rPr>
                <w:sz w:val="20"/>
                <w:szCs w:val="20"/>
                <w:color w:val="auto"/>
              </w:rPr>
            </w:pPr>
            <w:r>
              <w:rPr>
                <w:rFonts w:ascii="Arial" w:cs="Arial" w:eastAsia="Arial" w:hAnsi="Arial"/>
                <w:sz w:val="16"/>
                <w:szCs w:val="16"/>
                <w:color w:val="auto"/>
              </w:rPr>
              <w:t>Annapolis / Trout Rd</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7/1/2005</w:t>
            </w:r>
          </w:p>
        </w:tc>
        <w:tc>
          <w:tcPr>
            <w:tcW w:w="1660" w:type="dxa"/>
            <w:vAlign w:val="bottom"/>
          </w:tcPr>
          <w:p>
            <w:pPr>
              <w:ind w:left="20"/>
              <w:spacing w:after="0"/>
              <w:rPr>
                <w:sz w:val="20"/>
                <w:szCs w:val="20"/>
                <w:color w:val="auto"/>
              </w:rPr>
            </w:pPr>
            <w:r>
              <w:rPr>
                <w:rFonts w:ascii="Arial" w:cs="Arial" w:eastAsia="Arial" w:hAnsi="Arial"/>
                <w:sz w:val="16"/>
                <w:szCs w:val="16"/>
                <w:color w:val="auto"/>
              </w:rPr>
              <w:t>Arnold</w:t>
            </w: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5/31/2012</w:t>
            </w:r>
          </w:p>
        </w:tc>
        <w:tc>
          <w:tcPr>
            <w:tcW w:w="1660" w:type="dxa"/>
            <w:vAlign w:val="bottom"/>
          </w:tcPr>
          <w:p>
            <w:pPr>
              <w:ind w:left="20"/>
              <w:spacing w:after="0"/>
              <w:rPr>
                <w:sz w:val="20"/>
                <w:szCs w:val="20"/>
                <w:color w:val="auto"/>
              </w:rPr>
            </w:pPr>
            <w:r>
              <w:rPr>
                <w:rFonts w:ascii="Arial" w:cs="Arial" w:eastAsia="Arial" w:hAnsi="Arial"/>
                <w:sz w:val="16"/>
                <w:szCs w:val="16"/>
                <w:color w:val="auto"/>
                <w:w w:val="96"/>
              </w:rPr>
              <w:t>Baltimore / Eastern Ave</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60" w:type="dxa"/>
            <w:vAlign w:val="bottom"/>
            <w:vMerge w:val="restart"/>
          </w:tcPr>
          <w:p>
            <w:pPr>
              <w:ind w:lef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2/13/2013</w:t>
            </w:r>
          </w:p>
        </w:tc>
        <w:tc>
          <w:tcPr>
            <w:tcW w:w="1660" w:type="dxa"/>
            <w:vAlign w:val="bottom"/>
          </w:tcPr>
          <w:p>
            <w:pPr>
              <w:ind w:left="20"/>
              <w:spacing w:after="0"/>
              <w:rPr>
                <w:sz w:val="20"/>
                <w:szCs w:val="20"/>
                <w:color w:val="auto"/>
              </w:rPr>
            </w:pPr>
            <w:r>
              <w:rPr>
                <w:rFonts w:ascii="Arial" w:cs="Arial" w:eastAsia="Arial" w:hAnsi="Arial"/>
                <w:sz w:val="16"/>
                <w:szCs w:val="16"/>
                <w:color w:val="auto"/>
                <w:w w:val="96"/>
              </w:rPr>
              <w:t>Baltimore / Eastern Ave</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60" w:type="dxa"/>
            <w:vAlign w:val="bottom"/>
            <w:vMerge w:val="restart"/>
          </w:tcPr>
          <w:p>
            <w:pPr>
              <w:ind w:lef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11/1/2008</w:t>
            </w:r>
          </w:p>
        </w:tc>
        <w:tc>
          <w:tcPr>
            <w:tcW w:w="1660" w:type="dxa"/>
            <w:vAlign w:val="bottom"/>
          </w:tcPr>
          <w:p>
            <w:pPr>
              <w:ind w:left="20"/>
              <w:spacing w:after="0"/>
              <w:rPr>
                <w:sz w:val="20"/>
                <w:szCs w:val="20"/>
                <w:color w:val="auto"/>
              </w:rPr>
            </w:pPr>
            <w:r>
              <w:rPr>
                <w:rFonts w:ascii="Arial" w:cs="Arial" w:eastAsia="Arial" w:hAnsi="Arial"/>
                <w:sz w:val="16"/>
                <w:szCs w:val="16"/>
                <w:color w:val="auto"/>
                <w:w w:val="99"/>
              </w:rPr>
              <w:t>Baltimore / Moravia Rd</w:t>
            </w: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6/1/2010</w:t>
            </w:r>
          </w:p>
        </w:tc>
        <w:tc>
          <w:tcPr>
            <w:tcW w:w="1660" w:type="dxa"/>
            <w:vAlign w:val="bottom"/>
          </w:tcPr>
          <w:p>
            <w:pPr>
              <w:ind w:left="20"/>
              <w:spacing w:after="0"/>
              <w:rPr>
                <w:sz w:val="20"/>
                <w:szCs w:val="20"/>
                <w:color w:val="auto"/>
              </w:rPr>
            </w:pPr>
            <w:r>
              <w:rPr>
                <w:rFonts w:ascii="Arial" w:cs="Arial" w:eastAsia="Arial" w:hAnsi="Arial"/>
                <w:sz w:val="16"/>
                <w:szCs w:val="16"/>
                <w:color w:val="auto"/>
              </w:rPr>
              <w:t>Baltimore / N Howard</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660" w:type="dxa"/>
            <w:vAlign w:val="bottom"/>
            <w:vMerge w:val="restart"/>
          </w:tcPr>
          <w:p>
            <w:pPr>
              <w:ind w:left="20"/>
              <w:spacing w:after="0"/>
              <w:rPr>
                <w:sz w:val="20"/>
                <w:szCs w:val="20"/>
                <w:color w:val="auto"/>
              </w:rPr>
            </w:pPr>
            <w:r>
              <w:rPr>
                <w:rFonts w:ascii="Arial" w:cs="Arial" w:eastAsia="Arial" w:hAnsi="Arial"/>
                <w:sz w:val="16"/>
                <w:szCs w:val="16"/>
                <w:color w:val="auto"/>
              </w:rPr>
              <w:t>St</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7/1/2005</w:t>
            </w:r>
          </w:p>
        </w:tc>
        <w:tc>
          <w:tcPr>
            <w:tcW w:w="1660" w:type="dxa"/>
            <w:vAlign w:val="bottom"/>
          </w:tcPr>
          <w:p>
            <w:pPr>
              <w:ind w:left="20"/>
              <w:spacing w:after="0"/>
              <w:rPr>
                <w:sz w:val="20"/>
                <w:szCs w:val="20"/>
                <w:color w:val="auto"/>
              </w:rPr>
            </w:pPr>
            <w:r>
              <w:rPr>
                <w:rFonts w:ascii="Arial" w:cs="Arial" w:eastAsia="Arial" w:hAnsi="Arial"/>
                <w:sz w:val="16"/>
                <w:szCs w:val="16"/>
                <w:color w:val="auto"/>
              </w:rPr>
              <w:t>Bethesda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4"/>
            <w:vMerge w:val="restart"/>
          </w:tcPr>
          <w:p>
            <w:pPr>
              <w:jc w:val="center"/>
              <w:ind w:right="680"/>
              <w:spacing w:after="0"/>
              <w:rPr>
                <w:sz w:val="20"/>
                <w:szCs w:val="20"/>
                <w:color w:val="auto"/>
              </w:rPr>
            </w:pPr>
            <w:r>
              <w:rPr>
                <w:rFonts w:ascii="Arial" w:cs="Arial" w:eastAsia="Arial" w:hAnsi="Arial"/>
                <w:sz w:val="16"/>
                <w:szCs w:val="16"/>
                <w:b w:val="1"/>
                <w:bCs w:val="1"/>
                <w:color w:val="auto"/>
                <w:w w:val="90"/>
              </w:rPr>
              <w:t>Adjustments</w:t>
            </w:r>
          </w:p>
        </w:tc>
        <w:tc>
          <w:tcPr>
            <w:tcW w:w="274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Gross carrying amount at</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4"/>
            <w:vMerge w:val="continue"/>
          </w:tcPr>
          <w:p>
            <w:pPr>
              <w:spacing w:after="0"/>
              <w:rPr>
                <w:sz w:val="13"/>
                <w:szCs w:val="13"/>
                <w:color w:val="auto"/>
              </w:rPr>
            </w:pPr>
          </w:p>
        </w:tc>
        <w:tc>
          <w:tcPr>
            <w:tcW w:w="680" w:type="dxa"/>
            <w:vAlign w:val="bottom"/>
          </w:tcPr>
          <w:p>
            <w:pPr>
              <w:spacing w:after="0"/>
              <w:rPr>
                <w:sz w:val="13"/>
                <w:szCs w:val="13"/>
                <w:color w:val="auto"/>
              </w:rPr>
            </w:pPr>
          </w:p>
        </w:tc>
        <w:tc>
          <w:tcPr>
            <w:tcW w:w="138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0"/>
              </w:rPr>
              <w:t>December 31, 2016</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Building and</w:t>
            </w:r>
          </w:p>
        </w:tc>
        <w:tc>
          <w:tcPr>
            <w:tcW w:w="1640" w:type="dxa"/>
            <w:vAlign w:val="bottom"/>
            <w:gridSpan w:val="4"/>
            <w:vMerge w:val="restart"/>
          </w:tcPr>
          <w:p>
            <w:pPr>
              <w:jc w:val="center"/>
              <w:ind w:right="660"/>
              <w:spacing w:after="0"/>
              <w:rPr>
                <w:sz w:val="20"/>
                <w:szCs w:val="20"/>
                <w:color w:val="auto"/>
              </w:rPr>
            </w:pPr>
            <w:r>
              <w:rPr>
                <w:rFonts w:ascii="Arial" w:cs="Arial" w:eastAsia="Arial" w:hAnsi="Arial"/>
                <w:sz w:val="16"/>
                <w:szCs w:val="16"/>
                <w:b w:val="1"/>
                <w:bCs w:val="1"/>
                <w:color w:val="auto"/>
                <w:w w:val="82"/>
              </w:rPr>
              <w:t>and costs</w:t>
            </w:r>
          </w:p>
        </w:tc>
        <w:tc>
          <w:tcPr>
            <w:tcW w:w="68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640" w:type="dxa"/>
            <w:vAlign w:val="bottom"/>
            <w:gridSpan w:val="4"/>
            <w:vMerge w:val="continue"/>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640" w:type="dxa"/>
            <w:vAlign w:val="bottom"/>
            <w:gridSpan w:val="4"/>
            <w:vMerge w:val="continue"/>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Land</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improvements</w:t>
            </w:r>
          </w:p>
        </w:tc>
        <w:tc>
          <w:tcPr>
            <w:tcW w:w="1640" w:type="dxa"/>
            <w:vAlign w:val="bottom"/>
            <w:gridSpan w:val="4"/>
          </w:tcPr>
          <w:p>
            <w:pPr>
              <w:jc w:val="center"/>
              <w:ind w:right="660"/>
              <w:spacing w:after="0"/>
              <w:rPr>
                <w:sz w:val="20"/>
                <w:szCs w:val="20"/>
                <w:color w:val="auto"/>
              </w:rPr>
            </w:pPr>
            <w:r>
              <w:rPr>
                <w:rFonts w:ascii="Arial" w:cs="Arial" w:eastAsia="Arial" w:hAnsi="Arial"/>
                <w:sz w:val="16"/>
                <w:szCs w:val="16"/>
                <w:b w:val="1"/>
                <w:bCs w:val="1"/>
                <w:color w:val="auto"/>
                <w:w w:val="86"/>
              </w:rPr>
              <w:t>subsequent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Building and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0" w:type="dxa"/>
            <w:vAlign w:val="bottom"/>
          </w:tcPr>
          <w:p>
            <w:pPr>
              <w:spacing w:after="0"/>
              <w:rPr>
                <w:sz w:val="1"/>
                <w:szCs w:val="1"/>
                <w:color w:val="auto"/>
              </w:rPr>
            </w:pPr>
          </w:p>
        </w:tc>
      </w:tr>
      <w:tr>
        <w:trPr>
          <w:trHeight w:val="210"/>
        </w:trPr>
        <w:tc>
          <w:tcPr>
            <w:tcW w:w="5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State</w:t>
            </w:r>
          </w:p>
        </w:tc>
        <w:tc>
          <w:tcPr>
            <w:tcW w:w="680" w:type="dxa"/>
            <w:vAlign w:val="bottom"/>
            <w:gridSpan w:val="2"/>
          </w:tcPr>
          <w:p>
            <w:pPr>
              <w:ind w:left="120"/>
              <w:spacing w:after="0"/>
              <w:rPr>
                <w:sz w:val="20"/>
                <w:szCs w:val="20"/>
                <w:color w:val="auto"/>
              </w:rPr>
            </w:pPr>
            <w:r>
              <w:rPr>
                <w:rFonts w:ascii="Arial" w:cs="Arial" w:eastAsia="Arial" w:hAnsi="Arial"/>
                <w:sz w:val="16"/>
                <w:szCs w:val="16"/>
                <w:b w:val="1"/>
                <w:bCs w:val="1"/>
                <w:color w:val="auto"/>
              </w:rPr>
              <w:t>Debt</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initial cost</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initial cost</w:t>
            </w:r>
          </w:p>
        </w:tc>
        <w:tc>
          <w:tcPr>
            <w:tcW w:w="1640" w:type="dxa"/>
            <w:vAlign w:val="bottom"/>
            <w:gridSpan w:val="4"/>
          </w:tcPr>
          <w:p>
            <w:pPr>
              <w:ind w:left="20"/>
              <w:spacing w:after="0"/>
              <w:rPr>
                <w:sz w:val="20"/>
                <w:szCs w:val="20"/>
                <w:color w:val="auto"/>
              </w:rPr>
            </w:pPr>
            <w:r>
              <w:rPr>
                <w:rFonts w:ascii="Arial" w:cs="Arial" w:eastAsia="Arial" w:hAnsi="Arial"/>
                <w:sz w:val="16"/>
                <w:szCs w:val="16"/>
                <w:b w:val="1"/>
                <w:bCs w:val="1"/>
                <w:color w:val="auto"/>
              </w:rPr>
              <w:t>to acquisition  Notes</w:t>
            </w:r>
          </w:p>
        </w:tc>
        <w:tc>
          <w:tcPr>
            <w:tcW w:w="680" w:type="dxa"/>
            <w:vAlign w:val="bottom"/>
          </w:tcPr>
          <w:p>
            <w:pPr>
              <w:ind w:left="40"/>
              <w:spacing w:after="0"/>
              <w:rPr>
                <w:sz w:val="20"/>
                <w:szCs w:val="20"/>
                <w:color w:val="auto"/>
              </w:rPr>
            </w:pPr>
            <w:r>
              <w:rPr>
                <w:rFonts w:ascii="Arial" w:cs="Arial" w:eastAsia="Arial" w:hAnsi="Arial"/>
                <w:sz w:val="16"/>
                <w:szCs w:val="16"/>
                <w:b w:val="1"/>
                <w:bCs w:val="1"/>
                <w:color w:val="auto"/>
              </w:rPr>
              <w:t>Land</w:t>
            </w:r>
          </w:p>
        </w:tc>
        <w:tc>
          <w:tcPr>
            <w:tcW w:w="10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improvements</w:t>
            </w:r>
          </w:p>
        </w:tc>
        <w:tc>
          <w:tcPr>
            <w:tcW w:w="68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0"/>
              </w:rPr>
              <w:t>depreciation</w:t>
            </w:r>
          </w:p>
        </w:tc>
        <w:tc>
          <w:tcPr>
            <w:tcW w:w="0" w:type="dxa"/>
            <w:vAlign w:val="bottom"/>
          </w:tcPr>
          <w:p>
            <w:pPr>
              <w:spacing w:after="0"/>
              <w:rPr>
                <w:sz w:val="1"/>
                <w:szCs w:val="1"/>
                <w:color w:val="auto"/>
              </w:rPr>
            </w:pPr>
          </w:p>
        </w:tc>
      </w:tr>
      <w:tr>
        <w:trPr>
          <w:trHeight w:val="33"/>
        </w:trPr>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5,455</w:t>
            </w: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474</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3,324</w:t>
            </w: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384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474</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3,708</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4,182</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1,566</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918</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3,728</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540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919</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4,267</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5,186</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1,805</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7,897</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3,023</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6,697</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238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3,023</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6,935</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9,958</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582</w:t>
            </w:r>
          </w:p>
        </w:tc>
        <w:tc>
          <w:tcPr>
            <w:tcW w:w="0" w:type="dxa"/>
            <w:vAlign w:val="bottom"/>
          </w:tcPr>
          <w:p>
            <w:pPr>
              <w:spacing w:after="0"/>
              <w:rPr>
                <w:sz w:val="1"/>
                <w:szCs w:val="1"/>
                <w:color w:val="auto"/>
              </w:rPr>
            </w:pPr>
          </w:p>
        </w:tc>
      </w:tr>
      <w:tr>
        <w:trPr>
          <w:trHeight w:val="364"/>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647</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2,762</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347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647</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3,109</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3,756</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1,234</w:t>
            </w:r>
          </w:p>
        </w:tc>
        <w:tc>
          <w:tcPr>
            <w:tcW w:w="0" w:type="dxa"/>
            <w:vAlign w:val="bottom"/>
          </w:tcPr>
          <w:p>
            <w:pPr>
              <w:spacing w:after="0"/>
              <w:rPr>
                <w:sz w:val="1"/>
                <w:szCs w:val="1"/>
                <w:color w:val="auto"/>
              </w:rPr>
            </w:pPr>
          </w:p>
        </w:tc>
      </w:tr>
      <w:tr>
        <w:trPr>
          <w:trHeight w:val="364"/>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4,929</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829</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6,195</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486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829</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6,681</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7,510</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589</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7,662</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3,115</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5,736</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195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3,115</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5,931</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9,046</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656</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2,443</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7,328</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4"/>
              </w:rPr>
              <w:t>1,587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2,443</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8,915</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11,358</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3,242</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5,737</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2,127</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3,041</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984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2,127</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4,025</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6,152</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1,687</w:t>
            </w:r>
          </w:p>
        </w:tc>
        <w:tc>
          <w:tcPr>
            <w:tcW w:w="0" w:type="dxa"/>
            <w:vAlign w:val="bottom"/>
          </w:tcPr>
          <w:p>
            <w:pPr>
              <w:spacing w:after="0"/>
              <w:rPr>
                <w:sz w:val="1"/>
                <w:szCs w:val="1"/>
                <w:color w:val="auto"/>
              </w:rPr>
            </w:pPr>
          </w:p>
        </w:tc>
      </w:tr>
      <w:tr>
        <w:trPr>
          <w:trHeight w:val="364"/>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1,625</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10,875</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2"/>
              </w:rPr>
              <w:t>114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1,625</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10,989</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12,614</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420</w:t>
            </w:r>
          </w:p>
        </w:tc>
        <w:tc>
          <w:tcPr>
            <w:tcW w:w="0" w:type="dxa"/>
            <w:vAlign w:val="bottom"/>
          </w:tcPr>
          <w:p>
            <w:pPr>
              <w:spacing w:after="0"/>
              <w:rPr>
                <w:sz w:val="1"/>
                <w:szCs w:val="1"/>
                <w:color w:val="auto"/>
              </w:rPr>
            </w:pPr>
          </w:p>
        </w:tc>
      </w:tr>
      <w:tr>
        <w:trPr>
          <w:trHeight w:val="364"/>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173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173</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173</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130</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692</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2,129</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4"/>
              </w:rPr>
              <w:t>1,120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692</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3,249</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3,941</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1,196</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759</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4,158</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505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759</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4,663</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5,422</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2,174</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80" w:type="dxa"/>
            <w:vAlign w:val="bottom"/>
          </w:tcPr>
          <w:p>
            <w:pPr>
              <w:jc w:val="center"/>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56</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56</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19</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3,247</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806</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3,122</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671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806</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3,793</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4,599</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1,719</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9,015</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3,285</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11,275</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766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3,285</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12,041</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15,326</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2,873</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5,173</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555</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2,491</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209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555</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2,700</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3,255</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1,158</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1,703</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3,237</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450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1,703</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3,687</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5,390</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1,608</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1,039</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4,155</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273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1,026</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4,441</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5,467</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1,545</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2,838</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3,979</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4"/>
              </w:rPr>
              <w:t>6,893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2,838</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10,872</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13,710</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3,089</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3,628</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773</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4,120</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146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773</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4,266</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5,039</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359</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3,704</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482</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1,762</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671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527</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2,388</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2,915</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1,067</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4,433</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280</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2,715</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704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280</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3,419</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3,699</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1,552</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7,116</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2,160</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2,336</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4"/>
              </w:rPr>
              <w:t>1,841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2,221</w:t>
            </w:r>
          </w:p>
        </w:tc>
        <w:tc>
          <w:tcPr>
            <w:tcW w:w="12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4,116</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6,337</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1,705</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4,832</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2,223</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4,430</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485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2,223</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4,915</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7,138</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1,856</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1,567</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14,595</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1,567</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14,636</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16,203</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344</w:t>
            </w:r>
          </w:p>
        </w:tc>
        <w:tc>
          <w:tcPr>
            <w:tcW w:w="0" w:type="dxa"/>
            <w:vAlign w:val="bottom"/>
          </w:tcPr>
          <w:p>
            <w:pPr>
              <w:spacing w:after="0"/>
              <w:rPr>
                <w:sz w:val="1"/>
                <w:szCs w:val="1"/>
                <w:color w:val="auto"/>
              </w:rPr>
            </w:pPr>
          </w:p>
        </w:tc>
      </w:tr>
      <w:tr>
        <w:trPr>
          <w:trHeight w:val="364"/>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1,238</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12,362</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338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1,238</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12,700</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13,938</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165</w:t>
            </w:r>
          </w:p>
        </w:tc>
        <w:tc>
          <w:tcPr>
            <w:tcW w:w="0" w:type="dxa"/>
            <w:vAlign w:val="bottom"/>
          </w:tcPr>
          <w:p>
            <w:pPr>
              <w:spacing w:after="0"/>
              <w:rPr>
                <w:sz w:val="1"/>
                <w:szCs w:val="1"/>
                <w:color w:val="auto"/>
              </w:rPr>
            </w:pPr>
          </w:p>
        </w:tc>
      </w:tr>
      <w:tr>
        <w:trPr>
          <w:trHeight w:val="364"/>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6,910</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1,359</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4,078</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541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1,360</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4,618</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5,978</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1,582</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588</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2,270</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929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670</w:t>
            </w:r>
          </w:p>
        </w:tc>
        <w:tc>
          <w:tcPr>
            <w:tcW w:w="12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3,117</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3,787</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1,297</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4,675</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2,275</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6,935</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361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2,275</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7,296</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9,571</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984</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9,015</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1,725</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5,514</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2"/>
              </w:rPr>
              <w:t>611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1,725</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6,125</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7,850</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2,396</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11,406</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1,728</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6,570</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948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1,731</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7,515</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9,246</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2,987</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5,729</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944</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5,241</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326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944</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5,567</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6,511</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1,716</w:t>
            </w:r>
          </w:p>
        </w:tc>
        <w:tc>
          <w:tcPr>
            <w:tcW w:w="0" w:type="dxa"/>
            <w:vAlign w:val="bottom"/>
          </w:tcPr>
          <w:p>
            <w:pPr>
              <w:spacing w:after="0"/>
              <w:rPr>
                <w:sz w:val="1"/>
                <w:szCs w:val="1"/>
                <w:color w:val="auto"/>
              </w:rPr>
            </w:pPr>
          </w:p>
        </w:tc>
      </w:tr>
      <w:tr>
        <w:trPr>
          <w:trHeight w:val="364"/>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1,754</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2,769</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365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1,755</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3,133</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4,888</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1,405</w:t>
            </w:r>
          </w:p>
        </w:tc>
        <w:tc>
          <w:tcPr>
            <w:tcW w:w="0" w:type="dxa"/>
            <w:vAlign w:val="bottom"/>
          </w:tcPr>
          <w:p>
            <w:pPr>
              <w:spacing w:after="0"/>
              <w:rPr>
                <w:sz w:val="1"/>
                <w:szCs w:val="1"/>
                <w:color w:val="auto"/>
              </w:rPr>
            </w:pPr>
          </w:p>
        </w:tc>
      </w:tr>
      <w:tr>
        <w:trPr>
          <w:trHeight w:val="459"/>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2,189</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7,047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2,189</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7,108</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9,297</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62</w:t>
            </w:r>
          </w:p>
        </w:tc>
        <w:tc>
          <w:tcPr>
            <w:tcW w:w="0" w:type="dxa"/>
            <w:vAlign w:val="bottom"/>
          </w:tcPr>
          <w:p>
            <w:pPr>
              <w:spacing w:after="0"/>
              <w:rPr>
                <w:sz w:val="1"/>
                <w:szCs w:val="1"/>
                <w:color w:val="auto"/>
              </w:rPr>
            </w:pPr>
          </w:p>
        </w:tc>
      </w:tr>
      <w:tr>
        <w:trPr>
          <w:trHeight w:val="364"/>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3,341</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1,843</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5,004</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1,843</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5,098</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6,941</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602</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3,770</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11,310</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4"/>
              </w:rPr>
              <w:t>1,121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3,770</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12,431</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16,201</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4,344</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2,806</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3,129</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232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2,806</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3,361</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6,167</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1,518</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285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285</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285</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168</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3,889</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1,350</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4,433</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398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1,350</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4,831</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6,181</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1,269</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4,290</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896</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4,377</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4"/>
              </w:rPr>
              <w:t>3,249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896</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7,626</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8,522</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3,001</w:t>
            </w:r>
          </w:p>
        </w:tc>
        <w:tc>
          <w:tcPr>
            <w:tcW w:w="0" w:type="dxa"/>
            <w:vAlign w:val="bottom"/>
          </w:tcPr>
          <w:p>
            <w:pPr>
              <w:spacing w:after="0"/>
              <w:rPr>
                <w:sz w:val="1"/>
                <w:szCs w:val="1"/>
                <w:color w:val="auto"/>
              </w:rPr>
            </w:pPr>
          </w:p>
        </w:tc>
      </w:tr>
      <w:tr>
        <w:trPr>
          <w:trHeight w:val="364"/>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MD</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8,957</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1,375</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8,896</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425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1,376</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9,320</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10,696</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2,409</w:t>
            </w:r>
          </w:p>
        </w:tc>
        <w:tc>
          <w:tcPr>
            <w:tcW w:w="0" w:type="dxa"/>
            <w:vAlign w:val="bottom"/>
          </w:tcPr>
          <w:p>
            <w:pPr>
              <w:spacing w:after="0"/>
              <w:rPr>
                <w:sz w:val="1"/>
                <w:szCs w:val="1"/>
                <w:color w:val="auto"/>
              </w:rPr>
            </w:pPr>
          </w:p>
        </w:tc>
      </w:tr>
      <w:tr>
        <w:trPr>
          <w:trHeight w:val="364"/>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MD</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5,248</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7,247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381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5,247</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7,629</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12,876</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1,966</w:t>
            </w:r>
          </w:p>
        </w:tc>
        <w:tc>
          <w:tcPr>
            <w:tcW w:w="0" w:type="dxa"/>
            <w:vAlign w:val="bottom"/>
          </w:tcPr>
          <w:p>
            <w:pPr>
              <w:spacing w:after="0"/>
              <w:rPr>
                <w:sz w:val="1"/>
                <w:szCs w:val="1"/>
                <w:color w:val="auto"/>
              </w:rPr>
            </w:pPr>
          </w:p>
        </w:tc>
      </w:tr>
      <w:tr>
        <w:trPr>
          <w:trHeight w:val="270"/>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MD</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9,640</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2,558</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9,446</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691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2,558</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10,137</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12,695</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3,133</w:t>
            </w:r>
          </w:p>
        </w:tc>
        <w:tc>
          <w:tcPr>
            <w:tcW w:w="0" w:type="dxa"/>
            <w:vAlign w:val="bottom"/>
          </w:tcPr>
          <w:p>
            <w:pPr>
              <w:spacing w:after="0"/>
              <w:rPr>
                <w:sz w:val="1"/>
                <w:szCs w:val="1"/>
                <w:color w:val="auto"/>
              </w:rPr>
            </w:pPr>
          </w:p>
        </w:tc>
      </w:tr>
      <w:tr>
        <w:trPr>
          <w:trHeight w:val="364"/>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MD</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4,327</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1,185</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5,051</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177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1,185</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5,228</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6,413</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649</w:t>
            </w:r>
          </w:p>
        </w:tc>
        <w:tc>
          <w:tcPr>
            <w:tcW w:w="0" w:type="dxa"/>
            <w:vAlign w:val="bottom"/>
          </w:tcPr>
          <w:p>
            <w:pPr>
              <w:spacing w:after="0"/>
              <w:rPr>
                <w:sz w:val="1"/>
                <w:szCs w:val="1"/>
                <w:color w:val="auto"/>
              </w:rPr>
            </w:pPr>
          </w:p>
        </w:tc>
      </w:tr>
      <w:tr>
        <w:trPr>
          <w:trHeight w:val="459"/>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MD</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7,085</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1,266</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10,789</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155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1,266</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10,944</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12,210</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1,116</w:t>
            </w:r>
          </w:p>
        </w:tc>
        <w:tc>
          <w:tcPr>
            <w:tcW w:w="0" w:type="dxa"/>
            <w:vAlign w:val="bottom"/>
          </w:tcPr>
          <w:p>
            <w:pPr>
              <w:spacing w:after="0"/>
              <w:rPr>
                <w:sz w:val="1"/>
                <w:szCs w:val="1"/>
                <w:color w:val="auto"/>
              </w:rPr>
            </w:pPr>
          </w:p>
        </w:tc>
      </w:tr>
      <w:tr>
        <w:trPr>
          <w:trHeight w:val="364"/>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MD</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4,297</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800</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5,955</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160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800</w:t>
            </w:r>
          </w:p>
        </w:tc>
        <w:tc>
          <w:tcPr>
            <w:tcW w:w="12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6,115</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6,915</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1,339</w:t>
            </w:r>
          </w:p>
        </w:tc>
        <w:tc>
          <w:tcPr>
            <w:tcW w:w="0" w:type="dxa"/>
            <w:vAlign w:val="bottom"/>
          </w:tcPr>
          <w:p>
            <w:pPr>
              <w:spacing w:after="0"/>
              <w:rPr>
                <w:sz w:val="1"/>
                <w:szCs w:val="1"/>
                <w:color w:val="auto"/>
              </w:rPr>
            </w:pPr>
          </w:p>
        </w:tc>
      </w:tr>
      <w:tr>
        <w:trPr>
          <w:trHeight w:val="364"/>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MD</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1,900</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5,277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156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1,900</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5,433</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7,333</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962</w:t>
            </w:r>
          </w:p>
        </w:tc>
        <w:tc>
          <w:tcPr>
            <w:tcW w:w="0" w:type="dxa"/>
            <w:vAlign w:val="bottom"/>
          </w:tcPr>
          <w:p>
            <w:pPr>
              <w:spacing w:after="0"/>
              <w:rPr>
                <w:sz w:val="1"/>
                <w:szCs w:val="1"/>
                <w:color w:val="auto"/>
              </w:rPr>
            </w:pPr>
          </w:p>
        </w:tc>
      </w:tr>
      <w:tr>
        <w:trPr>
          <w:trHeight w:val="364"/>
        </w:trPr>
        <w:tc>
          <w:tcPr>
            <w:tcW w:w="520" w:type="dxa"/>
            <w:vAlign w:val="bottom"/>
            <w:gridSpan w:val="2"/>
          </w:tcPr>
          <w:p>
            <w:pPr>
              <w:jc w:val="center"/>
              <w:ind w:right="100"/>
              <w:spacing w:after="0"/>
              <w:rPr>
                <w:sz w:val="20"/>
                <w:szCs w:val="20"/>
                <w:color w:val="auto"/>
              </w:rPr>
            </w:pPr>
            <w:r>
              <w:rPr>
                <w:rFonts w:ascii="Arial" w:cs="Arial" w:eastAsia="Arial" w:hAnsi="Arial"/>
                <w:sz w:val="16"/>
                <w:szCs w:val="16"/>
                <w:color w:val="auto"/>
              </w:rPr>
              <w:t>MD</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25,193</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3,671</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18,331</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4"/>
              </w:rPr>
              <w:t>1,422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3,671</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19,753</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23,424</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6,751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-9281160</wp:posOffset>
            </wp:positionV>
            <wp:extent cx="7246620" cy="1797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17970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-8930005</wp:posOffset>
            </wp:positionV>
            <wp:extent cx="7246620" cy="1714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-8467090</wp:posOffset>
            </wp:positionV>
            <wp:extent cx="7246620" cy="1714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-8124825</wp:posOffset>
            </wp:positionV>
            <wp:extent cx="7246620" cy="1714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-7781925</wp:posOffset>
            </wp:positionV>
            <wp:extent cx="7246620" cy="291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-7319645</wp:posOffset>
            </wp:positionV>
            <wp:extent cx="7246620" cy="1714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-6976745</wp:posOffset>
            </wp:positionV>
            <wp:extent cx="7246620" cy="1714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-6633845</wp:posOffset>
            </wp:positionV>
            <wp:extent cx="7246620" cy="1714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-6291580</wp:posOffset>
            </wp:positionV>
            <wp:extent cx="7246620" cy="1714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-5948680</wp:posOffset>
            </wp:positionV>
            <wp:extent cx="7246620" cy="1714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-5606415</wp:posOffset>
            </wp:positionV>
            <wp:extent cx="7246620" cy="1714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-5263515</wp:posOffset>
            </wp:positionV>
            <wp:extent cx="7246620" cy="1714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-4921250</wp:posOffset>
            </wp:positionV>
            <wp:extent cx="7246620" cy="1714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-4458335</wp:posOffset>
            </wp:positionV>
            <wp:extent cx="7246620" cy="1714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-4116070</wp:posOffset>
            </wp:positionV>
            <wp:extent cx="7246620" cy="1714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-3773170</wp:posOffset>
            </wp:positionV>
            <wp:extent cx="7246620" cy="1714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-3430270</wp:posOffset>
            </wp:positionV>
            <wp:extent cx="7246620" cy="2914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-2847975</wp:posOffset>
            </wp:positionV>
            <wp:extent cx="7246620" cy="1714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-2505075</wp:posOffset>
            </wp:positionV>
            <wp:extent cx="7246620" cy="1714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-2162810</wp:posOffset>
            </wp:positionV>
            <wp:extent cx="7246620" cy="1714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-1819910</wp:posOffset>
            </wp:positionV>
            <wp:extent cx="7246620" cy="2914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-1357630</wp:posOffset>
            </wp:positionV>
            <wp:extent cx="7246620" cy="1714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-894715</wp:posOffset>
            </wp:positionV>
            <wp:extent cx="7246620" cy="2914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-432435</wp:posOffset>
            </wp:positionV>
            <wp:extent cx="7246620" cy="2914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29210</wp:posOffset>
            </wp:positionV>
            <wp:extent cx="7246620" cy="139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13970"/>
                    </a:xfrm>
                    <a:prstGeom prst="rect">
                      <a:avLst/>
                    </a:prstGeom>
                    <a:noFill/>
                  </pic:spPr>
                </pic:pic>
              </a:graphicData>
            </a:graphic>
          </wp:anchor>
        </w:drawing>
      </w:r>
    </w:p>
    <w:p>
      <w:pPr>
        <w:sectPr>
          <w:pgSz w:w="11900" w:h="16838" w:orient="portrait"/>
          <w:cols w:equalWidth="0" w:num="2">
            <w:col w:w="2620" w:space="100"/>
            <w:col w:w="8700"/>
          </w:cols>
          <w:pgMar w:left="240" w:top="962" w:right="239" w:bottom="0" w:gutter="0" w:footer="0" w:header="0"/>
        </w:sectPr>
      </w:pPr>
    </w:p>
    <w:bookmarkStart w:id="104" w:name="page105"/>
    <w:bookmarkEnd w:id="104"/>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11/17/2016</w:t>
            </w:r>
          </w:p>
        </w:tc>
        <w:tc>
          <w:tcPr>
            <w:tcW w:w="1760" w:type="dxa"/>
            <w:vAlign w:val="bottom"/>
            <w:shd w:val="clear" w:color="auto" w:fill="CCEEFF"/>
          </w:tcPr>
          <w:p>
            <w:pPr>
              <w:ind w:left="60"/>
              <w:spacing w:after="0"/>
              <w:rPr>
                <w:sz w:val="20"/>
                <w:szCs w:val="20"/>
                <w:color w:val="auto"/>
              </w:rPr>
            </w:pPr>
            <w:r>
              <w:rPr>
                <w:rFonts w:ascii="Arial" w:cs="Arial" w:eastAsia="Arial" w:hAnsi="Arial"/>
                <w:sz w:val="16"/>
                <w:szCs w:val="16"/>
                <w:color w:val="auto"/>
              </w:rPr>
              <w:t>Burtonsville</w:t>
            </w:r>
          </w:p>
        </w:tc>
        <w:tc>
          <w:tcPr>
            <w:tcW w:w="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MD</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89"/>
              </w:rPr>
              <w:t>10,136</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11,756</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21"/>
                <w:szCs w:val="21"/>
                <w:color w:val="auto"/>
              </w:rPr>
            </w:pPr>
          </w:p>
        </w:tc>
        <w:tc>
          <w:tcPr>
            <w:tcW w:w="90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89"/>
              </w:rPr>
              <w:t>10,136</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11,756</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21,892</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50</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10/20/2010</w:t>
            </w:r>
          </w:p>
        </w:tc>
        <w:tc>
          <w:tcPr>
            <w:tcW w:w="1760" w:type="dxa"/>
            <w:vAlign w:val="bottom"/>
          </w:tcPr>
          <w:p>
            <w:pPr>
              <w:ind w:left="60"/>
              <w:spacing w:after="0"/>
              <w:rPr>
                <w:sz w:val="20"/>
                <w:szCs w:val="20"/>
                <w:color w:val="auto"/>
              </w:rPr>
            </w:pPr>
            <w:r>
              <w:rPr>
                <w:rFonts w:ascii="Arial" w:cs="Arial" w:eastAsia="Arial" w:hAnsi="Arial"/>
                <w:sz w:val="16"/>
                <w:szCs w:val="16"/>
                <w:color w:val="auto"/>
              </w:rPr>
              <w:t>Capitol Heights</w:t>
            </w:r>
          </w:p>
        </w:tc>
        <w:tc>
          <w:tcPr>
            <w:tcW w:w="500" w:type="dxa"/>
            <w:vAlign w:val="bottom"/>
          </w:tcPr>
          <w:p>
            <w:pPr>
              <w:jc w:val="center"/>
              <w:spacing w:after="0"/>
              <w:rPr>
                <w:sz w:val="20"/>
                <w:szCs w:val="20"/>
                <w:color w:val="auto"/>
              </w:rPr>
            </w:pPr>
            <w:r>
              <w:rPr>
                <w:rFonts w:ascii="Arial" w:cs="Arial" w:eastAsia="Arial" w:hAnsi="Arial"/>
                <w:sz w:val="16"/>
                <w:szCs w:val="16"/>
                <w:color w:val="auto"/>
              </w:rPr>
              <w:t>MD</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7,932</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1,461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9,866</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259</w:t>
            </w:r>
          </w:p>
        </w:tc>
        <w:tc>
          <w:tcPr>
            <w:tcW w:w="640" w:type="dxa"/>
            <w:vAlign w:val="bottom"/>
          </w:tcPr>
          <w:p>
            <w:pPr>
              <w:spacing w:after="0"/>
              <w:rPr>
                <w:sz w:val="19"/>
                <w:szCs w:val="19"/>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1,461</w:t>
            </w: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10,125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11,586</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1,711</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3/7/2012</w:t>
            </w:r>
          </w:p>
        </w:tc>
        <w:tc>
          <w:tcPr>
            <w:tcW w:w="1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Cockeysville</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MD</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3,629</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465</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5,600</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312</w:t>
            </w:r>
          </w:p>
        </w:tc>
        <w:tc>
          <w:tcPr>
            <w:tcW w:w="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465</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5,912</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6,377</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805</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7/1/2005</w:t>
            </w:r>
          </w:p>
        </w:tc>
        <w:tc>
          <w:tcPr>
            <w:tcW w:w="1760" w:type="dxa"/>
            <w:vAlign w:val="bottom"/>
          </w:tcPr>
          <w:p>
            <w:pPr>
              <w:ind w:left="60"/>
              <w:spacing w:after="0"/>
              <w:rPr>
                <w:sz w:val="20"/>
                <w:szCs w:val="20"/>
                <w:color w:val="auto"/>
              </w:rPr>
            </w:pPr>
            <w:r>
              <w:rPr>
                <w:rFonts w:ascii="Arial" w:cs="Arial" w:eastAsia="Arial" w:hAnsi="Arial"/>
                <w:sz w:val="16"/>
                <w:szCs w:val="16"/>
                <w:color w:val="auto"/>
              </w:rPr>
              <w:t>Columbia</w:t>
            </w:r>
          </w:p>
        </w:tc>
        <w:tc>
          <w:tcPr>
            <w:tcW w:w="500" w:type="dxa"/>
            <w:vAlign w:val="bottom"/>
          </w:tcPr>
          <w:p>
            <w:pPr>
              <w:jc w:val="center"/>
              <w:spacing w:after="0"/>
              <w:rPr>
                <w:sz w:val="20"/>
                <w:szCs w:val="20"/>
                <w:color w:val="auto"/>
              </w:rPr>
            </w:pPr>
            <w:r>
              <w:rPr>
                <w:rFonts w:ascii="Arial" w:cs="Arial" w:eastAsia="Arial" w:hAnsi="Arial"/>
                <w:sz w:val="16"/>
                <w:szCs w:val="16"/>
                <w:color w:val="auto"/>
              </w:rPr>
              <w:t>MD</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10,990</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1,736</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9,632</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386</w:t>
            </w:r>
          </w:p>
        </w:tc>
        <w:tc>
          <w:tcPr>
            <w:tcW w:w="640" w:type="dxa"/>
            <w:vAlign w:val="bottom"/>
          </w:tcPr>
          <w:p>
            <w:pPr>
              <w:spacing w:after="0"/>
              <w:rPr>
                <w:sz w:val="19"/>
                <w:szCs w:val="19"/>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1,736</w:t>
            </w: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10,018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11,754</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3,090</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12/2/2005</w:t>
            </w:r>
          </w:p>
        </w:tc>
        <w:tc>
          <w:tcPr>
            <w:tcW w:w="1760" w:type="dxa"/>
            <w:vAlign w:val="bottom"/>
            <w:shd w:val="clear" w:color="auto" w:fill="CCEEFF"/>
          </w:tcPr>
          <w:p>
            <w:pPr>
              <w:ind w:left="60"/>
              <w:spacing w:after="0"/>
              <w:rPr>
                <w:sz w:val="20"/>
                <w:szCs w:val="20"/>
                <w:color w:val="auto"/>
              </w:rPr>
            </w:pPr>
            <w:r>
              <w:rPr>
                <w:rFonts w:ascii="Arial" w:cs="Arial" w:eastAsia="Arial" w:hAnsi="Arial"/>
                <w:sz w:val="16"/>
                <w:szCs w:val="16"/>
                <w:color w:val="auto"/>
              </w:rPr>
              <w:t>Edgewood / Pulaski</w:t>
            </w:r>
          </w:p>
        </w:tc>
        <w:tc>
          <w:tcPr>
            <w:tcW w:w="5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MD</w:t>
            </w: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vMerge w:val="restart"/>
            <w:shd w:val="clear" w:color="auto" w:fill="CCEEFF"/>
          </w:tcPr>
          <w:p>
            <w:pPr>
              <w:jc w:val="center"/>
              <w:ind w:right="59"/>
              <w:spacing w:after="0"/>
              <w:rPr>
                <w:sz w:val="20"/>
                <w:szCs w:val="20"/>
                <w:color w:val="auto"/>
              </w:rPr>
            </w:pPr>
            <w:r>
              <w:rPr>
                <w:rFonts w:ascii="Arial" w:cs="Arial" w:eastAsia="Arial" w:hAnsi="Arial"/>
                <w:sz w:val="16"/>
                <w:szCs w:val="16"/>
                <w:color w:val="auto"/>
                <w:w w:val="89"/>
              </w:rPr>
              <w:t>1,000</w:t>
            </w: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0"/>
              </w:rPr>
              <w:t>(575)</w:t>
            </w:r>
          </w:p>
        </w:tc>
        <w:tc>
          <w:tcPr>
            <w:tcW w:w="640" w:type="dxa"/>
            <w:vAlign w:val="bottom"/>
            <w:vMerge w:val="restart"/>
            <w:shd w:val="clear" w:color="auto" w:fill="CCEEFF"/>
          </w:tcPr>
          <w:p>
            <w:pPr>
              <w:ind w:left="280"/>
              <w:spacing w:after="0"/>
              <w:rPr>
                <w:sz w:val="20"/>
                <w:szCs w:val="20"/>
                <w:color w:val="auto"/>
              </w:rPr>
            </w:pPr>
            <w:r>
              <w:rPr>
                <w:rFonts w:ascii="Arial" w:cs="Arial" w:eastAsia="Arial" w:hAnsi="Arial"/>
                <w:sz w:val="16"/>
                <w:szCs w:val="16"/>
                <w:color w:val="auto"/>
              </w:rPr>
              <w:t>(d)</w:t>
            </w:r>
          </w:p>
        </w:tc>
        <w:tc>
          <w:tcPr>
            <w:tcW w:w="900" w:type="dxa"/>
            <w:vAlign w:val="bottom"/>
            <w:vMerge w:val="restart"/>
            <w:shd w:val="clear" w:color="auto" w:fill="CCEEFF"/>
          </w:tcPr>
          <w:p>
            <w:pPr>
              <w:jc w:val="center"/>
              <w:ind w:right="59"/>
              <w:spacing w:after="0"/>
              <w:rPr>
                <w:sz w:val="20"/>
                <w:szCs w:val="20"/>
                <w:color w:val="auto"/>
              </w:rPr>
            </w:pPr>
            <w:r>
              <w:rPr>
                <w:rFonts w:ascii="Arial" w:cs="Arial" w:eastAsia="Arial" w:hAnsi="Arial"/>
                <w:sz w:val="16"/>
                <w:szCs w:val="16"/>
                <w:color w:val="auto"/>
                <w:w w:val="89"/>
              </w:rPr>
              <w:t>425</w:t>
            </w: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425</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8"/>
        </w:trPr>
        <w:tc>
          <w:tcPr>
            <w:tcW w:w="920" w:type="dxa"/>
            <w:vAlign w:val="bottom"/>
            <w:vMerge w:val="continue"/>
            <w:shd w:val="clear" w:color="auto" w:fill="CCEEFF"/>
          </w:tcPr>
          <w:p>
            <w:pPr>
              <w:spacing w:after="0"/>
              <w:rPr>
                <w:sz w:val="8"/>
                <w:szCs w:val="8"/>
                <w:color w:val="auto"/>
              </w:rPr>
            </w:pPr>
          </w:p>
        </w:tc>
        <w:tc>
          <w:tcPr>
            <w:tcW w:w="1760" w:type="dxa"/>
            <w:vAlign w:val="bottom"/>
            <w:vMerge w:val="restart"/>
            <w:shd w:val="clear" w:color="auto" w:fill="CCEEFF"/>
          </w:tcPr>
          <w:p>
            <w:pPr>
              <w:ind w:left="60"/>
              <w:spacing w:after="0"/>
              <w:rPr>
                <w:sz w:val="20"/>
                <w:szCs w:val="20"/>
                <w:color w:val="auto"/>
              </w:rPr>
            </w:pPr>
            <w:r>
              <w:rPr>
                <w:rFonts w:ascii="Arial" w:cs="Arial" w:eastAsia="Arial" w:hAnsi="Arial"/>
                <w:sz w:val="16"/>
                <w:szCs w:val="16"/>
                <w:color w:val="auto"/>
              </w:rPr>
              <w:t>Hwy 1</w:t>
            </w:r>
          </w:p>
        </w:tc>
        <w:tc>
          <w:tcPr>
            <w:tcW w:w="500" w:type="dxa"/>
            <w:vAlign w:val="bottom"/>
            <w:vMerge w:val="continue"/>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920" w:type="dxa"/>
            <w:vAlign w:val="bottom"/>
            <w:tcBorders>
              <w:bottom w:val="single" w:sz="8" w:color="CCEEFF"/>
            </w:tcBorders>
            <w:shd w:val="clear" w:color="auto" w:fill="CCEEFF"/>
          </w:tcPr>
          <w:p>
            <w:pPr>
              <w:spacing w:after="0"/>
              <w:rPr>
                <w:sz w:val="10"/>
                <w:szCs w:val="10"/>
                <w:color w:val="auto"/>
              </w:rPr>
            </w:pPr>
          </w:p>
        </w:tc>
        <w:tc>
          <w:tcPr>
            <w:tcW w:w="1760" w:type="dxa"/>
            <w:vAlign w:val="bottom"/>
            <w:tcBorders>
              <w:bottom w:val="single" w:sz="8" w:color="CCEEFF"/>
            </w:tcBorders>
            <w:vMerge w:val="continue"/>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920" w:type="dxa"/>
            <w:vAlign w:val="bottom"/>
            <w:vMerge w:val="restart"/>
          </w:tcPr>
          <w:p>
            <w:pPr>
              <w:jc w:val="center"/>
              <w:spacing w:after="0"/>
              <w:rPr>
                <w:sz w:val="20"/>
                <w:szCs w:val="20"/>
                <w:color w:val="auto"/>
              </w:rPr>
            </w:pPr>
            <w:r>
              <w:rPr>
                <w:rFonts w:ascii="Arial" w:cs="Arial" w:eastAsia="Arial" w:hAnsi="Arial"/>
                <w:sz w:val="16"/>
                <w:szCs w:val="16"/>
                <w:color w:val="auto"/>
                <w:w w:val="89"/>
              </w:rPr>
              <w:t>9/10/2015</w:t>
            </w:r>
          </w:p>
        </w:tc>
        <w:tc>
          <w:tcPr>
            <w:tcW w:w="1760" w:type="dxa"/>
            <w:vAlign w:val="bottom"/>
          </w:tcPr>
          <w:p>
            <w:pPr>
              <w:ind w:left="60"/>
              <w:spacing w:after="0"/>
              <w:rPr>
                <w:sz w:val="20"/>
                <w:szCs w:val="20"/>
                <w:color w:val="auto"/>
              </w:rPr>
            </w:pPr>
            <w:r>
              <w:rPr>
                <w:rFonts w:ascii="Arial" w:cs="Arial" w:eastAsia="Arial" w:hAnsi="Arial"/>
                <w:sz w:val="16"/>
                <w:szCs w:val="16"/>
                <w:color w:val="auto"/>
              </w:rPr>
              <w:t>Edgewood / Pulaski</w:t>
            </w:r>
          </w:p>
        </w:tc>
        <w:tc>
          <w:tcPr>
            <w:tcW w:w="500" w:type="dxa"/>
            <w:vAlign w:val="bottom"/>
            <w:vMerge w:val="restart"/>
          </w:tcPr>
          <w:p>
            <w:pPr>
              <w:jc w:val="center"/>
              <w:spacing w:after="0"/>
              <w:rPr>
                <w:sz w:val="20"/>
                <w:szCs w:val="20"/>
                <w:color w:val="auto"/>
              </w:rPr>
            </w:pPr>
            <w:r>
              <w:rPr>
                <w:rFonts w:ascii="Arial" w:cs="Arial" w:eastAsia="Arial" w:hAnsi="Arial"/>
                <w:sz w:val="16"/>
                <w:szCs w:val="16"/>
                <w:color w:val="auto"/>
              </w:rPr>
              <w:t>MD</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vMerge w:val="restart"/>
          </w:tcPr>
          <w:p>
            <w:pPr>
              <w:jc w:val="center"/>
              <w:ind w:right="59"/>
              <w:spacing w:after="0"/>
              <w:rPr>
                <w:sz w:val="20"/>
                <w:szCs w:val="20"/>
                <w:color w:val="auto"/>
              </w:rPr>
            </w:pPr>
            <w:r>
              <w:rPr>
                <w:rFonts w:ascii="Arial" w:cs="Arial" w:eastAsia="Arial" w:hAnsi="Arial"/>
                <w:sz w:val="16"/>
                <w:szCs w:val="16"/>
                <w:color w:val="auto"/>
                <w:w w:val="89"/>
              </w:rPr>
              <w:t>794</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89"/>
              </w:rPr>
              <w:t>5,178</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7"/>
              </w:rPr>
              <w:t>253</w:t>
            </w:r>
          </w:p>
        </w:tc>
        <w:tc>
          <w:tcPr>
            <w:tcW w:w="640" w:type="dxa"/>
            <w:vAlign w:val="bottom"/>
          </w:tcPr>
          <w:p>
            <w:pPr>
              <w:spacing w:after="0"/>
              <w:rPr>
                <w:sz w:val="19"/>
                <w:szCs w:val="19"/>
                <w:color w:val="auto"/>
              </w:rPr>
            </w:pPr>
          </w:p>
        </w:tc>
        <w:tc>
          <w:tcPr>
            <w:tcW w:w="900" w:type="dxa"/>
            <w:vAlign w:val="bottom"/>
            <w:vMerge w:val="restart"/>
          </w:tcPr>
          <w:p>
            <w:pPr>
              <w:jc w:val="center"/>
              <w:ind w:right="59"/>
              <w:spacing w:after="0"/>
              <w:rPr>
                <w:sz w:val="20"/>
                <w:szCs w:val="20"/>
                <w:color w:val="auto"/>
              </w:rPr>
            </w:pPr>
            <w:r>
              <w:rPr>
                <w:rFonts w:ascii="Arial" w:cs="Arial" w:eastAsia="Arial" w:hAnsi="Arial"/>
                <w:sz w:val="16"/>
                <w:szCs w:val="16"/>
                <w:color w:val="auto"/>
                <w:w w:val="89"/>
              </w:rPr>
              <w:t>794</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4"/>
              </w:rPr>
              <w:t>5,431</w:t>
            </w:r>
          </w:p>
        </w:tc>
        <w:tc>
          <w:tcPr>
            <w:tcW w:w="1000" w:type="dxa"/>
            <w:vAlign w:val="bottom"/>
            <w:vMerge w:val="restart"/>
          </w:tcPr>
          <w:p>
            <w:pPr>
              <w:jc w:val="center"/>
              <w:spacing w:after="0"/>
              <w:rPr>
                <w:sz w:val="20"/>
                <w:szCs w:val="20"/>
                <w:color w:val="auto"/>
              </w:rPr>
            </w:pPr>
            <w:r>
              <w:rPr>
                <w:rFonts w:ascii="Arial" w:cs="Arial" w:eastAsia="Arial" w:hAnsi="Arial"/>
                <w:sz w:val="16"/>
                <w:szCs w:val="16"/>
                <w:color w:val="auto"/>
                <w:w w:val="89"/>
              </w:rPr>
              <w:t>6,225</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89"/>
              </w:rPr>
              <w:t>200</w:t>
            </w:r>
          </w:p>
        </w:tc>
        <w:tc>
          <w:tcPr>
            <w:tcW w:w="0" w:type="dxa"/>
            <w:vAlign w:val="bottom"/>
          </w:tcPr>
          <w:p>
            <w:pPr>
              <w:spacing w:after="0"/>
              <w:rPr>
                <w:sz w:val="1"/>
                <w:szCs w:val="1"/>
                <w:color w:val="auto"/>
              </w:rPr>
            </w:pPr>
          </w:p>
        </w:tc>
      </w:tr>
      <w:tr>
        <w:trPr>
          <w:trHeight w:val="98"/>
        </w:trPr>
        <w:tc>
          <w:tcPr>
            <w:tcW w:w="920" w:type="dxa"/>
            <w:vAlign w:val="bottom"/>
            <w:vMerge w:val="continue"/>
          </w:tcPr>
          <w:p>
            <w:pPr>
              <w:spacing w:after="0"/>
              <w:rPr>
                <w:sz w:val="8"/>
                <w:szCs w:val="8"/>
                <w:color w:val="auto"/>
              </w:rPr>
            </w:pPr>
          </w:p>
        </w:tc>
        <w:tc>
          <w:tcPr>
            <w:tcW w:w="1760" w:type="dxa"/>
            <w:vAlign w:val="bottom"/>
            <w:vMerge w:val="restart"/>
          </w:tcPr>
          <w:p>
            <w:pPr>
              <w:ind w:left="60"/>
              <w:spacing w:after="0"/>
              <w:rPr>
                <w:sz w:val="20"/>
                <w:szCs w:val="20"/>
                <w:color w:val="auto"/>
              </w:rPr>
            </w:pPr>
            <w:r>
              <w:rPr>
                <w:rFonts w:ascii="Arial" w:cs="Arial" w:eastAsia="Arial" w:hAnsi="Arial"/>
                <w:sz w:val="16"/>
                <w:szCs w:val="16"/>
                <w:color w:val="auto"/>
              </w:rPr>
              <w:t>Hwy 2</w:t>
            </w:r>
          </w:p>
        </w:tc>
        <w:tc>
          <w:tcPr>
            <w:tcW w:w="5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176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11/2/2016</w:t>
            </w:r>
          </w:p>
        </w:tc>
        <w:tc>
          <w:tcPr>
            <w:tcW w:w="1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Forestville</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MD</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3,590</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11,003</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70</w:t>
            </w:r>
          </w:p>
        </w:tc>
        <w:tc>
          <w:tcPr>
            <w:tcW w:w="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3,590</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11,073</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14,663</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48</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1/11/2007</w:t>
            </w:r>
          </w:p>
        </w:tc>
        <w:tc>
          <w:tcPr>
            <w:tcW w:w="1760" w:type="dxa"/>
            <w:vAlign w:val="bottom"/>
          </w:tcPr>
          <w:p>
            <w:pPr>
              <w:ind w:left="60"/>
              <w:spacing w:after="0"/>
              <w:rPr>
                <w:sz w:val="20"/>
                <w:szCs w:val="20"/>
                <w:color w:val="auto"/>
              </w:rPr>
            </w:pPr>
            <w:r>
              <w:rPr>
                <w:rFonts w:ascii="Arial" w:cs="Arial" w:eastAsia="Arial" w:hAnsi="Arial"/>
                <w:sz w:val="16"/>
                <w:szCs w:val="16"/>
                <w:color w:val="auto"/>
              </w:rPr>
              <w:t>Ft. Washington</w:t>
            </w:r>
          </w:p>
        </w:tc>
        <w:tc>
          <w:tcPr>
            <w:tcW w:w="500" w:type="dxa"/>
            <w:vAlign w:val="bottom"/>
          </w:tcPr>
          <w:p>
            <w:pPr>
              <w:jc w:val="center"/>
              <w:spacing w:after="0"/>
              <w:rPr>
                <w:sz w:val="20"/>
                <w:szCs w:val="20"/>
                <w:color w:val="auto"/>
              </w:rPr>
            </w:pPr>
            <w:r>
              <w:rPr>
                <w:rFonts w:ascii="Arial" w:cs="Arial" w:eastAsia="Arial" w:hAnsi="Arial"/>
                <w:sz w:val="16"/>
                <w:szCs w:val="16"/>
                <w:color w:val="auto"/>
              </w:rPr>
              <w:t>MD</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4,920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9,174</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327</w:t>
            </w:r>
          </w:p>
        </w:tc>
        <w:tc>
          <w:tcPr>
            <w:tcW w:w="640" w:type="dxa"/>
            <w:vAlign w:val="bottom"/>
          </w:tcPr>
          <w:p>
            <w:pPr>
              <w:spacing w:after="0"/>
              <w:rPr>
                <w:sz w:val="19"/>
                <w:szCs w:val="19"/>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4,920</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9,501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14,421</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2,508</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7/2/2012</w:t>
            </w:r>
          </w:p>
        </w:tc>
        <w:tc>
          <w:tcPr>
            <w:tcW w:w="1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Gambrills</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MD</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4,672</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1,905</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7,104</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207</w:t>
            </w:r>
          </w:p>
        </w:tc>
        <w:tc>
          <w:tcPr>
            <w:tcW w:w="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1,905</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7,311</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9,216</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851</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9/16/2016</w:t>
            </w:r>
          </w:p>
        </w:tc>
        <w:tc>
          <w:tcPr>
            <w:tcW w:w="1760" w:type="dxa"/>
            <w:vAlign w:val="bottom"/>
          </w:tcPr>
          <w:p>
            <w:pPr>
              <w:ind w:left="60"/>
              <w:spacing w:after="0"/>
              <w:rPr>
                <w:sz w:val="20"/>
                <w:szCs w:val="20"/>
                <w:color w:val="auto"/>
              </w:rPr>
            </w:pPr>
            <w:r>
              <w:rPr>
                <w:rFonts w:ascii="Arial" w:cs="Arial" w:eastAsia="Arial" w:hAnsi="Arial"/>
                <w:sz w:val="16"/>
                <w:szCs w:val="16"/>
                <w:color w:val="auto"/>
              </w:rPr>
              <w:t>Germantown</w:t>
            </w:r>
          </w:p>
        </w:tc>
        <w:tc>
          <w:tcPr>
            <w:tcW w:w="500" w:type="dxa"/>
            <w:vAlign w:val="bottom"/>
          </w:tcPr>
          <w:p>
            <w:pPr>
              <w:jc w:val="center"/>
              <w:spacing w:after="0"/>
              <w:rPr>
                <w:sz w:val="20"/>
                <w:szCs w:val="20"/>
                <w:color w:val="auto"/>
              </w:rPr>
            </w:pPr>
            <w:r>
              <w:rPr>
                <w:rFonts w:ascii="Arial" w:cs="Arial" w:eastAsia="Arial" w:hAnsi="Arial"/>
                <w:sz w:val="16"/>
                <w:szCs w:val="16"/>
                <w:color w:val="auto"/>
              </w:rPr>
              <w:t>MD</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7,114</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11,316</w:t>
            </w:r>
          </w:p>
        </w:tc>
        <w:tc>
          <w:tcPr>
            <w:tcW w:w="1020" w:type="dxa"/>
            <w:vAlign w:val="bottom"/>
          </w:tcPr>
          <w:p>
            <w:pPr>
              <w:jc w:val="center"/>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9"/>
                <w:szCs w:val="19"/>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7,114</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11,316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18,430</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97</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7/8/2011</w:t>
            </w:r>
          </w:p>
        </w:tc>
        <w:tc>
          <w:tcPr>
            <w:tcW w:w="1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Glen Burnie</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MD</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6,331</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1,303</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4,218</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361</w:t>
            </w:r>
          </w:p>
        </w:tc>
        <w:tc>
          <w:tcPr>
            <w:tcW w:w="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1,303</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4,579</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5,882</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782</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6/10/2013</w:t>
            </w:r>
          </w:p>
        </w:tc>
        <w:tc>
          <w:tcPr>
            <w:tcW w:w="1760" w:type="dxa"/>
            <w:vAlign w:val="bottom"/>
          </w:tcPr>
          <w:p>
            <w:pPr>
              <w:ind w:left="60"/>
              <w:spacing w:after="0"/>
              <w:rPr>
                <w:sz w:val="20"/>
                <w:szCs w:val="20"/>
                <w:color w:val="auto"/>
              </w:rPr>
            </w:pPr>
            <w:r>
              <w:rPr>
                <w:rFonts w:ascii="Arial" w:cs="Arial" w:eastAsia="Arial" w:hAnsi="Arial"/>
                <w:sz w:val="16"/>
                <w:szCs w:val="16"/>
                <w:color w:val="auto"/>
              </w:rPr>
              <w:t>Hanover</w:t>
            </w:r>
          </w:p>
        </w:tc>
        <w:tc>
          <w:tcPr>
            <w:tcW w:w="500" w:type="dxa"/>
            <w:vAlign w:val="bottom"/>
          </w:tcPr>
          <w:p>
            <w:pPr>
              <w:jc w:val="center"/>
              <w:spacing w:after="0"/>
              <w:rPr>
                <w:sz w:val="20"/>
                <w:szCs w:val="20"/>
                <w:color w:val="auto"/>
              </w:rPr>
            </w:pPr>
            <w:r>
              <w:rPr>
                <w:rFonts w:ascii="Arial" w:cs="Arial" w:eastAsia="Arial" w:hAnsi="Arial"/>
                <w:sz w:val="16"/>
                <w:szCs w:val="16"/>
                <w:color w:val="auto"/>
              </w:rPr>
              <w:t>MD</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2,160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11,340</w:t>
            </w:r>
          </w:p>
        </w:tc>
        <w:tc>
          <w:tcPr>
            <w:tcW w:w="1020" w:type="dxa"/>
            <w:vAlign w:val="bottom"/>
          </w:tcPr>
          <w:p>
            <w:pPr>
              <w:jc w:val="center"/>
              <w:spacing w:after="0"/>
              <w:rPr>
                <w:sz w:val="20"/>
                <w:szCs w:val="20"/>
                <w:color w:val="auto"/>
              </w:rPr>
            </w:pPr>
            <w:r>
              <w:rPr>
                <w:rFonts w:ascii="Arial" w:cs="Arial" w:eastAsia="Arial" w:hAnsi="Arial"/>
                <w:sz w:val="16"/>
                <w:szCs w:val="16"/>
                <w:color w:val="auto"/>
              </w:rPr>
              <w:t>88</w:t>
            </w:r>
          </w:p>
        </w:tc>
        <w:tc>
          <w:tcPr>
            <w:tcW w:w="640" w:type="dxa"/>
            <w:vAlign w:val="bottom"/>
          </w:tcPr>
          <w:p>
            <w:pPr>
              <w:spacing w:after="0"/>
              <w:rPr>
                <w:sz w:val="19"/>
                <w:szCs w:val="19"/>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2,160</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11,428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13,588</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1,048</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2/6/2004</w:t>
            </w:r>
          </w:p>
        </w:tc>
        <w:tc>
          <w:tcPr>
            <w:tcW w:w="1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Lanham</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MD</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11,373</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3,346</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10,079</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1,595</w:t>
            </w:r>
          </w:p>
        </w:tc>
        <w:tc>
          <w:tcPr>
            <w:tcW w:w="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2,618</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12,402</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15,020</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4,171</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12/27/2007</w:t>
            </w:r>
          </w:p>
        </w:tc>
        <w:tc>
          <w:tcPr>
            <w:tcW w:w="1760" w:type="dxa"/>
            <w:vAlign w:val="bottom"/>
          </w:tcPr>
          <w:p>
            <w:pPr>
              <w:ind w:left="60"/>
              <w:spacing w:after="0"/>
              <w:rPr>
                <w:sz w:val="20"/>
                <w:szCs w:val="20"/>
                <w:color w:val="auto"/>
              </w:rPr>
            </w:pPr>
            <w:r>
              <w:rPr>
                <w:rFonts w:ascii="Arial" w:cs="Arial" w:eastAsia="Arial" w:hAnsi="Arial"/>
                <w:sz w:val="16"/>
                <w:szCs w:val="16"/>
                <w:color w:val="auto"/>
              </w:rPr>
              <w:t>Laurel</w:t>
            </w:r>
          </w:p>
        </w:tc>
        <w:tc>
          <w:tcPr>
            <w:tcW w:w="500" w:type="dxa"/>
            <w:vAlign w:val="bottom"/>
          </w:tcPr>
          <w:p>
            <w:pPr>
              <w:jc w:val="center"/>
              <w:spacing w:after="0"/>
              <w:rPr>
                <w:sz w:val="20"/>
                <w:szCs w:val="20"/>
                <w:color w:val="auto"/>
              </w:rPr>
            </w:pPr>
            <w:r>
              <w:rPr>
                <w:rFonts w:ascii="Arial" w:cs="Arial" w:eastAsia="Arial" w:hAnsi="Arial"/>
                <w:sz w:val="16"/>
                <w:szCs w:val="16"/>
                <w:color w:val="auto"/>
              </w:rPr>
              <w:t>MD</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5,868</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3,000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5,930</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215</w:t>
            </w:r>
          </w:p>
        </w:tc>
        <w:tc>
          <w:tcPr>
            <w:tcW w:w="640" w:type="dxa"/>
            <w:vAlign w:val="bottom"/>
          </w:tcPr>
          <w:p>
            <w:pPr>
              <w:spacing w:after="0"/>
              <w:rPr>
                <w:sz w:val="19"/>
                <w:szCs w:val="19"/>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3,000</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6,145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9,145</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1,498</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12/27/2012</w:t>
            </w:r>
          </w:p>
        </w:tc>
        <w:tc>
          <w:tcPr>
            <w:tcW w:w="1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Lexington Park</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MD</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4,314</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8,412</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194</w:t>
            </w:r>
          </w:p>
        </w:tc>
        <w:tc>
          <w:tcPr>
            <w:tcW w:w="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4,314</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8,606</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12,920</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923</w:t>
            </w:r>
          </w:p>
        </w:tc>
        <w:tc>
          <w:tcPr>
            <w:tcW w:w="0" w:type="dxa"/>
            <w:vAlign w:val="bottom"/>
          </w:tcPr>
          <w:p>
            <w:pPr>
              <w:spacing w:after="0"/>
              <w:rPr>
                <w:sz w:val="1"/>
                <w:szCs w:val="1"/>
                <w:color w:val="auto"/>
              </w:rPr>
            </w:pPr>
          </w:p>
        </w:tc>
      </w:tr>
      <w:tr>
        <w:trPr>
          <w:trHeight w:val="219"/>
        </w:trPr>
        <w:tc>
          <w:tcPr>
            <w:tcW w:w="920" w:type="dxa"/>
            <w:vAlign w:val="bottom"/>
            <w:vMerge w:val="restart"/>
          </w:tcPr>
          <w:p>
            <w:pPr>
              <w:jc w:val="center"/>
              <w:spacing w:after="0"/>
              <w:rPr>
                <w:sz w:val="20"/>
                <w:szCs w:val="20"/>
                <w:color w:val="auto"/>
              </w:rPr>
            </w:pPr>
            <w:r>
              <w:rPr>
                <w:rFonts w:ascii="Arial" w:cs="Arial" w:eastAsia="Arial" w:hAnsi="Arial"/>
                <w:sz w:val="16"/>
                <w:szCs w:val="16"/>
                <w:color w:val="auto"/>
                <w:w w:val="89"/>
              </w:rPr>
              <w:t>9/17/2008</w:t>
            </w:r>
          </w:p>
        </w:tc>
        <w:tc>
          <w:tcPr>
            <w:tcW w:w="1760" w:type="dxa"/>
            <w:vAlign w:val="bottom"/>
          </w:tcPr>
          <w:p>
            <w:pPr>
              <w:ind w:left="60"/>
              <w:spacing w:after="0"/>
              <w:rPr>
                <w:sz w:val="20"/>
                <w:szCs w:val="20"/>
                <w:color w:val="auto"/>
              </w:rPr>
            </w:pPr>
            <w:r>
              <w:rPr>
                <w:rFonts w:ascii="Arial" w:cs="Arial" w:eastAsia="Arial" w:hAnsi="Arial"/>
                <w:sz w:val="16"/>
                <w:szCs w:val="16"/>
                <w:color w:val="auto"/>
              </w:rPr>
              <w:t>Pasadena / Fort</w:t>
            </w:r>
          </w:p>
        </w:tc>
        <w:tc>
          <w:tcPr>
            <w:tcW w:w="500" w:type="dxa"/>
            <w:vAlign w:val="bottom"/>
            <w:vMerge w:val="restart"/>
          </w:tcPr>
          <w:p>
            <w:pPr>
              <w:jc w:val="center"/>
              <w:spacing w:after="0"/>
              <w:rPr>
                <w:sz w:val="20"/>
                <w:szCs w:val="20"/>
                <w:color w:val="auto"/>
              </w:rPr>
            </w:pPr>
            <w:r>
              <w:rPr>
                <w:rFonts w:ascii="Arial" w:cs="Arial" w:eastAsia="Arial" w:hAnsi="Arial"/>
                <w:sz w:val="16"/>
                <w:szCs w:val="16"/>
                <w:color w:val="auto"/>
              </w:rPr>
              <w:t>MD</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auto"/>
                <w:w w:val="89"/>
              </w:rPr>
              <w:t>5,926</w:t>
            </w:r>
          </w:p>
        </w:tc>
        <w:tc>
          <w:tcPr>
            <w:tcW w:w="900" w:type="dxa"/>
            <w:vAlign w:val="bottom"/>
            <w:vMerge w:val="restart"/>
          </w:tcPr>
          <w:p>
            <w:pPr>
              <w:jc w:val="center"/>
              <w:ind w:right="59"/>
              <w:spacing w:after="0"/>
              <w:rPr>
                <w:sz w:val="20"/>
                <w:szCs w:val="20"/>
                <w:color w:val="auto"/>
              </w:rPr>
            </w:pPr>
            <w:r>
              <w:rPr>
                <w:rFonts w:ascii="Arial" w:cs="Arial" w:eastAsia="Arial" w:hAnsi="Arial"/>
                <w:sz w:val="16"/>
                <w:szCs w:val="16"/>
                <w:color w:val="auto"/>
                <w:w w:val="89"/>
              </w:rPr>
              <w:t>1,869</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89"/>
              </w:rPr>
              <w:t>3,056</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7"/>
              </w:rPr>
              <w:t>772</w:t>
            </w:r>
          </w:p>
        </w:tc>
        <w:tc>
          <w:tcPr>
            <w:tcW w:w="640" w:type="dxa"/>
            <w:vAlign w:val="bottom"/>
          </w:tcPr>
          <w:p>
            <w:pPr>
              <w:spacing w:after="0"/>
              <w:rPr>
                <w:sz w:val="19"/>
                <w:szCs w:val="19"/>
                <w:color w:val="auto"/>
              </w:rPr>
            </w:pPr>
          </w:p>
        </w:tc>
        <w:tc>
          <w:tcPr>
            <w:tcW w:w="900" w:type="dxa"/>
            <w:vAlign w:val="bottom"/>
            <w:vMerge w:val="restart"/>
          </w:tcPr>
          <w:p>
            <w:pPr>
              <w:jc w:val="center"/>
              <w:ind w:right="59"/>
              <w:spacing w:after="0"/>
              <w:rPr>
                <w:sz w:val="20"/>
                <w:szCs w:val="20"/>
                <w:color w:val="auto"/>
              </w:rPr>
            </w:pPr>
            <w:r>
              <w:rPr>
                <w:rFonts w:ascii="Arial" w:cs="Arial" w:eastAsia="Arial" w:hAnsi="Arial"/>
                <w:sz w:val="16"/>
                <w:szCs w:val="16"/>
                <w:color w:val="auto"/>
                <w:w w:val="89"/>
              </w:rPr>
              <w:t>1,869</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4"/>
              </w:rPr>
              <w:t>3,828</w:t>
            </w:r>
          </w:p>
        </w:tc>
        <w:tc>
          <w:tcPr>
            <w:tcW w:w="1000" w:type="dxa"/>
            <w:vAlign w:val="bottom"/>
            <w:vMerge w:val="restart"/>
          </w:tcPr>
          <w:p>
            <w:pPr>
              <w:jc w:val="center"/>
              <w:spacing w:after="0"/>
              <w:rPr>
                <w:sz w:val="20"/>
                <w:szCs w:val="20"/>
                <w:color w:val="auto"/>
              </w:rPr>
            </w:pPr>
            <w:r>
              <w:rPr>
                <w:rFonts w:ascii="Arial" w:cs="Arial" w:eastAsia="Arial" w:hAnsi="Arial"/>
                <w:sz w:val="16"/>
                <w:szCs w:val="16"/>
                <w:color w:val="auto"/>
                <w:w w:val="89"/>
              </w:rPr>
              <w:t>5,697</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89"/>
              </w:rPr>
              <w:t>1,095</w:t>
            </w:r>
          </w:p>
        </w:tc>
        <w:tc>
          <w:tcPr>
            <w:tcW w:w="0" w:type="dxa"/>
            <w:vAlign w:val="bottom"/>
          </w:tcPr>
          <w:p>
            <w:pPr>
              <w:spacing w:after="0"/>
              <w:rPr>
                <w:sz w:val="1"/>
                <w:szCs w:val="1"/>
                <w:color w:val="auto"/>
              </w:rPr>
            </w:pPr>
          </w:p>
        </w:tc>
      </w:tr>
      <w:tr>
        <w:trPr>
          <w:trHeight w:val="98"/>
        </w:trPr>
        <w:tc>
          <w:tcPr>
            <w:tcW w:w="920" w:type="dxa"/>
            <w:vAlign w:val="bottom"/>
            <w:vMerge w:val="continue"/>
          </w:tcPr>
          <w:p>
            <w:pPr>
              <w:spacing w:after="0"/>
              <w:rPr>
                <w:sz w:val="8"/>
                <w:szCs w:val="8"/>
                <w:color w:val="auto"/>
              </w:rPr>
            </w:pPr>
          </w:p>
        </w:tc>
        <w:tc>
          <w:tcPr>
            <w:tcW w:w="1760" w:type="dxa"/>
            <w:vAlign w:val="bottom"/>
            <w:vMerge w:val="restart"/>
          </w:tcPr>
          <w:p>
            <w:pPr>
              <w:ind w:left="60"/>
              <w:spacing w:after="0"/>
              <w:rPr>
                <w:sz w:val="20"/>
                <w:szCs w:val="20"/>
                <w:color w:val="auto"/>
              </w:rPr>
            </w:pPr>
            <w:r>
              <w:rPr>
                <w:rFonts w:ascii="Arial" w:cs="Arial" w:eastAsia="Arial" w:hAnsi="Arial"/>
                <w:sz w:val="16"/>
                <w:szCs w:val="16"/>
                <w:color w:val="auto"/>
              </w:rPr>
              <w:t>Smallwood Rd</w:t>
            </w:r>
          </w:p>
        </w:tc>
        <w:tc>
          <w:tcPr>
            <w:tcW w:w="5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176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3/24/2011</w:t>
            </w:r>
          </w:p>
        </w:tc>
        <w:tc>
          <w:tcPr>
            <w:tcW w:w="1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w w:val="95"/>
              </w:rPr>
              <w:t>Pasadena / Mountain Rd</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MD</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3,500</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7,407</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169</w:t>
            </w:r>
          </w:p>
        </w:tc>
        <w:tc>
          <w:tcPr>
            <w:tcW w:w="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3,500</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7,576</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11,076</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1,120</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8/1/2011</w:t>
            </w:r>
          </w:p>
        </w:tc>
        <w:tc>
          <w:tcPr>
            <w:tcW w:w="1760" w:type="dxa"/>
            <w:vAlign w:val="bottom"/>
          </w:tcPr>
          <w:p>
            <w:pPr>
              <w:ind w:left="60"/>
              <w:spacing w:after="0"/>
              <w:rPr>
                <w:sz w:val="20"/>
                <w:szCs w:val="20"/>
                <w:color w:val="auto"/>
              </w:rPr>
            </w:pPr>
            <w:r>
              <w:rPr>
                <w:rFonts w:ascii="Arial" w:cs="Arial" w:eastAsia="Arial" w:hAnsi="Arial"/>
                <w:sz w:val="16"/>
                <w:szCs w:val="16"/>
                <w:color w:val="auto"/>
              </w:rPr>
              <w:t>Randallstown</w:t>
            </w:r>
          </w:p>
        </w:tc>
        <w:tc>
          <w:tcPr>
            <w:tcW w:w="500" w:type="dxa"/>
            <w:vAlign w:val="bottom"/>
          </w:tcPr>
          <w:p>
            <w:pPr>
              <w:jc w:val="center"/>
              <w:spacing w:after="0"/>
              <w:rPr>
                <w:sz w:val="20"/>
                <w:szCs w:val="20"/>
                <w:color w:val="auto"/>
              </w:rPr>
            </w:pPr>
            <w:r>
              <w:rPr>
                <w:rFonts w:ascii="Arial" w:cs="Arial" w:eastAsia="Arial" w:hAnsi="Arial"/>
                <w:sz w:val="16"/>
                <w:szCs w:val="16"/>
                <w:color w:val="auto"/>
              </w:rPr>
              <w:t>MD</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4,465</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764</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6,331</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344</w:t>
            </w:r>
          </w:p>
        </w:tc>
        <w:tc>
          <w:tcPr>
            <w:tcW w:w="640" w:type="dxa"/>
            <w:vAlign w:val="bottom"/>
          </w:tcPr>
          <w:p>
            <w:pPr>
              <w:spacing w:after="0"/>
              <w:rPr>
                <w:sz w:val="19"/>
                <w:szCs w:val="19"/>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764</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6,675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7,439</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1,008</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9/1/2006</w:t>
            </w:r>
          </w:p>
        </w:tc>
        <w:tc>
          <w:tcPr>
            <w:tcW w:w="1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Rockville</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MD</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11,950</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4,596</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11,328</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564</w:t>
            </w:r>
          </w:p>
        </w:tc>
        <w:tc>
          <w:tcPr>
            <w:tcW w:w="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4,596</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11,892</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16,488</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3,216</w:t>
            </w:r>
          </w:p>
        </w:tc>
        <w:tc>
          <w:tcPr>
            <w:tcW w:w="0" w:type="dxa"/>
            <w:vAlign w:val="bottom"/>
          </w:tcPr>
          <w:p>
            <w:pPr>
              <w:spacing w:after="0"/>
              <w:rPr>
                <w:sz w:val="1"/>
                <w:szCs w:val="1"/>
                <w:color w:val="auto"/>
              </w:rPr>
            </w:pPr>
          </w:p>
        </w:tc>
      </w:tr>
      <w:tr>
        <w:trPr>
          <w:trHeight w:val="219"/>
        </w:trPr>
        <w:tc>
          <w:tcPr>
            <w:tcW w:w="920" w:type="dxa"/>
            <w:vAlign w:val="bottom"/>
            <w:vMerge w:val="restart"/>
          </w:tcPr>
          <w:p>
            <w:pPr>
              <w:jc w:val="center"/>
              <w:spacing w:after="0"/>
              <w:rPr>
                <w:sz w:val="20"/>
                <w:szCs w:val="20"/>
                <w:color w:val="auto"/>
              </w:rPr>
            </w:pPr>
            <w:r>
              <w:rPr>
                <w:rFonts w:ascii="Arial" w:cs="Arial" w:eastAsia="Arial" w:hAnsi="Arial"/>
                <w:sz w:val="16"/>
                <w:szCs w:val="16"/>
                <w:color w:val="auto"/>
                <w:w w:val="89"/>
              </w:rPr>
              <w:t>7/1/2005</w:t>
            </w:r>
          </w:p>
        </w:tc>
        <w:tc>
          <w:tcPr>
            <w:tcW w:w="1760" w:type="dxa"/>
            <w:vAlign w:val="bottom"/>
          </w:tcPr>
          <w:p>
            <w:pPr>
              <w:ind w:left="60"/>
              <w:spacing w:after="0"/>
              <w:rPr>
                <w:sz w:val="20"/>
                <w:szCs w:val="20"/>
                <w:color w:val="auto"/>
              </w:rPr>
            </w:pPr>
            <w:r>
              <w:rPr>
                <w:rFonts w:ascii="Arial" w:cs="Arial" w:eastAsia="Arial" w:hAnsi="Arial"/>
                <w:sz w:val="16"/>
                <w:szCs w:val="16"/>
                <w:color w:val="auto"/>
                <w:w w:val="96"/>
              </w:rPr>
              <w:t>Towson / East Joppa Rd</w:t>
            </w:r>
          </w:p>
        </w:tc>
        <w:tc>
          <w:tcPr>
            <w:tcW w:w="500" w:type="dxa"/>
            <w:vAlign w:val="bottom"/>
            <w:vMerge w:val="restart"/>
          </w:tcPr>
          <w:p>
            <w:pPr>
              <w:jc w:val="center"/>
              <w:spacing w:after="0"/>
              <w:rPr>
                <w:sz w:val="20"/>
                <w:szCs w:val="20"/>
                <w:color w:val="auto"/>
              </w:rPr>
            </w:pPr>
            <w:r>
              <w:rPr>
                <w:rFonts w:ascii="Arial" w:cs="Arial" w:eastAsia="Arial" w:hAnsi="Arial"/>
                <w:sz w:val="16"/>
                <w:szCs w:val="16"/>
                <w:color w:val="auto"/>
              </w:rPr>
              <w:t>MD</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auto"/>
                <w:w w:val="89"/>
              </w:rPr>
              <w:t>10,861</w:t>
            </w:r>
          </w:p>
        </w:tc>
        <w:tc>
          <w:tcPr>
            <w:tcW w:w="900" w:type="dxa"/>
            <w:vAlign w:val="bottom"/>
            <w:vMerge w:val="restart"/>
          </w:tcPr>
          <w:p>
            <w:pPr>
              <w:jc w:val="center"/>
              <w:ind w:right="59"/>
              <w:spacing w:after="0"/>
              <w:rPr>
                <w:sz w:val="20"/>
                <w:szCs w:val="20"/>
                <w:color w:val="auto"/>
              </w:rPr>
            </w:pPr>
            <w:r>
              <w:rPr>
                <w:rFonts w:ascii="Arial" w:cs="Arial" w:eastAsia="Arial" w:hAnsi="Arial"/>
                <w:sz w:val="16"/>
                <w:szCs w:val="16"/>
                <w:color w:val="auto"/>
                <w:w w:val="89"/>
              </w:rPr>
              <w:t>861</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89"/>
              </w:rPr>
              <w:t>4,742</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7"/>
              </w:rPr>
              <w:t>269</w:t>
            </w:r>
          </w:p>
        </w:tc>
        <w:tc>
          <w:tcPr>
            <w:tcW w:w="640" w:type="dxa"/>
            <w:vAlign w:val="bottom"/>
          </w:tcPr>
          <w:p>
            <w:pPr>
              <w:spacing w:after="0"/>
              <w:rPr>
                <w:sz w:val="19"/>
                <w:szCs w:val="19"/>
                <w:color w:val="auto"/>
              </w:rPr>
            </w:pPr>
          </w:p>
        </w:tc>
        <w:tc>
          <w:tcPr>
            <w:tcW w:w="900" w:type="dxa"/>
            <w:vAlign w:val="bottom"/>
            <w:vMerge w:val="restart"/>
          </w:tcPr>
          <w:p>
            <w:pPr>
              <w:jc w:val="center"/>
              <w:ind w:right="59"/>
              <w:spacing w:after="0"/>
              <w:rPr>
                <w:sz w:val="20"/>
                <w:szCs w:val="20"/>
                <w:color w:val="auto"/>
              </w:rPr>
            </w:pPr>
            <w:r>
              <w:rPr>
                <w:rFonts w:ascii="Arial" w:cs="Arial" w:eastAsia="Arial" w:hAnsi="Arial"/>
                <w:sz w:val="16"/>
                <w:szCs w:val="16"/>
                <w:color w:val="auto"/>
                <w:w w:val="89"/>
              </w:rPr>
              <w:t>861</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89"/>
              </w:rPr>
              <w:t>5,011</w:t>
            </w:r>
          </w:p>
        </w:tc>
        <w:tc>
          <w:tcPr>
            <w:tcW w:w="1000" w:type="dxa"/>
            <w:vAlign w:val="bottom"/>
            <w:vMerge w:val="restart"/>
          </w:tcPr>
          <w:p>
            <w:pPr>
              <w:jc w:val="center"/>
              <w:spacing w:after="0"/>
              <w:rPr>
                <w:sz w:val="20"/>
                <w:szCs w:val="20"/>
                <w:color w:val="auto"/>
              </w:rPr>
            </w:pPr>
            <w:r>
              <w:rPr>
                <w:rFonts w:ascii="Arial" w:cs="Arial" w:eastAsia="Arial" w:hAnsi="Arial"/>
                <w:sz w:val="16"/>
                <w:szCs w:val="16"/>
                <w:color w:val="auto"/>
                <w:w w:val="89"/>
              </w:rPr>
              <w:t>5,872</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89"/>
              </w:rPr>
              <w:t>1,609</w:t>
            </w:r>
          </w:p>
        </w:tc>
        <w:tc>
          <w:tcPr>
            <w:tcW w:w="0" w:type="dxa"/>
            <w:vAlign w:val="bottom"/>
          </w:tcPr>
          <w:p>
            <w:pPr>
              <w:spacing w:after="0"/>
              <w:rPr>
                <w:sz w:val="1"/>
                <w:szCs w:val="1"/>
                <w:color w:val="auto"/>
              </w:rPr>
            </w:pPr>
          </w:p>
        </w:tc>
      </w:tr>
      <w:tr>
        <w:trPr>
          <w:trHeight w:val="98"/>
        </w:trPr>
        <w:tc>
          <w:tcPr>
            <w:tcW w:w="920" w:type="dxa"/>
            <w:vAlign w:val="bottom"/>
            <w:vMerge w:val="continue"/>
          </w:tcPr>
          <w:p>
            <w:pPr>
              <w:spacing w:after="0"/>
              <w:rPr>
                <w:sz w:val="8"/>
                <w:szCs w:val="8"/>
                <w:color w:val="auto"/>
              </w:rPr>
            </w:pPr>
          </w:p>
        </w:tc>
        <w:tc>
          <w:tcPr>
            <w:tcW w:w="1760" w:type="dxa"/>
            <w:vAlign w:val="bottom"/>
            <w:vMerge w:val="restart"/>
          </w:tcPr>
          <w:p>
            <w:pPr>
              <w:ind w:left="60"/>
              <w:spacing w:after="0"/>
              <w:rPr>
                <w:sz w:val="20"/>
                <w:szCs w:val="20"/>
                <w:color w:val="auto"/>
              </w:rPr>
            </w:pPr>
            <w:r>
              <w:rPr>
                <w:rFonts w:ascii="Arial" w:cs="Arial" w:eastAsia="Arial" w:hAnsi="Arial"/>
                <w:sz w:val="16"/>
                <w:szCs w:val="16"/>
                <w:color w:val="auto"/>
              </w:rPr>
              <w:t>1</w:t>
            </w:r>
          </w:p>
        </w:tc>
        <w:tc>
          <w:tcPr>
            <w:tcW w:w="5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176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7/2/2012</w:t>
            </w:r>
          </w:p>
        </w:tc>
        <w:tc>
          <w:tcPr>
            <w:tcW w:w="1760" w:type="dxa"/>
            <w:vAlign w:val="bottom"/>
            <w:shd w:val="clear" w:color="auto" w:fill="CCEEFF"/>
          </w:tcPr>
          <w:p>
            <w:pPr>
              <w:ind w:left="60"/>
              <w:spacing w:after="0"/>
              <w:rPr>
                <w:sz w:val="20"/>
                <w:szCs w:val="20"/>
                <w:color w:val="auto"/>
              </w:rPr>
            </w:pPr>
            <w:r>
              <w:rPr>
                <w:rFonts w:ascii="Arial" w:cs="Arial" w:eastAsia="Arial" w:hAnsi="Arial"/>
                <w:sz w:val="16"/>
                <w:szCs w:val="16"/>
                <w:color w:val="auto"/>
                <w:w w:val="96"/>
              </w:rPr>
              <w:t>Towson / East Joppa Rd</w:t>
            </w:r>
          </w:p>
        </w:tc>
        <w:tc>
          <w:tcPr>
            <w:tcW w:w="5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MD</w:t>
            </w: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5,909</w:t>
            </w:r>
          </w:p>
        </w:tc>
        <w:tc>
          <w:tcPr>
            <w:tcW w:w="900" w:type="dxa"/>
            <w:vAlign w:val="bottom"/>
            <w:vMerge w:val="restart"/>
            <w:shd w:val="clear" w:color="auto" w:fill="CCEEFF"/>
          </w:tcPr>
          <w:p>
            <w:pPr>
              <w:jc w:val="center"/>
              <w:ind w:right="59"/>
              <w:spacing w:after="0"/>
              <w:rPr>
                <w:sz w:val="20"/>
                <w:szCs w:val="20"/>
                <w:color w:val="auto"/>
              </w:rPr>
            </w:pPr>
            <w:r>
              <w:rPr>
                <w:rFonts w:ascii="Arial" w:cs="Arial" w:eastAsia="Arial" w:hAnsi="Arial"/>
                <w:sz w:val="16"/>
                <w:szCs w:val="16"/>
                <w:color w:val="auto"/>
                <w:w w:val="89"/>
              </w:rPr>
              <w:t>1,094</w:t>
            </w: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9,598</w:t>
            </w: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7"/>
              </w:rPr>
              <w:t>175</w:t>
            </w:r>
          </w:p>
        </w:tc>
        <w:tc>
          <w:tcPr>
            <w:tcW w:w="64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center"/>
              <w:ind w:right="59"/>
              <w:spacing w:after="0"/>
              <w:rPr>
                <w:sz w:val="20"/>
                <w:szCs w:val="20"/>
                <w:color w:val="auto"/>
              </w:rPr>
            </w:pPr>
            <w:r>
              <w:rPr>
                <w:rFonts w:ascii="Arial" w:cs="Arial" w:eastAsia="Arial" w:hAnsi="Arial"/>
                <w:sz w:val="16"/>
                <w:szCs w:val="16"/>
                <w:color w:val="auto"/>
                <w:w w:val="89"/>
              </w:rPr>
              <w:t>1,094</w:t>
            </w: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4"/>
              </w:rPr>
              <w:t>9,773</w:t>
            </w: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10,867</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1,151</w:t>
            </w:r>
          </w:p>
        </w:tc>
        <w:tc>
          <w:tcPr>
            <w:tcW w:w="0" w:type="dxa"/>
            <w:vAlign w:val="bottom"/>
          </w:tcPr>
          <w:p>
            <w:pPr>
              <w:spacing w:after="0"/>
              <w:rPr>
                <w:sz w:val="1"/>
                <w:szCs w:val="1"/>
                <w:color w:val="auto"/>
              </w:rPr>
            </w:pPr>
          </w:p>
        </w:tc>
      </w:tr>
      <w:tr>
        <w:trPr>
          <w:trHeight w:val="98"/>
        </w:trPr>
        <w:tc>
          <w:tcPr>
            <w:tcW w:w="920" w:type="dxa"/>
            <w:vAlign w:val="bottom"/>
            <w:vMerge w:val="continue"/>
            <w:shd w:val="clear" w:color="auto" w:fill="CCEEFF"/>
          </w:tcPr>
          <w:p>
            <w:pPr>
              <w:spacing w:after="0"/>
              <w:rPr>
                <w:sz w:val="8"/>
                <w:szCs w:val="8"/>
                <w:color w:val="auto"/>
              </w:rPr>
            </w:pPr>
          </w:p>
        </w:tc>
        <w:tc>
          <w:tcPr>
            <w:tcW w:w="1760" w:type="dxa"/>
            <w:vAlign w:val="bottom"/>
            <w:vMerge w:val="restart"/>
            <w:shd w:val="clear" w:color="auto" w:fill="CCEEFF"/>
          </w:tcPr>
          <w:p>
            <w:pPr>
              <w:ind w:left="60"/>
              <w:spacing w:after="0"/>
              <w:rPr>
                <w:sz w:val="20"/>
                <w:szCs w:val="20"/>
                <w:color w:val="auto"/>
              </w:rPr>
            </w:pPr>
            <w:r>
              <w:rPr>
                <w:rFonts w:ascii="Arial" w:cs="Arial" w:eastAsia="Arial" w:hAnsi="Arial"/>
                <w:sz w:val="16"/>
                <w:szCs w:val="16"/>
                <w:color w:val="auto"/>
              </w:rPr>
              <w:t>2</w:t>
            </w:r>
          </w:p>
        </w:tc>
        <w:tc>
          <w:tcPr>
            <w:tcW w:w="500" w:type="dxa"/>
            <w:vAlign w:val="bottom"/>
            <w:vMerge w:val="continue"/>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920" w:type="dxa"/>
            <w:vAlign w:val="bottom"/>
            <w:tcBorders>
              <w:bottom w:val="single" w:sz="8" w:color="CCEEFF"/>
            </w:tcBorders>
            <w:shd w:val="clear" w:color="auto" w:fill="CCEEFF"/>
          </w:tcPr>
          <w:p>
            <w:pPr>
              <w:spacing w:after="0"/>
              <w:rPr>
                <w:sz w:val="10"/>
                <w:szCs w:val="10"/>
                <w:color w:val="auto"/>
              </w:rPr>
            </w:pPr>
          </w:p>
        </w:tc>
        <w:tc>
          <w:tcPr>
            <w:tcW w:w="1760" w:type="dxa"/>
            <w:vAlign w:val="bottom"/>
            <w:tcBorders>
              <w:bottom w:val="single" w:sz="8" w:color="CCEEFF"/>
            </w:tcBorders>
            <w:vMerge w:val="continue"/>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2/2/2016</w:t>
            </w:r>
          </w:p>
        </w:tc>
        <w:tc>
          <w:tcPr>
            <w:tcW w:w="1760" w:type="dxa"/>
            <w:vAlign w:val="bottom"/>
          </w:tcPr>
          <w:p>
            <w:pPr>
              <w:ind w:left="60"/>
              <w:spacing w:after="0"/>
              <w:rPr>
                <w:sz w:val="20"/>
                <w:szCs w:val="20"/>
                <w:color w:val="auto"/>
              </w:rPr>
            </w:pPr>
            <w:r>
              <w:rPr>
                <w:rFonts w:ascii="Arial" w:cs="Arial" w:eastAsia="Arial" w:hAnsi="Arial"/>
                <w:sz w:val="16"/>
                <w:szCs w:val="16"/>
                <w:color w:val="auto"/>
              </w:rPr>
              <w:t>Wheaton</w:t>
            </w:r>
          </w:p>
        </w:tc>
        <w:tc>
          <w:tcPr>
            <w:tcW w:w="500" w:type="dxa"/>
            <w:vAlign w:val="bottom"/>
          </w:tcPr>
          <w:p>
            <w:pPr>
              <w:jc w:val="center"/>
              <w:spacing w:after="0"/>
              <w:rPr>
                <w:sz w:val="20"/>
                <w:szCs w:val="20"/>
                <w:color w:val="auto"/>
              </w:rPr>
            </w:pPr>
            <w:r>
              <w:rPr>
                <w:rFonts w:ascii="Arial" w:cs="Arial" w:eastAsia="Arial" w:hAnsi="Arial"/>
                <w:sz w:val="16"/>
                <w:szCs w:val="16"/>
                <w:color w:val="auto"/>
              </w:rPr>
              <w:t>MD</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12,738</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12,894</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397</w:t>
            </w:r>
          </w:p>
        </w:tc>
        <w:tc>
          <w:tcPr>
            <w:tcW w:w="640" w:type="dxa"/>
            <w:vAlign w:val="bottom"/>
          </w:tcPr>
          <w:p>
            <w:pPr>
              <w:spacing w:after="0"/>
              <w:rPr>
                <w:sz w:val="19"/>
                <w:szCs w:val="19"/>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12,738</w:t>
            </w: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13,291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26,029</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310</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7/2/2012</w:t>
            </w:r>
          </w:p>
        </w:tc>
        <w:tc>
          <w:tcPr>
            <w:tcW w:w="1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Belleville</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MI</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954</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4,984</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315</w:t>
            </w:r>
          </w:p>
        </w:tc>
        <w:tc>
          <w:tcPr>
            <w:tcW w:w="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954</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5,299</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6,253</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613</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7/1/2005</w:t>
            </w:r>
          </w:p>
        </w:tc>
        <w:tc>
          <w:tcPr>
            <w:tcW w:w="1760" w:type="dxa"/>
            <w:vAlign w:val="bottom"/>
          </w:tcPr>
          <w:p>
            <w:pPr>
              <w:ind w:left="60"/>
              <w:spacing w:after="0"/>
              <w:rPr>
                <w:sz w:val="20"/>
                <w:szCs w:val="20"/>
                <w:color w:val="auto"/>
              </w:rPr>
            </w:pPr>
            <w:r>
              <w:rPr>
                <w:rFonts w:ascii="Arial" w:cs="Arial" w:eastAsia="Arial" w:hAnsi="Arial"/>
                <w:sz w:val="16"/>
                <w:szCs w:val="16"/>
                <w:color w:val="auto"/>
              </w:rPr>
              <w:t>Grandville</w:t>
            </w:r>
          </w:p>
        </w:tc>
        <w:tc>
          <w:tcPr>
            <w:tcW w:w="500" w:type="dxa"/>
            <w:vAlign w:val="bottom"/>
          </w:tcPr>
          <w:p>
            <w:pPr>
              <w:jc w:val="center"/>
              <w:spacing w:after="0"/>
              <w:rPr>
                <w:sz w:val="20"/>
                <w:szCs w:val="20"/>
                <w:color w:val="auto"/>
              </w:rPr>
            </w:pPr>
            <w:r>
              <w:rPr>
                <w:rFonts w:ascii="Arial" w:cs="Arial" w:eastAsia="Arial" w:hAnsi="Arial"/>
                <w:sz w:val="16"/>
                <w:szCs w:val="16"/>
                <w:color w:val="auto"/>
              </w:rPr>
              <w:t>MI</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726</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1,298</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472</w:t>
            </w:r>
          </w:p>
        </w:tc>
        <w:tc>
          <w:tcPr>
            <w:tcW w:w="640" w:type="dxa"/>
            <w:vAlign w:val="bottom"/>
          </w:tcPr>
          <w:p>
            <w:pPr>
              <w:spacing w:after="0"/>
              <w:rPr>
                <w:sz w:val="19"/>
                <w:szCs w:val="19"/>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726</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1,770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2,496</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711</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7/1/2005</w:t>
            </w:r>
          </w:p>
        </w:tc>
        <w:tc>
          <w:tcPr>
            <w:tcW w:w="1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Mt Clemens</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MI</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2,824</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798</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1,796</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563</w:t>
            </w:r>
          </w:p>
        </w:tc>
        <w:tc>
          <w:tcPr>
            <w:tcW w:w="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798</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2,359</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3,157</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827</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9/16/2016</w:t>
            </w:r>
          </w:p>
        </w:tc>
        <w:tc>
          <w:tcPr>
            <w:tcW w:w="1760" w:type="dxa"/>
            <w:vAlign w:val="bottom"/>
          </w:tcPr>
          <w:p>
            <w:pPr>
              <w:ind w:left="60"/>
              <w:spacing w:after="0"/>
              <w:rPr>
                <w:sz w:val="20"/>
                <w:szCs w:val="20"/>
                <w:color w:val="auto"/>
              </w:rPr>
            </w:pPr>
            <w:r>
              <w:rPr>
                <w:rFonts w:ascii="Arial" w:cs="Arial" w:eastAsia="Arial" w:hAnsi="Arial"/>
                <w:sz w:val="16"/>
                <w:szCs w:val="16"/>
                <w:color w:val="auto"/>
              </w:rPr>
              <w:t>Southgate</w:t>
            </w:r>
          </w:p>
        </w:tc>
        <w:tc>
          <w:tcPr>
            <w:tcW w:w="500" w:type="dxa"/>
            <w:vAlign w:val="bottom"/>
          </w:tcPr>
          <w:p>
            <w:pPr>
              <w:jc w:val="center"/>
              <w:spacing w:after="0"/>
              <w:rPr>
                <w:sz w:val="20"/>
                <w:szCs w:val="20"/>
                <w:color w:val="auto"/>
              </w:rPr>
            </w:pPr>
            <w:r>
              <w:rPr>
                <w:rFonts w:ascii="Arial" w:cs="Arial" w:eastAsia="Arial" w:hAnsi="Arial"/>
                <w:sz w:val="16"/>
                <w:szCs w:val="16"/>
                <w:color w:val="auto"/>
              </w:rPr>
              <w:t>MI</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960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7,247</w:t>
            </w:r>
          </w:p>
        </w:tc>
        <w:tc>
          <w:tcPr>
            <w:tcW w:w="1020" w:type="dxa"/>
            <w:vAlign w:val="bottom"/>
          </w:tcPr>
          <w:p>
            <w:pPr>
              <w:jc w:val="center"/>
              <w:spacing w:after="0"/>
              <w:rPr>
                <w:sz w:val="20"/>
                <w:szCs w:val="20"/>
                <w:color w:val="auto"/>
              </w:rPr>
            </w:pPr>
            <w:r>
              <w:rPr>
                <w:rFonts w:ascii="Arial" w:cs="Arial" w:eastAsia="Arial" w:hAnsi="Arial"/>
                <w:sz w:val="16"/>
                <w:szCs w:val="16"/>
                <w:color w:val="auto"/>
              </w:rPr>
              <w:t>33</w:t>
            </w:r>
          </w:p>
        </w:tc>
        <w:tc>
          <w:tcPr>
            <w:tcW w:w="640" w:type="dxa"/>
            <w:vAlign w:val="bottom"/>
          </w:tcPr>
          <w:p>
            <w:pPr>
              <w:spacing w:after="0"/>
              <w:rPr>
                <w:sz w:val="19"/>
                <w:szCs w:val="19"/>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960</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7,280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8,240</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63</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10/12/2016</w:t>
            </w:r>
          </w:p>
        </w:tc>
        <w:tc>
          <w:tcPr>
            <w:tcW w:w="1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Plymouth</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MN</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1,528</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16,030</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1,528</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16,035</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17,563</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103</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8/31/2007</w:t>
            </w:r>
          </w:p>
        </w:tc>
        <w:tc>
          <w:tcPr>
            <w:tcW w:w="1760" w:type="dxa"/>
            <w:vAlign w:val="bottom"/>
          </w:tcPr>
          <w:p>
            <w:pPr>
              <w:ind w:left="60"/>
              <w:spacing w:after="0"/>
              <w:rPr>
                <w:sz w:val="20"/>
                <w:szCs w:val="20"/>
                <w:color w:val="auto"/>
              </w:rPr>
            </w:pPr>
            <w:r>
              <w:rPr>
                <w:rFonts w:ascii="Arial" w:cs="Arial" w:eastAsia="Arial" w:hAnsi="Arial"/>
                <w:sz w:val="16"/>
                <w:szCs w:val="16"/>
                <w:color w:val="auto"/>
              </w:rPr>
              <w:t>Florissant</w:t>
            </w:r>
          </w:p>
        </w:tc>
        <w:tc>
          <w:tcPr>
            <w:tcW w:w="500" w:type="dxa"/>
            <w:vAlign w:val="bottom"/>
          </w:tcPr>
          <w:p>
            <w:pPr>
              <w:jc w:val="center"/>
              <w:spacing w:after="0"/>
              <w:rPr>
                <w:sz w:val="20"/>
                <w:szCs w:val="20"/>
                <w:color w:val="auto"/>
              </w:rPr>
            </w:pPr>
            <w:r>
              <w:rPr>
                <w:rFonts w:ascii="Arial" w:cs="Arial" w:eastAsia="Arial" w:hAnsi="Arial"/>
                <w:sz w:val="16"/>
                <w:szCs w:val="16"/>
                <w:color w:val="auto"/>
              </w:rPr>
              <w:t>MO</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3,207</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1,241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4,648</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356</w:t>
            </w:r>
          </w:p>
        </w:tc>
        <w:tc>
          <w:tcPr>
            <w:tcW w:w="640" w:type="dxa"/>
            <w:vAlign w:val="bottom"/>
          </w:tcPr>
          <w:p>
            <w:pPr>
              <w:spacing w:after="0"/>
              <w:rPr>
                <w:sz w:val="19"/>
                <w:szCs w:val="19"/>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1,241</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5,004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6,245</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1,392</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7/1/2005</w:t>
            </w:r>
          </w:p>
        </w:tc>
        <w:tc>
          <w:tcPr>
            <w:tcW w:w="1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Grandview</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MO</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3,081</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612</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1,770</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594</w:t>
            </w:r>
          </w:p>
        </w:tc>
        <w:tc>
          <w:tcPr>
            <w:tcW w:w="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612</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2,364</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2,976</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854</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6/1/2000</w:t>
            </w:r>
          </w:p>
        </w:tc>
        <w:tc>
          <w:tcPr>
            <w:tcW w:w="1760" w:type="dxa"/>
            <w:vAlign w:val="bottom"/>
          </w:tcPr>
          <w:p>
            <w:pPr>
              <w:ind w:left="60"/>
              <w:spacing w:after="0"/>
              <w:rPr>
                <w:sz w:val="20"/>
                <w:szCs w:val="20"/>
                <w:color w:val="auto"/>
              </w:rPr>
            </w:pPr>
            <w:r>
              <w:rPr>
                <w:rFonts w:ascii="Arial" w:cs="Arial" w:eastAsia="Arial" w:hAnsi="Arial"/>
                <w:sz w:val="16"/>
                <w:szCs w:val="16"/>
                <w:color w:val="auto"/>
              </w:rPr>
              <w:t>St Louis / Forest Park</w:t>
            </w:r>
          </w:p>
        </w:tc>
        <w:tc>
          <w:tcPr>
            <w:tcW w:w="500" w:type="dxa"/>
            <w:vAlign w:val="bottom"/>
          </w:tcPr>
          <w:p>
            <w:pPr>
              <w:jc w:val="center"/>
              <w:spacing w:after="0"/>
              <w:rPr>
                <w:sz w:val="20"/>
                <w:szCs w:val="20"/>
                <w:color w:val="auto"/>
              </w:rPr>
            </w:pPr>
            <w:r>
              <w:rPr>
                <w:rFonts w:ascii="Arial" w:cs="Arial" w:eastAsia="Arial" w:hAnsi="Arial"/>
                <w:sz w:val="16"/>
                <w:szCs w:val="16"/>
                <w:color w:val="auto"/>
              </w:rPr>
              <w:t>MO</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2,395</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156</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1,313</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691</w:t>
            </w:r>
          </w:p>
        </w:tc>
        <w:tc>
          <w:tcPr>
            <w:tcW w:w="640" w:type="dxa"/>
            <w:vAlign w:val="bottom"/>
          </w:tcPr>
          <w:p>
            <w:pPr>
              <w:spacing w:after="0"/>
              <w:rPr>
                <w:sz w:val="19"/>
                <w:szCs w:val="19"/>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113</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2,047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2,160</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967</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8/31/2007</w:t>
            </w:r>
          </w:p>
        </w:tc>
        <w:tc>
          <w:tcPr>
            <w:tcW w:w="1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St Louis / Gravois Rd</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MO</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2,615</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676</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3,551</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357</w:t>
            </w:r>
          </w:p>
        </w:tc>
        <w:tc>
          <w:tcPr>
            <w:tcW w:w="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676</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3,908</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4,584</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1,107</w:t>
            </w:r>
          </w:p>
        </w:tc>
        <w:tc>
          <w:tcPr>
            <w:tcW w:w="0" w:type="dxa"/>
            <w:vAlign w:val="bottom"/>
          </w:tcPr>
          <w:p>
            <w:pPr>
              <w:spacing w:after="0"/>
              <w:rPr>
                <w:sz w:val="1"/>
                <w:szCs w:val="1"/>
                <w:color w:val="auto"/>
              </w:rPr>
            </w:pPr>
          </w:p>
        </w:tc>
      </w:tr>
      <w:tr>
        <w:trPr>
          <w:trHeight w:val="219"/>
        </w:trPr>
        <w:tc>
          <w:tcPr>
            <w:tcW w:w="920" w:type="dxa"/>
            <w:vAlign w:val="bottom"/>
            <w:vMerge w:val="restart"/>
          </w:tcPr>
          <w:p>
            <w:pPr>
              <w:jc w:val="center"/>
              <w:spacing w:after="0"/>
              <w:rPr>
                <w:sz w:val="20"/>
                <w:szCs w:val="20"/>
                <w:color w:val="auto"/>
              </w:rPr>
            </w:pPr>
            <w:r>
              <w:rPr>
                <w:rFonts w:ascii="Arial" w:cs="Arial" w:eastAsia="Arial" w:hAnsi="Arial"/>
                <w:sz w:val="16"/>
                <w:szCs w:val="16"/>
                <w:color w:val="auto"/>
                <w:w w:val="89"/>
              </w:rPr>
              <w:t>6/1/2000</w:t>
            </w:r>
          </w:p>
        </w:tc>
        <w:tc>
          <w:tcPr>
            <w:tcW w:w="1760" w:type="dxa"/>
            <w:vAlign w:val="bottom"/>
          </w:tcPr>
          <w:p>
            <w:pPr>
              <w:ind w:left="60"/>
              <w:spacing w:after="0"/>
              <w:rPr>
                <w:sz w:val="20"/>
                <w:szCs w:val="20"/>
                <w:color w:val="auto"/>
              </w:rPr>
            </w:pPr>
            <w:r>
              <w:rPr>
                <w:rFonts w:ascii="Arial" w:cs="Arial" w:eastAsia="Arial" w:hAnsi="Arial"/>
                <w:sz w:val="16"/>
                <w:szCs w:val="16"/>
                <w:color w:val="auto"/>
              </w:rPr>
              <w:t>St Louis / Halls Ferry</w:t>
            </w:r>
          </w:p>
        </w:tc>
        <w:tc>
          <w:tcPr>
            <w:tcW w:w="500" w:type="dxa"/>
            <w:vAlign w:val="bottom"/>
            <w:vMerge w:val="restart"/>
          </w:tcPr>
          <w:p>
            <w:pPr>
              <w:jc w:val="center"/>
              <w:spacing w:after="0"/>
              <w:rPr>
                <w:sz w:val="20"/>
                <w:szCs w:val="20"/>
                <w:color w:val="auto"/>
              </w:rPr>
            </w:pPr>
            <w:r>
              <w:rPr>
                <w:rFonts w:ascii="Arial" w:cs="Arial" w:eastAsia="Arial" w:hAnsi="Arial"/>
                <w:sz w:val="16"/>
                <w:szCs w:val="16"/>
                <w:color w:val="auto"/>
              </w:rPr>
              <w:t>MO</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auto"/>
                <w:w w:val="89"/>
              </w:rPr>
              <w:t>2,422</w:t>
            </w:r>
          </w:p>
        </w:tc>
        <w:tc>
          <w:tcPr>
            <w:tcW w:w="900" w:type="dxa"/>
            <w:vAlign w:val="bottom"/>
            <w:vMerge w:val="restart"/>
          </w:tcPr>
          <w:p>
            <w:pPr>
              <w:jc w:val="center"/>
              <w:ind w:right="59"/>
              <w:spacing w:after="0"/>
              <w:rPr>
                <w:sz w:val="20"/>
                <w:szCs w:val="20"/>
                <w:color w:val="auto"/>
              </w:rPr>
            </w:pPr>
            <w:r>
              <w:rPr>
                <w:rFonts w:ascii="Arial" w:cs="Arial" w:eastAsia="Arial" w:hAnsi="Arial"/>
                <w:sz w:val="16"/>
                <w:szCs w:val="16"/>
                <w:color w:val="auto"/>
                <w:w w:val="89"/>
              </w:rPr>
              <w:t>631</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89"/>
              </w:rPr>
              <w:t>2,159</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7"/>
              </w:rPr>
              <w:t>791</w:t>
            </w:r>
          </w:p>
        </w:tc>
        <w:tc>
          <w:tcPr>
            <w:tcW w:w="640" w:type="dxa"/>
            <w:vAlign w:val="bottom"/>
          </w:tcPr>
          <w:p>
            <w:pPr>
              <w:spacing w:after="0"/>
              <w:rPr>
                <w:sz w:val="19"/>
                <w:szCs w:val="19"/>
                <w:color w:val="auto"/>
              </w:rPr>
            </w:pPr>
          </w:p>
        </w:tc>
        <w:tc>
          <w:tcPr>
            <w:tcW w:w="900" w:type="dxa"/>
            <w:vAlign w:val="bottom"/>
            <w:vMerge w:val="restart"/>
          </w:tcPr>
          <w:p>
            <w:pPr>
              <w:jc w:val="center"/>
              <w:ind w:right="59"/>
              <w:spacing w:after="0"/>
              <w:rPr>
                <w:sz w:val="20"/>
                <w:szCs w:val="20"/>
                <w:color w:val="auto"/>
              </w:rPr>
            </w:pPr>
            <w:r>
              <w:rPr>
                <w:rFonts w:ascii="Arial" w:cs="Arial" w:eastAsia="Arial" w:hAnsi="Arial"/>
                <w:sz w:val="16"/>
                <w:szCs w:val="16"/>
                <w:color w:val="auto"/>
                <w:w w:val="89"/>
              </w:rPr>
              <w:t>690</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4"/>
              </w:rPr>
              <w:t>2,891</w:t>
            </w:r>
          </w:p>
        </w:tc>
        <w:tc>
          <w:tcPr>
            <w:tcW w:w="1000" w:type="dxa"/>
            <w:vAlign w:val="bottom"/>
            <w:vMerge w:val="restart"/>
          </w:tcPr>
          <w:p>
            <w:pPr>
              <w:jc w:val="center"/>
              <w:spacing w:after="0"/>
              <w:rPr>
                <w:sz w:val="20"/>
                <w:szCs w:val="20"/>
                <w:color w:val="auto"/>
              </w:rPr>
            </w:pPr>
            <w:r>
              <w:rPr>
                <w:rFonts w:ascii="Arial" w:cs="Arial" w:eastAsia="Arial" w:hAnsi="Arial"/>
                <w:sz w:val="16"/>
                <w:szCs w:val="16"/>
                <w:color w:val="auto"/>
                <w:w w:val="89"/>
              </w:rPr>
              <w:t>3,581</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89"/>
              </w:rPr>
              <w:t>1,267</w:t>
            </w:r>
          </w:p>
        </w:tc>
        <w:tc>
          <w:tcPr>
            <w:tcW w:w="0" w:type="dxa"/>
            <w:vAlign w:val="bottom"/>
          </w:tcPr>
          <w:p>
            <w:pPr>
              <w:spacing w:after="0"/>
              <w:rPr>
                <w:sz w:val="1"/>
                <w:szCs w:val="1"/>
                <w:color w:val="auto"/>
              </w:rPr>
            </w:pPr>
          </w:p>
        </w:tc>
      </w:tr>
      <w:tr>
        <w:trPr>
          <w:trHeight w:val="98"/>
        </w:trPr>
        <w:tc>
          <w:tcPr>
            <w:tcW w:w="920" w:type="dxa"/>
            <w:vAlign w:val="bottom"/>
            <w:vMerge w:val="continue"/>
          </w:tcPr>
          <w:p>
            <w:pPr>
              <w:spacing w:after="0"/>
              <w:rPr>
                <w:sz w:val="8"/>
                <w:szCs w:val="8"/>
                <w:color w:val="auto"/>
              </w:rPr>
            </w:pPr>
          </w:p>
        </w:tc>
        <w:tc>
          <w:tcPr>
            <w:tcW w:w="1760" w:type="dxa"/>
            <w:vAlign w:val="bottom"/>
            <w:vMerge w:val="restart"/>
          </w:tcPr>
          <w:p>
            <w:pPr>
              <w:ind w:left="60"/>
              <w:spacing w:after="0"/>
              <w:rPr>
                <w:sz w:val="20"/>
                <w:szCs w:val="20"/>
                <w:color w:val="auto"/>
              </w:rPr>
            </w:pPr>
            <w:r>
              <w:rPr>
                <w:rFonts w:ascii="Arial" w:cs="Arial" w:eastAsia="Arial" w:hAnsi="Arial"/>
                <w:sz w:val="16"/>
                <w:szCs w:val="16"/>
                <w:color w:val="auto"/>
              </w:rPr>
              <w:t>Rd</w:t>
            </w:r>
          </w:p>
        </w:tc>
        <w:tc>
          <w:tcPr>
            <w:tcW w:w="5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176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8/31/2007</w:t>
            </w:r>
          </w:p>
        </w:tc>
        <w:tc>
          <w:tcPr>
            <w:tcW w:w="1760" w:type="dxa"/>
            <w:vAlign w:val="bottom"/>
            <w:shd w:val="clear" w:color="auto" w:fill="CCEEFF"/>
          </w:tcPr>
          <w:p>
            <w:pPr>
              <w:ind w:left="60"/>
              <w:spacing w:after="0"/>
              <w:rPr>
                <w:sz w:val="20"/>
                <w:szCs w:val="20"/>
                <w:color w:val="auto"/>
              </w:rPr>
            </w:pPr>
            <w:r>
              <w:rPr>
                <w:rFonts w:ascii="Arial" w:cs="Arial" w:eastAsia="Arial" w:hAnsi="Arial"/>
                <w:sz w:val="16"/>
                <w:szCs w:val="16"/>
                <w:color w:val="auto"/>
              </w:rPr>
              <w:t>St Louis / Old Tesson</w:t>
            </w:r>
          </w:p>
        </w:tc>
        <w:tc>
          <w:tcPr>
            <w:tcW w:w="5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MO</w:t>
            </w: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6,173</w:t>
            </w:r>
          </w:p>
        </w:tc>
        <w:tc>
          <w:tcPr>
            <w:tcW w:w="900" w:type="dxa"/>
            <w:vAlign w:val="bottom"/>
            <w:vMerge w:val="restart"/>
            <w:shd w:val="clear" w:color="auto" w:fill="CCEEFF"/>
          </w:tcPr>
          <w:p>
            <w:pPr>
              <w:jc w:val="center"/>
              <w:ind w:right="59"/>
              <w:spacing w:after="0"/>
              <w:rPr>
                <w:sz w:val="20"/>
                <w:szCs w:val="20"/>
                <w:color w:val="auto"/>
              </w:rPr>
            </w:pPr>
            <w:r>
              <w:rPr>
                <w:rFonts w:ascii="Arial" w:cs="Arial" w:eastAsia="Arial" w:hAnsi="Arial"/>
                <w:sz w:val="16"/>
                <w:szCs w:val="16"/>
                <w:color w:val="auto"/>
                <w:w w:val="89"/>
              </w:rPr>
              <w:t>1,444</w:t>
            </w: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4,162</w:t>
            </w: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7"/>
              </w:rPr>
              <w:t>483</w:t>
            </w:r>
          </w:p>
        </w:tc>
        <w:tc>
          <w:tcPr>
            <w:tcW w:w="64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center"/>
              <w:ind w:right="59"/>
              <w:spacing w:after="0"/>
              <w:rPr>
                <w:sz w:val="20"/>
                <w:szCs w:val="20"/>
                <w:color w:val="auto"/>
              </w:rPr>
            </w:pPr>
            <w:r>
              <w:rPr>
                <w:rFonts w:ascii="Arial" w:cs="Arial" w:eastAsia="Arial" w:hAnsi="Arial"/>
                <w:sz w:val="16"/>
                <w:szCs w:val="16"/>
                <w:color w:val="auto"/>
                <w:w w:val="89"/>
              </w:rPr>
              <w:t>1,444</w:t>
            </w: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4"/>
              </w:rPr>
              <w:t>4,645</w:t>
            </w: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6,089</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1,274</w:t>
            </w:r>
          </w:p>
        </w:tc>
        <w:tc>
          <w:tcPr>
            <w:tcW w:w="0" w:type="dxa"/>
            <w:vAlign w:val="bottom"/>
          </w:tcPr>
          <w:p>
            <w:pPr>
              <w:spacing w:after="0"/>
              <w:rPr>
                <w:sz w:val="1"/>
                <w:szCs w:val="1"/>
                <w:color w:val="auto"/>
              </w:rPr>
            </w:pPr>
          </w:p>
        </w:tc>
      </w:tr>
      <w:tr>
        <w:trPr>
          <w:trHeight w:val="98"/>
        </w:trPr>
        <w:tc>
          <w:tcPr>
            <w:tcW w:w="920" w:type="dxa"/>
            <w:vAlign w:val="bottom"/>
            <w:vMerge w:val="continue"/>
            <w:shd w:val="clear" w:color="auto" w:fill="CCEEFF"/>
          </w:tcPr>
          <w:p>
            <w:pPr>
              <w:spacing w:after="0"/>
              <w:rPr>
                <w:sz w:val="8"/>
                <w:szCs w:val="8"/>
                <w:color w:val="auto"/>
              </w:rPr>
            </w:pPr>
          </w:p>
        </w:tc>
        <w:tc>
          <w:tcPr>
            <w:tcW w:w="1760" w:type="dxa"/>
            <w:vAlign w:val="bottom"/>
            <w:vMerge w:val="restart"/>
            <w:shd w:val="clear" w:color="auto" w:fill="CCEEFF"/>
          </w:tcPr>
          <w:p>
            <w:pPr>
              <w:ind w:left="60"/>
              <w:spacing w:after="0"/>
              <w:rPr>
                <w:sz w:val="20"/>
                <w:szCs w:val="20"/>
                <w:color w:val="auto"/>
              </w:rPr>
            </w:pPr>
            <w:r>
              <w:rPr>
                <w:rFonts w:ascii="Arial" w:cs="Arial" w:eastAsia="Arial" w:hAnsi="Arial"/>
                <w:sz w:val="16"/>
                <w:szCs w:val="16"/>
                <w:color w:val="auto"/>
              </w:rPr>
              <w:t>Rd</w:t>
            </w:r>
          </w:p>
        </w:tc>
        <w:tc>
          <w:tcPr>
            <w:tcW w:w="500" w:type="dxa"/>
            <w:vAlign w:val="bottom"/>
            <w:vMerge w:val="continue"/>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920" w:type="dxa"/>
            <w:vAlign w:val="bottom"/>
            <w:tcBorders>
              <w:bottom w:val="single" w:sz="8" w:color="CCEEFF"/>
            </w:tcBorders>
            <w:shd w:val="clear" w:color="auto" w:fill="CCEEFF"/>
          </w:tcPr>
          <w:p>
            <w:pPr>
              <w:spacing w:after="0"/>
              <w:rPr>
                <w:sz w:val="10"/>
                <w:szCs w:val="10"/>
                <w:color w:val="auto"/>
              </w:rPr>
            </w:pPr>
          </w:p>
        </w:tc>
        <w:tc>
          <w:tcPr>
            <w:tcW w:w="1760" w:type="dxa"/>
            <w:vAlign w:val="bottom"/>
            <w:tcBorders>
              <w:bottom w:val="single" w:sz="8" w:color="CCEEFF"/>
            </w:tcBorders>
            <w:vMerge w:val="continue"/>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760" w:type="dxa"/>
            <w:vAlign w:val="bottom"/>
          </w:tcPr>
          <w:p>
            <w:pPr>
              <w:ind w:left="60"/>
              <w:spacing w:after="0"/>
              <w:rPr>
                <w:sz w:val="20"/>
                <w:szCs w:val="20"/>
                <w:color w:val="auto"/>
              </w:rPr>
            </w:pPr>
            <w:r>
              <w:rPr>
                <w:rFonts w:ascii="Arial" w:cs="Arial" w:eastAsia="Arial" w:hAnsi="Arial"/>
                <w:sz w:val="16"/>
                <w:szCs w:val="16"/>
                <w:color w:val="auto"/>
              </w:rPr>
              <w:t>Biloxi</w:t>
            </w:r>
          </w:p>
        </w:tc>
        <w:tc>
          <w:tcPr>
            <w:tcW w:w="500" w:type="dxa"/>
            <w:vAlign w:val="bottom"/>
          </w:tcPr>
          <w:p>
            <w:pPr>
              <w:jc w:val="center"/>
              <w:spacing w:after="0"/>
              <w:rPr>
                <w:sz w:val="20"/>
                <w:szCs w:val="20"/>
                <w:color w:val="auto"/>
              </w:rPr>
            </w:pPr>
            <w:r>
              <w:rPr>
                <w:rFonts w:ascii="Arial" w:cs="Arial" w:eastAsia="Arial" w:hAnsi="Arial"/>
                <w:sz w:val="16"/>
                <w:szCs w:val="16"/>
                <w:color w:val="auto"/>
                <w:w w:val="99"/>
              </w:rPr>
              <w:t>MS</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770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3,947</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349</w:t>
            </w:r>
          </w:p>
        </w:tc>
        <w:tc>
          <w:tcPr>
            <w:tcW w:w="640" w:type="dxa"/>
            <w:vAlign w:val="bottom"/>
          </w:tcPr>
          <w:p>
            <w:pPr>
              <w:spacing w:after="0"/>
              <w:rPr>
                <w:sz w:val="19"/>
                <w:szCs w:val="19"/>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770</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4,296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5,066</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134</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10/1/2015</w:t>
            </w:r>
          </w:p>
        </w:tc>
        <w:tc>
          <w:tcPr>
            <w:tcW w:w="1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Canton</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MS</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1,240</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7,767</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465</w:t>
            </w:r>
          </w:p>
        </w:tc>
        <w:tc>
          <w:tcPr>
            <w:tcW w:w="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1,240</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8,232</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9,472</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268</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760" w:type="dxa"/>
            <w:vAlign w:val="bottom"/>
          </w:tcPr>
          <w:p>
            <w:pPr>
              <w:ind w:left="60"/>
              <w:spacing w:after="0"/>
              <w:rPr>
                <w:sz w:val="20"/>
                <w:szCs w:val="20"/>
                <w:color w:val="auto"/>
              </w:rPr>
            </w:pPr>
            <w:r>
              <w:rPr>
                <w:rFonts w:ascii="Arial" w:cs="Arial" w:eastAsia="Arial" w:hAnsi="Arial"/>
                <w:sz w:val="16"/>
                <w:szCs w:val="16"/>
                <w:color w:val="auto"/>
              </w:rPr>
              <w:t>Ridgeland</w:t>
            </w:r>
          </w:p>
        </w:tc>
        <w:tc>
          <w:tcPr>
            <w:tcW w:w="500" w:type="dxa"/>
            <w:vAlign w:val="bottom"/>
          </w:tcPr>
          <w:p>
            <w:pPr>
              <w:jc w:val="center"/>
              <w:spacing w:after="0"/>
              <w:rPr>
                <w:sz w:val="20"/>
                <w:szCs w:val="20"/>
                <w:color w:val="auto"/>
              </w:rPr>
            </w:pPr>
            <w:r>
              <w:rPr>
                <w:rFonts w:ascii="Arial" w:cs="Arial" w:eastAsia="Arial" w:hAnsi="Arial"/>
                <w:sz w:val="16"/>
                <w:szCs w:val="16"/>
                <w:color w:val="auto"/>
                <w:w w:val="99"/>
              </w:rPr>
              <w:t>MS</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410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9,135</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426</w:t>
            </w:r>
          </w:p>
        </w:tc>
        <w:tc>
          <w:tcPr>
            <w:tcW w:w="640" w:type="dxa"/>
            <w:vAlign w:val="bottom"/>
          </w:tcPr>
          <w:p>
            <w:pPr>
              <w:spacing w:after="0"/>
              <w:rPr>
                <w:sz w:val="19"/>
                <w:szCs w:val="19"/>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410</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9,561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9,971</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307</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10/15/2013</w:t>
            </w:r>
          </w:p>
        </w:tc>
        <w:tc>
          <w:tcPr>
            <w:tcW w:w="1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Cary</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NC</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4,139</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3,614</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1,788</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w:t>
            </w:r>
          </w:p>
        </w:tc>
        <w:tc>
          <w:tcPr>
            <w:tcW w:w="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3,614</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1,808</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5,422</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149</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5/5/2015</w:t>
            </w:r>
          </w:p>
        </w:tc>
        <w:tc>
          <w:tcPr>
            <w:tcW w:w="1760" w:type="dxa"/>
            <w:vAlign w:val="bottom"/>
          </w:tcPr>
          <w:p>
            <w:pPr>
              <w:ind w:left="60"/>
              <w:spacing w:after="0"/>
              <w:rPr>
                <w:sz w:val="20"/>
                <w:szCs w:val="20"/>
                <w:color w:val="auto"/>
              </w:rPr>
            </w:pPr>
            <w:r>
              <w:rPr>
                <w:rFonts w:ascii="Arial" w:cs="Arial" w:eastAsia="Arial" w:hAnsi="Arial"/>
                <w:sz w:val="16"/>
                <w:szCs w:val="16"/>
                <w:color w:val="auto"/>
              </w:rPr>
              <w:t>Charlotte / Monroe Rd</w:t>
            </w:r>
          </w:p>
        </w:tc>
        <w:tc>
          <w:tcPr>
            <w:tcW w:w="500" w:type="dxa"/>
            <w:vAlign w:val="bottom"/>
          </w:tcPr>
          <w:p>
            <w:pPr>
              <w:jc w:val="center"/>
              <w:spacing w:after="0"/>
              <w:rPr>
                <w:sz w:val="20"/>
                <w:szCs w:val="20"/>
                <w:color w:val="auto"/>
              </w:rPr>
            </w:pPr>
            <w:r>
              <w:rPr>
                <w:rFonts w:ascii="Arial" w:cs="Arial" w:eastAsia="Arial" w:hAnsi="Arial"/>
                <w:sz w:val="16"/>
                <w:szCs w:val="16"/>
                <w:color w:val="auto"/>
              </w:rPr>
              <w:t>NC</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4,637</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4,050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6,867</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181</w:t>
            </w:r>
          </w:p>
        </w:tc>
        <w:tc>
          <w:tcPr>
            <w:tcW w:w="640" w:type="dxa"/>
            <w:vAlign w:val="bottom"/>
          </w:tcPr>
          <w:p>
            <w:pPr>
              <w:spacing w:after="0"/>
              <w:rPr>
                <w:sz w:val="19"/>
                <w:szCs w:val="19"/>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4,050</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7,048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11,098</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282</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12/8/2015</w:t>
            </w:r>
          </w:p>
        </w:tc>
        <w:tc>
          <w:tcPr>
            <w:tcW w:w="1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Charlotte / S Tryon St</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NC</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1,372</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3,931</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29</w:t>
            </w:r>
          </w:p>
        </w:tc>
        <w:tc>
          <w:tcPr>
            <w:tcW w:w="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1,372</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3,960</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5,332</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109</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11/14/2016</w:t>
            </w:r>
          </w:p>
        </w:tc>
        <w:tc>
          <w:tcPr>
            <w:tcW w:w="1760" w:type="dxa"/>
            <w:vAlign w:val="bottom"/>
          </w:tcPr>
          <w:p>
            <w:pPr>
              <w:ind w:left="60"/>
              <w:spacing w:after="0"/>
              <w:rPr>
                <w:sz w:val="20"/>
                <w:szCs w:val="20"/>
                <w:color w:val="auto"/>
              </w:rPr>
            </w:pPr>
            <w:r>
              <w:rPr>
                <w:rFonts w:ascii="Arial" w:cs="Arial" w:eastAsia="Arial" w:hAnsi="Arial"/>
                <w:sz w:val="16"/>
                <w:szCs w:val="16"/>
                <w:color w:val="auto"/>
              </w:rPr>
              <w:t>Charlotte / South Blvd</w:t>
            </w:r>
          </w:p>
        </w:tc>
        <w:tc>
          <w:tcPr>
            <w:tcW w:w="500" w:type="dxa"/>
            <w:vAlign w:val="bottom"/>
          </w:tcPr>
          <w:p>
            <w:pPr>
              <w:jc w:val="center"/>
              <w:spacing w:after="0"/>
              <w:rPr>
                <w:sz w:val="20"/>
                <w:szCs w:val="20"/>
                <w:color w:val="auto"/>
              </w:rPr>
            </w:pPr>
            <w:r>
              <w:rPr>
                <w:rFonts w:ascii="Arial" w:cs="Arial" w:eastAsia="Arial" w:hAnsi="Arial"/>
                <w:sz w:val="16"/>
                <w:szCs w:val="16"/>
                <w:color w:val="auto"/>
              </w:rPr>
              <w:t>NC</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2,790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10,364</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640" w:type="dxa"/>
            <w:vAlign w:val="bottom"/>
          </w:tcPr>
          <w:p>
            <w:pPr>
              <w:spacing w:after="0"/>
              <w:rPr>
                <w:sz w:val="19"/>
                <w:szCs w:val="19"/>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2,790</w:t>
            </w: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10,366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13,156</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44</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6/19/2015</w:t>
            </w:r>
          </w:p>
        </w:tc>
        <w:tc>
          <w:tcPr>
            <w:tcW w:w="1760" w:type="dxa"/>
            <w:vAlign w:val="bottom"/>
            <w:shd w:val="clear" w:color="auto" w:fill="CCEEFF"/>
          </w:tcPr>
          <w:p>
            <w:pPr>
              <w:ind w:left="60"/>
              <w:spacing w:after="0"/>
              <w:rPr>
                <w:sz w:val="20"/>
                <w:szCs w:val="20"/>
                <w:color w:val="auto"/>
              </w:rPr>
            </w:pPr>
            <w:r>
              <w:rPr>
                <w:rFonts w:ascii="Arial" w:cs="Arial" w:eastAsia="Arial" w:hAnsi="Arial"/>
                <w:sz w:val="16"/>
                <w:szCs w:val="16"/>
                <w:color w:val="auto"/>
              </w:rPr>
              <w:t>Charlotte / Wendover</w:t>
            </w:r>
          </w:p>
        </w:tc>
        <w:tc>
          <w:tcPr>
            <w:tcW w:w="5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NC</w:t>
            </w: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vMerge w:val="restart"/>
            <w:shd w:val="clear" w:color="auto" w:fill="CCEEFF"/>
          </w:tcPr>
          <w:p>
            <w:pPr>
              <w:jc w:val="center"/>
              <w:ind w:right="59"/>
              <w:spacing w:after="0"/>
              <w:rPr>
                <w:sz w:val="20"/>
                <w:szCs w:val="20"/>
                <w:color w:val="auto"/>
              </w:rPr>
            </w:pPr>
            <w:r>
              <w:rPr>
                <w:rFonts w:ascii="Arial" w:cs="Arial" w:eastAsia="Arial" w:hAnsi="Arial"/>
                <w:sz w:val="16"/>
                <w:szCs w:val="16"/>
                <w:color w:val="auto"/>
                <w:w w:val="89"/>
              </w:rPr>
              <w:t>1,408</w:t>
            </w: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5,461</w:t>
            </w: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7"/>
              </w:rPr>
              <w:t>220</w:t>
            </w:r>
          </w:p>
        </w:tc>
        <w:tc>
          <w:tcPr>
            <w:tcW w:w="64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center"/>
              <w:ind w:right="59"/>
              <w:spacing w:after="0"/>
              <w:rPr>
                <w:sz w:val="20"/>
                <w:szCs w:val="20"/>
                <w:color w:val="auto"/>
              </w:rPr>
            </w:pPr>
            <w:r>
              <w:rPr>
                <w:rFonts w:ascii="Arial" w:cs="Arial" w:eastAsia="Arial" w:hAnsi="Arial"/>
                <w:sz w:val="16"/>
                <w:szCs w:val="16"/>
                <w:color w:val="auto"/>
                <w:w w:val="89"/>
              </w:rPr>
              <w:t>1,408</w:t>
            </w: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4"/>
              </w:rPr>
              <w:t>5,681</w:t>
            </w: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7,089</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227</w:t>
            </w:r>
          </w:p>
        </w:tc>
        <w:tc>
          <w:tcPr>
            <w:tcW w:w="0" w:type="dxa"/>
            <w:vAlign w:val="bottom"/>
          </w:tcPr>
          <w:p>
            <w:pPr>
              <w:spacing w:after="0"/>
              <w:rPr>
                <w:sz w:val="1"/>
                <w:szCs w:val="1"/>
                <w:color w:val="auto"/>
              </w:rPr>
            </w:pPr>
          </w:p>
        </w:tc>
      </w:tr>
      <w:tr>
        <w:trPr>
          <w:trHeight w:val="98"/>
        </w:trPr>
        <w:tc>
          <w:tcPr>
            <w:tcW w:w="920" w:type="dxa"/>
            <w:vAlign w:val="bottom"/>
            <w:vMerge w:val="continue"/>
            <w:shd w:val="clear" w:color="auto" w:fill="CCEEFF"/>
          </w:tcPr>
          <w:p>
            <w:pPr>
              <w:spacing w:after="0"/>
              <w:rPr>
                <w:sz w:val="8"/>
                <w:szCs w:val="8"/>
                <w:color w:val="auto"/>
              </w:rPr>
            </w:pPr>
          </w:p>
        </w:tc>
        <w:tc>
          <w:tcPr>
            <w:tcW w:w="1760" w:type="dxa"/>
            <w:vAlign w:val="bottom"/>
            <w:vMerge w:val="restart"/>
            <w:shd w:val="clear" w:color="auto" w:fill="CCEEFF"/>
          </w:tcPr>
          <w:p>
            <w:pPr>
              <w:ind w:left="60"/>
              <w:spacing w:after="0"/>
              <w:rPr>
                <w:sz w:val="20"/>
                <w:szCs w:val="20"/>
                <w:color w:val="auto"/>
              </w:rPr>
            </w:pPr>
            <w:r>
              <w:rPr>
                <w:rFonts w:ascii="Arial" w:cs="Arial" w:eastAsia="Arial" w:hAnsi="Arial"/>
                <w:sz w:val="16"/>
                <w:szCs w:val="16"/>
                <w:color w:val="auto"/>
              </w:rPr>
              <w:t>Rd</w:t>
            </w:r>
          </w:p>
        </w:tc>
        <w:tc>
          <w:tcPr>
            <w:tcW w:w="500" w:type="dxa"/>
            <w:vAlign w:val="bottom"/>
            <w:vMerge w:val="continue"/>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920" w:type="dxa"/>
            <w:vAlign w:val="bottom"/>
            <w:tcBorders>
              <w:bottom w:val="single" w:sz="8" w:color="CCEEFF"/>
            </w:tcBorders>
            <w:shd w:val="clear" w:color="auto" w:fill="CCEEFF"/>
          </w:tcPr>
          <w:p>
            <w:pPr>
              <w:spacing w:after="0"/>
              <w:rPr>
                <w:sz w:val="10"/>
                <w:szCs w:val="10"/>
                <w:color w:val="auto"/>
              </w:rPr>
            </w:pPr>
          </w:p>
        </w:tc>
        <w:tc>
          <w:tcPr>
            <w:tcW w:w="1760" w:type="dxa"/>
            <w:vAlign w:val="bottom"/>
            <w:tcBorders>
              <w:bottom w:val="single" w:sz="8" w:color="CCEEFF"/>
            </w:tcBorders>
            <w:vMerge w:val="continue"/>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760" w:type="dxa"/>
            <w:vAlign w:val="bottom"/>
          </w:tcPr>
          <w:p>
            <w:pPr>
              <w:ind w:left="60"/>
              <w:spacing w:after="0"/>
              <w:rPr>
                <w:sz w:val="20"/>
                <w:szCs w:val="20"/>
                <w:color w:val="auto"/>
              </w:rPr>
            </w:pPr>
            <w:r>
              <w:rPr>
                <w:rFonts w:ascii="Arial" w:cs="Arial" w:eastAsia="Arial" w:hAnsi="Arial"/>
                <w:sz w:val="16"/>
                <w:szCs w:val="16"/>
                <w:color w:val="auto"/>
              </w:rPr>
              <w:t>Concord</w:t>
            </w:r>
          </w:p>
        </w:tc>
        <w:tc>
          <w:tcPr>
            <w:tcW w:w="500" w:type="dxa"/>
            <w:vAlign w:val="bottom"/>
          </w:tcPr>
          <w:p>
            <w:pPr>
              <w:jc w:val="center"/>
              <w:spacing w:after="0"/>
              <w:rPr>
                <w:sz w:val="20"/>
                <w:szCs w:val="20"/>
                <w:color w:val="auto"/>
              </w:rPr>
            </w:pPr>
            <w:r>
              <w:rPr>
                <w:rFonts w:ascii="Arial" w:cs="Arial" w:eastAsia="Arial" w:hAnsi="Arial"/>
                <w:sz w:val="16"/>
                <w:szCs w:val="16"/>
                <w:color w:val="auto"/>
              </w:rPr>
              <w:t>NC</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770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4,873</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633</w:t>
            </w:r>
          </w:p>
        </w:tc>
        <w:tc>
          <w:tcPr>
            <w:tcW w:w="640" w:type="dxa"/>
            <w:vAlign w:val="bottom"/>
          </w:tcPr>
          <w:p>
            <w:pPr>
              <w:spacing w:after="0"/>
              <w:rPr>
                <w:sz w:val="19"/>
                <w:szCs w:val="19"/>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770</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5,506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6,276</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186</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12/11/2014</w:t>
            </w:r>
          </w:p>
        </w:tc>
        <w:tc>
          <w:tcPr>
            <w:tcW w:w="1760" w:type="dxa"/>
            <w:vAlign w:val="bottom"/>
            <w:shd w:val="clear" w:color="auto" w:fill="CCEEFF"/>
          </w:tcPr>
          <w:p>
            <w:pPr>
              <w:ind w:left="60"/>
              <w:spacing w:after="0"/>
              <w:rPr>
                <w:sz w:val="20"/>
                <w:szCs w:val="20"/>
                <w:color w:val="auto"/>
              </w:rPr>
            </w:pPr>
            <w:r>
              <w:rPr>
                <w:rFonts w:ascii="Arial" w:cs="Arial" w:eastAsia="Arial" w:hAnsi="Arial"/>
                <w:sz w:val="16"/>
                <w:szCs w:val="16"/>
                <w:color w:val="auto"/>
                <w:w w:val="97"/>
              </w:rPr>
              <w:t>Greensboro / High Point</w:t>
            </w:r>
          </w:p>
        </w:tc>
        <w:tc>
          <w:tcPr>
            <w:tcW w:w="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NC</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3,637</w:t>
            </w:r>
          </w:p>
        </w:tc>
        <w:tc>
          <w:tcPr>
            <w:tcW w:w="90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89"/>
              </w:rPr>
              <w:t>1,069</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4,199</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134</w:t>
            </w:r>
          </w:p>
        </w:tc>
        <w:tc>
          <w:tcPr>
            <w:tcW w:w="640" w:type="dxa"/>
            <w:vAlign w:val="bottom"/>
            <w:shd w:val="clear" w:color="auto" w:fill="CCEEFF"/>
          </w:tcPr>
          <w:p>
            <w:pPr>
              <w:spacing w:after="0"/>
              <w:rPr>
                <w:sz w:val="23"/>
                <w:szCs w:val="23"/>
                <w:color w:val="auto"/>
              </w:rPr>
            </w:pPr>
          </w:p>
        </w:tc>
        <w:tc>
          <w:tcPr>
            <w:tcW w:w="90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89"/>
              </w:rPr>
              <w:t>1,069</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4,333</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5,402</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234</w:t>
            </w:r>
          </w:p>
        </w:tc>
        <w:tc>
          <w:tcPr>
            <w:tcW w:w="0" w:type="dxa"/>
            <w:vAlign w:val="bottom"/>
          </w:tcPr>
          <w:p>
            <w:pPr>
              <w:spacing w:after="0"/>
              <w:rPr>
                <w:sz w:val="1"/>
                <w:szCs w:val="1"/>
                <w:color w:val="auto"/>
              </w:rPr>
            </w:pPr>
          </w:p>
        </w:tc>
      </w:tr>
      <w:tr>
        <w:trPr>
          <w:trHeight w:val="189"/>
        </w:trPr>
        <w:tc>
          <w:tcPr>
            <w:tcW w:w="920" w:type="dxa"/>
            <w:vAlign w:val="bottom"/>
            <w:shd w:val="clear" w:color="auto" w:fill="CCEEFF"/>
          </w:tcPr>
          <w:p>
            <w:pPr>
              <w:spacing w:after="0"/>
              <w:rPr>
                <w:sz w:val="16"/>
                <w:szCs w:val="16"/>
                <w:color w:val="auto"/>
              </w:rPr>
            </w:pPr>
          </w:p>
        </w:tc>
        <w:tc>
          <w:tcPr>
            <w:tcW w:w="1760" w:type="dxa"/>
            <w:vAlign w:val="bottom"/>
            <w:shd w:val="clear" w:color="auto" w:fill="CCEEFF"/>
          </w:tcPr>
          <w:p>
            <w:pPr>
              <w:ind w:left="60"/>
              <w:spacing w:after="0"/>
              <w:rPr>
                <w:sz w:val="20"/>
                <w:szCs w:val="20"/>
                <w:color w:val="auto"/>
              </w:rPr>
            </w:pPr>
            <w:r>
              <w:rPr>
                <w:rFonts w:ascii="Arial" w:cs="Arial" w:eastAsia="Arial" w:hAnsi="Arial"/>
                <w:sz w:val="16"/>
                <w:szCs w:val="16"/>
                <w:color w:val="auto"/>
              </w:rPr>
              <w:t>Rd</w:t>
            </w:r>
          </w:p>
        </w:tc>
        <w:tc>
          <w:tcPr>
            <w:tcW w:w="5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920" w:type="dxa"/>
            <w:vAlign w:val="bottom"/>
          </w:tcPr>
          <w:p>
            <w:pPr>
              <w:jc w:val="center"/>
              <w:spacing w:after="0"/>
              <w:rPr>
                <w:sz w:val="20"/>
                <w:szCs w:val="20"/>
                <w:color w:val="auto"/>
              </w:rPr>
            </w:pPr>
            <w:r>
              <w:rPr>
                <w:rFonts w:ascii="Arial" w:cs="Arial" w:eastAsia="Arial" w:hAnsi="Arial"/>
                <w:sz w:val="16"/>
                <w:szCs w:val="16"/>
                <w:color w:val="auto"/>
                <w:w w:val="89"/>
              </w:rPr>
              <w:t>12/11/2014</w:t>
            </w:r>
          </w:p>
        </w:tc>
        <w:tc>
          <w:tcPr>
            <w:tcW w:w="1760" w:type="dxa"/>
            <w:vAlign w:val="bottom"/>
          </w:tcPr>
          <w:p>
            <w:pPr>
              <w:ind w:left="60"/>
              <w:spacing w:after="0"/>
              <w:rPr>
                <w:sz w:val="20"/>
                <w:szCs w:val="20"/>
                <w:color w:val="auto"/>
              </w:rPr>
            </w:pPr>
            <w:r>
              <w:rPr>
                <w:rFonts w:ascii="Arial" w:cs="Arial" w:eastAsia="Arial" w:hAnsi="Arial"/>
                <w:sz w:val="16"/>
                <w:szCs w:val="16"/>
                <w:color w:val="auto"/>
              </w:rPr>
              <w:t>Greensboro / Lawndale</w:t>
            </w:r>
          </w:p>
        </w:tc>
        <w:tc>
          <w:tcPr>
            <w:tcW w:w="500" w:type="dxa"/>
            <w:vAlign w:val="bottom"/>
          </w:tcPr>
          <w:p>
            <w:pPr>
              <w:jc w:val="center"/>
              <w:spacing w:after="0"/>
              <w:rPr>
                <w:sz w:val="20"/>
                <w:szCs w:val="20"/>
                <w:color w:val="auto"/>
              </w:rPr>
            </w:pPr>
            <w:r>
              <w:rPr>
                <w:rFonts w:ascii="Arial" w:cs="Arial" w:eastAsia="Arial" w:hAnsi="Arial"/>
                <w:sz w:val="16"/>
                <w:szCs w:val="16"/>
                <w:color w:val="auto"/>
              </w:rPr>
              <w:t>NC</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6,412</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3,725</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7,036</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208</w:t>
            </w:r>
          </w:p>
        </w:tc>
        <w:tc>
          <w:tcPr>
            <w:tcW w:w="640" w:type="dxa"/>
            <w:vAlign w:val="bottom"/>
          </w:tcPr>
          <w:p>
            <w:pPr>
              <w:spacing w:after="0"/>
              <w:rPr>
                <w:sz w:val="23"/>
                <w:szCs w:val="23"/>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3,723</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7,246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10,969</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391</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760" w:type="dxa"/>
            <w:vAlign w:val="bottom"/>
          </w:tcPr>
          <w:p>
            <w:pPr>
              <w:ind w:left="60"/>
              <w:spacing w:after="0"/>
              <w:rPr>
                <w:sz w:val="20"/>
                <w:szCs w:val="20"/>
                <w:color w:val="auto"/>
              </w:rPr>
            </w:pPr>
            <w:r>
              <w:rPr>
                <w:rFonts w:ascii="Arial" w:cs="Arial" w:eastAsia="Arial" w:hAnsi="Arial"/>
                <w:sz w:val="16"/>
                <w:szCs w:val="16"/>
                <w:color w:val="auto"/>
              </w:rPr>
              <w:t>Drive</w:t>
            </w: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12/11/2014</w:t>
            </w:r>
          </w:p>
        </w:tc>
        <w:tc>
          <w:tcPr>
            <w:tcW w:w="1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Hickory / 10th Ave</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NC</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3,252</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875</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5,418</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107</w:t>
            </w:r>
          </w:p>
        </w:tc>
        <w:tc>
          <w:tcPr>
            <w:tcW w:w="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875</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5,525</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6,400</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298</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760" w:type="dxa"/>
            <w:vAlign w:val="bottom"/>
          </w:tcPr>
          <w:p>
            <w:pPr>
              <w:ind w:left="60"/>
              <w:spacing w:after="0"/>
              <w:rPr>
                <w:sz w:val="20"/>
                <w:szCs w:val="20"/>
                <w:color w:val="auto"/>
              </w:rPr>
            </w:pPr>
            <w:r>
              <w:rPr>
                <w:rFonts w:ascii="Arial" w:cs="Arial" w:eastAsia="Arial" w:hAnsi="Arial"/>
                <w:sz w:val="16"/>
                <w:szCs w:val="16"/>
                <w:color w:val="auto"/>
              </w:rPr>
              <w:t>Hickory / 18th Street</w:t>
            </w:r>
          </w:p>
        </w:tc>
        <w:tc>
          <w:tcPr>
            <w:tcW w:w="500" w:type="dxa"/>
            <w:vAlign w:val="bottom"/>
          </w:tcPr>
          <w:p>
            <w:pPr>
              <w:jc w:val="center"/>
              <w:spacing w:after="0"/>
              <w:rPr>
                <w:sz w:val="20"/>
                <w:szCs w:val="20"/>
                <w:color w:val="auto"/>
              </w:rPr>
            </w:pPr>
            <w:r>
              <w:rPr>
                <w:rFonts w:ascii="Arial" w:cs="Arial" w:eastAsia="Arial" w:hAnsi="Arial"/>
                <w:sz w:val="16"/>
                <w:szCs w:val="16"/>
                <w:color w:val="auto"/>
              </w:rPr>
              <w:t>NC</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400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5,844</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320</w:t>
            </w:r>
          </w:p>
        </w:tc>
        <w:tc>
          <w:tcPr>
            <w:tcW w:w="640" w:type="dxa"/>
            <w:vAlign w:val="bottom"/>
          </w:tcPr>
          <w:p>
            <w:pPr>
              <w:spacing w:after="0"/>
              <w:rPr>
                <w:sz w:val="19"/>
                <w:szCs w:val="19"/>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400</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6,164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6,564</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202</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10/1/2015</w:t>
            </w:r>
          </w:p>
        </w:tc>
        <w:tc>
          <w:tcPr>
            <w:tcW w:w="1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Morganton</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NC</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600</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5,724</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291</w:t>
            </w:r>
          </w:p>
        </w:tc>
        <w:tc>
          <w:tcPr>
            <w:tcW w:w="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600</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6,015</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6,615</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193</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6/18/2014</w:t>
            </w:r>
          </w:p>
        </w:tc>
        <w:tc>
          <w:tcPr>
            <w:tcW w:w="1760" w:type="dxa"/>
            <w:vAlign w:val="bottom"/>
          </w:tcPr>
          <w:p>
            <w:pPr>
              <w:ind w:left="60"/>
              <w:spacing w:after="0"/>
              <w:rPr>
                <w:sz w:val="20"/>
                <w:szCs w:val="20"/>
                <w:color w:val="auto"/>
              </w:rPr>
            </w:pPr>
            <w:r>
              <w:rPr>
                <w:rFonts w:ascii="Arial" w:cs="Arial" w:eastAsia="Arial" w:hAnsi="Arial"/>
                <w:sz w:val="16"/>
                <w:szCs w:val="16"/>
                <w:color w:val="auto"/>
              </w:rPr>
              <w:t>Raleigh</w:t>
            </w:r>
          </w:p>
        </w:tc>
        <w:tc>
          <w:tcPr>
            <w:tcW w:w="500" w:type="dxa"/>
            <w:vAlign w:val="bottom"/>
          </w:tcPr>
          <w:p>
            <w:pPr>
              <w:jc w:val="center"/>
              <w:spacing w:after="0"/>
              <w:rPr>
                <w:sz w:val="20"/>
                <w:szCs w:val="20"/>
                <w:color w:val="auto"/>
              </w:rPr>
            </w:pPr>
            <w:r>
              <w:rPr>
                <w:rFonts w:ascii="Arial" w:cs="Arial" w:eastAsia="Arial" w:hAnsi="Arial"/>
                <w:sz w:val="16"/>
                <w:szCs w:val="16"/>
                <w:color w:val="auto"/>
              </w:rPr>
              <w:t>NC</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2,940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4,265</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107</w:t>
            </w:r>
          </w:p>
        </w:tc>
        <w:tc>
          <w:tcPr>
            <w:tcW w:w="640" w:type="dxa"/>
            <w:vAlign w:val="bottom"/>
          </w:tcPr>
          <w:p>
            <w:pPr>
              <w:spacing w:after="0"/>
              <w:rPr>
                <w:sz w:val="19"/>
                <w:szCs w:val="19"/>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2,940</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4,372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7,312</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295</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12/11/2014</w:t>
            </w:r>
          </w:p>
        </w:tc>
        <w:tc>
          <w:tcPr>
            <w:tcW w:w="1760" w:type="dxa"/>
            <w:vAlign w:val="bottom"/>
            <w:shd w:val="clear" w:color="auto" w:fill="CCEEFF"/>
          </w:tcPr>
          <w:p>
            <w:pPr>
              <w:ind w:left="60"/>
              <w:spacing w:after="0"/>
              <w:rPr>
                <w:sz w:val="20"/>
                <w:szCs w:val="20"/>
                <w:color w:val="auto"/>
              </w:rPr>
            </w:pPr>
            <w:r>
              <w:rPr>
                <w:rFonts w:ascii="Arial" w:cs="Arial" w:eastAsia="Arial" w:hAnsi="Arial"/>
                <w:sz w:val="16"/>
                <w:szCs w:val="16"/>
                <w:color w:val="auto"/>
              </w:rPr>
              <w:t>Winston/Salem / Peters</w:t>
            </w:r>
          </w:p>
        </w:tc>
        <w:tc>
          <w:tcPr>
            <w:tcW w:w="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NC</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2,941</w:t>
            </w:r>
          </w:p>
        </w:tc>
        <w:tc>
          <w:tcPr>
            <w:tcW w:w="90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89"/>
              </w:rPr>
              <w:t>1,548</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3,495</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136</w:t>
            </w:r>
          </w:p>
        </w:tc>
        <w:tc>
          <w:tcPr>
            <w:tcW w:w="640" w:type="dxa"/>
            <w:vAlign w:val="bottom"/>
            <w:shd w:val="clear" w:color="auto" w:fill="CCEEFF"/>
          </w:tcPr>
          <w:p>
            <w:pPr>
              <w:spacing w:after="0"/>
              <w:rPr>
                <w:sz w:val="23"/>
                <w:szCs w:val="23"/>
                <w:color w:val="auto"/>
              </w:rPr>
            </w:pPr>
          </w:p>
        </w:tc>
        <w:tc>
          <w:tcPr>
            <w:tcW w:w="90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89"/>
              </w:rPr>
              <w:t>1,548</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3,631</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5,179</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200</w:t>
            </w:r>
          </w:p>
        </w:tc>
        <w:tc>
          <w:tcPr>
            <w:tcW w:w="0" w:type="dxa"/>
            <w:vAlign w:val="bottom"/>
          </w:tcPr>
          <w:p>
            <w:pPr>
              <w:spacing w:after="0"/>
              <w:rPr>
                <w:sz w:val="1"/>
                <w:szCs w:val="1"/>
                <w:color w:val="auto"/>
              </w:rPr>
            </w:pPr>
          </w:p>
        </w:tc>
      </w:tr>
      <w:tr>
        <w:trPr>
          <w:trHeight w:val="189"/>
        </w:trPr>
        <w:tc>
          <w:tcPr>
            <w:tcW w:w="920" w:type="dxa"/>
            <w:vAlign w:val="bottom"/>
            <w:shd w:val="clear" w:color="auto" w:fill="CCEEFF"/>
          </w:tcPr>
          <w:p>
            <w:pPr>
              <w:spacing w:after="0"/>
              <w:rPr>
                <w:sz w:val="16"/>
                <w:szCs w:val="16"/>
                <w:color w:val="auto"/>
              </w:rPr>
            </w:pPr>
          </w:p>
        </w:tc>
        <w:tc>
          <w:tcPr>
            <w:tcW w:w="1760" w:type="dxa"/>
            <w:vAlign w:val="bottom"/>
            <w:shd w:val="clear" w:color="auto" w:fill="CCEEFF"/>
          </w:tcPr>
          <w:p>
            <w:pPr>
              <w:ind w:left="60"/>
              <w:spacing w:after="0"/>
              <w:rPr>
                <w:sz w:val="20"/>
                <w:szCs w:val="20"/>
                <w:color w:val="auto"/>
              </w:rPr>
            </w:pPr>
            <w:r>
              <w:rPr>
                <w:rFonts w:ascii="Arial" w:cs="Arial" w:eastAsia="Arial" w:hAnsi="Arial"/>
                <w:sz w:val="16"/>
                <w:szCs w:val="16"/>
                <w:color w:val="auto"/>
              </w:rPr>
              <w:t>Creek Pkwy</w:t>
            </w:r>
          </w:p>
        </w:tc>
        <w:tc>
          <w:tcPr>
            <w:tcW w:w="5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920" w:type="dxa"/>
            <w:vAlign w:val="bottom"/>
          </w:tcPr>
          <w:p>
            <w:pPr>
              <w:jc w:val="center"/>
              <w:spacing w:after="0"/>
              <w:rPr>
                <w:sz w:val="20"/>
                <w:szCs w:val="20"/>
                <w:color w:val="auto"/>
              </w:rPr>
            </w:pPr>
            <w:r>
              <w:rPr>
                <w:rFonts w:ascii="Arial" w:cs="Arial" w:eastAsia="Arial" w:hAnsi="Arial"/>
                <w:sz w:val="16"/>
                <w:szCs w:val="16"/>
                <w:color w:val="auto"/>
                <w:w w:val="89"/>
              </w:rPr>
              <w:t>12/11/2014</w:t>
            </w:r>
          </w:p>
        </w:tc>
        <w:tc>
          <w:tcPr>
            <w:tcW w:w="1760" w:type="dxa"/>
            <w:vAlign w:val="bottom"/>
          </w:tcPr>
          <w:p>
            <w:pPr>
              <w:ind w:left="60"/>
              <w:spacing w:after="0"/>
              <w:rPr>
                <w:sz w:val="20"/>
                <w:szCs w:val="20"/>
                <w:color w:val="auto"/>
              </w:rPr>
            </w:pPr>
            <w:r>
              <w:rPr>
                <w:rFonts w:ascii="Arial" w:cs="Arial" w:eastAsia="Arial" w:hAnsi="Arial"/>
                <w:sz w:val="16"/>
                <w:szCs w:val="16"/>
                <w:color w:val="auto"/>
              </w:rPr>
              <w:t>Winston/Salem /</w:t>
            </w:r>
          </w:p>
        </w:tc>
        <w:tc>
          <w:tcPr>
            <w:tcW w:w="500" w:type="dxa"/>
            <w:vAlign w:val="bottom"/>
          </w:tcPr>
          <w:p>
            <w:pPr>
              <w:jc w:val="center"/>
              <w:spacing w:after="0"/>
              <w:rPr>
                <w:sz w:val="20"/>
                <w:szCs w:val="20"/>
                <w:color w:val="auto"/>
              </w:rPr>
            </w:pPr>
            <w:r>
              <w:rPr>
                <w:rFonts w:ascii="Arial" w:cs="Arial" w:eastAsia="Arial" w:hAnsi="Arial"/>
                <w:sz w:val="16"/>
                <w:szCs w:val="16"/>
                <w:color w:val="auto"/>
              </w:rPr>
              <w:t>NC</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4,207</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1,131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5,084</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129</w:t>
            </w:r>
          </w:p>
        </w:tc>
        <w:tc>
          <w:tcPr>
            <w:tcW w:w="640" w:type="dxa"/>
            <w:vAlign w:val="bottom"/>
          </w:tcPr>
          <w:p>
            <w:pPr>
              <w:spacing w:after="0"/>
              <w:rPr>
                <w:sz w:val="23"/>
                <w:szCs w:val="23"/>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1,131</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5,213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6,344</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278</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760" w:type="dxa"/>
            <w:vAlign w:val="bottom"/>
          </w:tcPr>
          <w:p>
            <w:pPr>
              <w:ind w:left="60"/>
              <w:spacing w:after="0"/>
              <w:rPr>
                <w:sz w:val="20"/>
                <w:szCs w:val="20"/>
                <w:color w:val="auto"/>
              </w:rPr>
            </w:pPr>
            <w:r>
              <w:rPr>
                <w:rFonts w:ascii="Arial" w:cs="Arial" w:eastAsia="Arial" w:hAnsi="Arial"/>
                <w:sz w:val="16"/>
                <w:szCs w:val="16"/>
                <w:color w:val="auto"/>
              </w:rPr>
              <w:t>University Pkwy</w:t>
            </w: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4/15/1999</w:t>
            </w:r>
          </w:p>
        </w:tc>
        <w:tc>
          <w:tcPr>
            <w:tcW w:w="1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Merrimack</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NH</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3,747</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754</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3,299</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615</w:t>
            </w:r>
          </w:p>
        </w:tc>
        <w:tc>
          <w:tcPr>
            <w:tcW w:w="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817</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3,851</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4,668</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1,520</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7/1/2005</w:t>
            </w:r>
          </w:p>
        </w:tc>
        <w:tc>
          <w:tcPr>
            <w:tcW w:w="1760" w:type="dxa"/>
            <w:vAlign w:val="bottom"/>
          </w:tcPr>
          <w:p>
            <w:pPr>
              <w:ind w:left="60"/>
              <w:spacing w:after="0"/>
              <w:rPr>
                <w:sz w:val="20"/>
                <w:szCs w:val="20"/>
                <w:color w:val="auto"/>
              </w:rPr>
            </w:pPr>
            <w:r>
              <w:rPr>
                <w:rFonts w:ascii="Arial" w:cs="Arial" w:eastAsia="Arial" w:hAnsi="Arial"/>
                <w:sz w:val="16"/>
                <w:szCs w:val="16"/>
                <w:color w:val="auto"/>
              </w:rPr>
              <w:t>Nashua</w:t>
            </w:r>
          </w:p>
        </w:tc>
        <w:tc>
          <w:tcPr>
            <w:tcW w:w="500" w:type="dxa"/>
            <w:vAlign w:val="bottom"/>
          </w:tcPr>
          <w:p>
            <w:pPr>
              <w:jc w:val="center"/>
              <w:spacing w:after="0"/>
              <w:rPr>
                <w:sz w:val="20"/>
                <w:szCs w:val="20"/>
                <w:color w:val="auto"/>
              </w:rPr>
            </w:pPr>
            <w:r>
              <w:rPr>
                <w:rFonts w:ascii="Arial" w:cs="Arial" w:eastAsia="Arial" w:hAnsi="Arial"/>
                <w:sz w:val="16"/>
                <w:szCs w:val="16"/>
                <w:color w:val="auto"/>
              </w:rPr>
              <w:t>NH</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755</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136</w:t>
            </w:r>
          </w:p>
        </w:tc>
        <w:tc>
          <w:tcPr>
            <w:tcW w:w="640" w:type="dxa"/>
            <w:vAlign w:val="bottom"/>
          </w:tcPr>
          <w:p>
            <w:pPr>
              <w:spacing w:after="0"/>
              <w:rPr>
                <w:sz w:val="19"/>
                <w:szCs w:val="19"/>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891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891</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405</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1/1/2005</w:t>
            </w:r>
          </w:p>
        </w:tc>
        <w:tc>
          <w:tcPr>
            <w:tcW w:w="1760" w:type="dxa"/>
            <w:vAlign w:val="bottom"/>
            <w:shd w:val="clear" w:color="auto" w:fill="CCEEFF"/>
          </w:tcPr>
          <w:p>
            <w:pPr>
              <w:ind w:left="60"/>
              <w:spacing w:after="0"/>
              <w:rPr>
                <w:sz w:val="20"/>
                <w:szCs w:val="20"/>
                <w:color w:val="auto"/>
              </w:rPr>
            </w:pPr>
            <w:r>
              <w:rPr>
                <w:rFonts w:ascii="Arial" w:cs="Arial" w:eastAsia="Arial" w:hAnsi="Arial"/>
                <w:sz w:val="16"/>
                <w:szCs w:val="16"/>
                <w:color w:val="auto"/>
              </w:rPr>
              <w:t>Avenel</w:t>
            </w:r>
          </w:p>
        </w:tc>
        <w:tc>
          <w:tcPr>
            <w:tcW w:w="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NJ</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89"/>
              </w:rPr>
              <w:t>1,518</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8,037</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593</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89"/>
              </w:rPr>
              <w:t>1,518</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8,630</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10,148</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2,780</w:t>
            </w:r>
          </w:p>
        </w:tc>
        <w:tc>
          <w:tcPr>
            <w:tcW w:w="0" w:type="dxa"/>
            <w:vAlign w:val="bottom"/>
          </w:tcPr>
          <w:p>
            <w:pPr>
              <w:spacing w:after="0"/>
              <w:rPr>
                <w:sz w:val="1"/>
                <w:szCs w:val="1"/>
                <w:color w:val="auto"/>
              </w:rPr>
            </w:pPr>
          </w:p>
        </w:tc>
      </w:tr>
      <w:tr>
        <w:trPr>
          <w:trHeight w:val="46"/>
        </w:trPr>
        <w:tc>
          <w:tcPr>
            <w:tcW w:w="920" w:type="dxa"/>
            <w:vAlign w:val="bottom"/>
            <w:shd w:val="clear" w:color="auto" w:fill="CCEEFF"/>
          </w:tcPr>
          <w:p>
            <w:pPr>
              <w:spacing w:after="0"/>
              <w:rPr>
                <w:sz w:val="4"/>
                <w:szCs w:val="4"/>
                <w:color w:val="auto"/>
              </w:rPr>
            </w:pPr>
          </w:p>
        </w:tc>
        <w:tc>
          <w:tcPr>
            <w:tcW w:w="176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878" w:orient="portrait"/>
          <w:cols w:equalWidth="0" w:num="1">
            <w:col w:w="11420"/>
          </w:cols>
          <w:pgMar w:left="240" w:top="140" w:right="239" w:bottom="0" w:gutter="0" w:footer="0" w:header="0"/>
        </w:sectPr>
      </w:pPr>
    </w:p>
    <w:bookmarkStart w:id="105" w:name="page106"/>
    <w:bookmarkEnd w:id="10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20" w:type="dxa"/>
            <w:vAlign w:val="bottom"/>
          </w:tcPr>
          <w:p>
            <w:pPr>
              <w:jc w:val="center"/>
              <w:spacing w:after="0"/>
              <w:rPr>
                <w:sz w:val="20"/>
                <w:szCs w:val="20"/>
                <w:color w:val="auto"/>
              </w:rPr>
            </w:pPr>
            <w:r>
              <w:rPr>
                <w:rFonts w:ascii="Arial" w:cs="Arial" w:eastAsia="Arial" w:hAnsi="Arial"/>
                <w:sz w:val="16"/>
                <w:szCs w:val="16"/>
                <w:color w:val="auto"/>
                <w:w w:val="89"/>
              </w:rPr>
              <w:t>12/28/2004</w:t>
            </w:r>
          </w:p>
        </w:tc>
        <w:tc>
          <w:tcPr>
            <w:tcW w:w="1780" w:type="dxa"/>
            <w:vAlign w:val="bottom"/>
          </w:tcPr>
          <w:p>
            <w:pPr>
              <w:ind w:left="60"/>
              <w:spacing w:after="0"/>
              <w:rPr>
                <w:sz w:val="20"/>
                <w:szCs w:val="20"/>
                <w:color w:val="auto"/>
              </w:rPr>
            </w:pPr>
            <w:r>
              <w:rPr>
                <w:rFonts w:ascii="Arial" w:cs="Arial" w:eastAsia="Arial" w:hAnsi="Arial"/>
                <w:sz w:val="16"/>
                <w:szCs w:val="16"/>
                <w:color w:val="auto"/>
              </w:rPr>
              <w:t>Bayville</w:t>
            </w:r>
          </w:p>
        </w:tc>
        <w:tc>
          <w:tcPr>
            <w:tcW w:w="460" w:type="dxa"/>
            <w:vAlign w:val="bottom"/>
          </w:tcPr>
          <w:p>
            <w:pPr>
              <w:ind w:left="140"/>
              <w:spacing w:after="0"/>
              <w:rPr>
                <w:sz w:val="20"/>
                <w:szCs w:val="20"/>
                <w:color w:val="auto"/>
              </w:rPr>
            </w:pPr>
            <w:r>
              <w:rPr>
                <w:rFonts w:ascii="Arial" w:cs="Arial" w:eastAsia="Arial" w:hAnsi="Arial"/>
                <w:sz w:val="16"/>
                <w:szCs w:val="16"/>
                <w:color w:val="auto"/>
              </w:rPr>
              <w:t>NJ</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3,545</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1,193</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5,312</w:t>
            </w:r>
          </w:p>
        </w:tc>
        <w:tc>
          <w:tcPr>
            <w:tcW w:w="980" w:type="dxa"/>
            <w:vAlign w:val="bottom"/>
          </w:tcPr>
          <w:p>
            <w:pPr>
              <w:jc w:val="center"/>
              <w:ind w:left="39"/>
              <w:spacing w:after="0"/>
              <w:rPr>
                <w:sz w:val="20"/>
                <w:szCs w:val="20"/>
                <w:color w:val="auto"/>
              </w:rPr>
            </w:pPr>
            <w:r>
              <w:rPr>
                <w:rFonts w:ascii="Arial" w:cs="Arial" w:eastAsia="Arial" w:hAnsi="Arial"/>
                <w:sz w:val="16"/>
                <w:szCs w:val="16"/>
                <w:color w:val="auto"/>
                <w:w w:val="97"/>
              </w:rPr>
              <w:t>641</w:t>
            </w:r>
          </w:p>
        </w:tc>
        <w:tc>
          <w:tcPr>
            <w:tcW w:w="720" w:type="dxa"/>
            <w:vAlign w:val="bottom"/>
          </w:tcPr>
          <w:p>
            <w:pPr>
              <w:spacing w:after="0"/>
              <w:rPr>
                <w:sz w:val="17"/>
                <w:szCs w:val="17"/>
                <w:color w:val="auto"/>
              </w:rPr>
            </w:pPr>
          </w:p>
        </w:tc>
        <w:tc>
          <w:tcPr>
            <w:tcW w:w="860" w:type="dxa"/>
            <w:vAlign w:val="bottom"/>
          </w:tcPr>
          <w:p>
            <w:pPr>
              <w:jc w:val="center"/>
              <w:ind w:right="99"/>
              <w:spacing w:after="0"/>
              <w:rPr>
                <w:sz w:val="20"/>
                <w:szCs w:val="20"/>
                <w:color w:val="auto"/>
              </w:rPr>
            </w:pPr>
            <w:r>
              <w:rPr>
                <w:rFonts w:ascii="Arial" w:cs="Arial" w:eastAsia="Arial" w:hAnsi="Arial"/>
                <w:sz w:val="16"/>
                <w:szCs w:val="16"/>
                <w:color w:val="auto"/>
                <w:w w:val="89"/>
              </w:rPr>
              <w:t>1,193</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5,953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7,146</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1,943</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9/1/2008</w:t>
            </w:r>
          </w:p>
        </w:tc>
        <w:tc>
          <w:tcPr>
            <w:tcW w:w="1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Bellmawr</w:t>
            </w:r>
          </w:p>
        </w:tc>
        <w:tc>
          <w:tcPr>
            <w:tcW w:w="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NJ</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3,296</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3,600</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4,765</w:t>
            </w:r>
          </w:p>
        </w:tc>
        <w:tc>
          <w:tcPr>
            <w:tcW w:w="9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7"/>
              </w:rPr>
              <w:t>421</w:t>
            </w:r>
          </w:p>
        </w:tc>
        <w:tc>
          <w:tcPr>
            <w:tcW w:w="7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3,675</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4"/>
              </w:rPr>
              <w:t>5,111</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8,786</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1,060</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7/18/2012</w:t>
            </w:r>
          </w:p>
        </w:tc>
        <w:tc>
          <w:tcPr>
            <w:tcW w:w="1780" w:type="dxa"/>
            <w:vAlign w:val="bottom"/>
          </w:tcPr>
          <w:p>
            <w:pPr>
              <w:ind w:left="60"/>
              <w:spacing w:after="0"/>
              <w:rPr>
                <w:sz w:val="20"/>
                <w:szCs w:val="20"/>
                <w:color w:val="auto"/>
              </w:rPr>
            </w:pPr>
            <w:r>
              <w:rPr>
                <w:rFonts w:ascii="Arial" w:cs="Arial" w:eastAsia="Arial" w:hAnsi="Arial"/>
                <w:sz w:val="16"/>
                <w:szCs w:val="16"/>
                <w:color w:val="auto"/>
              </w:rPr>
              <w:t>Berkeley Heights</w:t>
            </w:r>
          </w:p>
        </w:tc>
        <w:tc>
          <w:tcPr>
            <w:tcW w:w="460" w:type="dxa"/>
            <w:vAlign w:val="bottom"/>
          </w:tcPr>
          <w:p>
            <w:pPr>
              <w:ind w:left="140"/>
              <w:spacing w:after="0"/>
              <w:rPr>
                <w:sz w:val="20"/>
                <w:szCs w:val="20"/>
                <w:color w:val="auto"/>
              </w:rPr>
            </w:pPr>
            <w:r>
              <w:rPr>
                <w:rFonts w:ascii="Arial" w:cs="Arial" w:eastAsia="Arial" w:hAnsi="Arial"/>
                <w:sz w:val="16"/>
                <w:szCs w:val="16"/>
                <w:color w:val="auto"/>
              </w:rPr>
              <w:t>NJ</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6,792</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1,598</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7,553</w:t>
            </w:r>
          </w:p>
        </w:tc>
        <w:tc>
          <w:tcPr>
            <w:tcW w:w="980" w:type="dxa"/>
            <w:vAlign w:val="bottom"/>
          </w:tcPr>
          <w:p>
            <w:pPr>
              <w:jc w:val="center"/>
              <w:ind w:left="39"/>
              <w:spacing w:after="0"/>
              <w:rPr>
                <w:sz w:val="20"/>
                <w:szCs w:val="20"/>
                <w:color w:val="auto"/>
              </w:rPr>
            </w:pPr>
            <w:r>
              <w:rPr>
                <w:rFonts w:ascii="Arial" w:cs="Arial" w:eastAsia="Arial" w:hAnsi="Arial"/>
                <w:sz w:val="16"/>
                <w:szCs w:val="16"/>
                <w:color w:val="auto"/>
                <w:w w:val="97"/>
              </w:rPr>
              <w:t>210</w:t>
            </w:r>
          </w:p>
        </w:tc>
        <w:tc>
          <w:tcPr>
            <w:tcW w:w="720" w:type="dxa"/>
            <w:vAlign w:val="bottom"/>
          </w:tcPr>
          <w:p>
            <w:pPr>
              <w:spacing w:after="0"/>
              <w:rPr>
                <w:sz w:val="19"/>
                <w:szCs w:val="19"/>
                <w:color w:val="auto"/>
              </w:rPr>
            </w:pPr>
          </w:p>
        </w:tc>
        <w:tc>
          <w:tcPr>
            <w:tcW w:w="860" w:type="dxa"/>
            <w:vAlign w:val="bottom"/>
          </w:tcPr>
          <w:p>
            <w:pPr>
              <w:jc w:val="center"/>
              <w:ind w:right="99"/>
              <w:spacing w:after="0"/>
              <w:rPr>
                <w:sz w:val="20"/>
                <w:szCs w:val="20"/>
                <w:color w:val="auto"/>
              </w:rPr>
            </w:pPr>
            <w:r>
              <w:rPr>
                <w:rFonts w:ascii="Arial" w:cs="Arial" w:eastAsia="Arial" w:hAnsi="Arial"/>
                <w:sz w:val="16"/>
                <w:szCs w:val="16"/>
                <w:color w:val="auto"/>
                <w:w w:val="89"/>
              </w:rPr>
              <w:t>1,598</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7,763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9,361</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921</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12/18/2014</w:t>
            </w:r>
          </w:p>
        </w:tc>
        <w:tc>
          <w:tcPr>
            <w:tcW w:w="1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Burlington</w:t>
            </w:r>
          </w:p>
        </w:tc>
        <w:tc>
          <w:tcPr>
            <w:tcW w:w="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NJ</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3,793</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477</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6,534</w:t>
            </w:r>
          </w:p>
        </w:tc>
        <w:tc>
          <w:tcPr>
            <w:tcW w:w="9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7"/>
              </w:rPr>
              <w:t>248</w:t>
            </w:r>
          </w:p>
        </w:tc>
        <w:tc>
          <w:tcPr>
            <w:tcW w:w="7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477</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6,782</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7,259</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366</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10/7/2015</w:t>
            </w:r>
          </w:p>
        </w:tc>
        <w:tc>
          <w:tcPr>
            <w:tcW w:w="1780" w:type="dxa"/>
            <w:vAlign w:val="bottom"/>
          </w:tcPr>
          <w:p>
            <w:pPr>
              <w:ind w:left="60"/>
              <w:spacing w:after="0"/>
              <w:rPr>
                <w:sz w:val="20"/>
                <w:szCs w:val="20"/>
                <w:color w:val="auto"/>
              </w:rPr>
            </w:pPr>
            <w:r>
              <w:rPr>
                <w:rFonts w:ascii="Arial" w:cs="Arial" w:eastAsia="Arial" w:hAnsi="Arial"/>
                <w:sz w:val="16"/>
                <w:szCs w:val="16"/>
                <w:color w:val="auto"/>
              </w:rPr>
              <w:t>Cherry Hill / Church Rd</w:t>
            </w:r>
          </w:p>
        </w:tc>
        <w:tc>
          <w:tcPr>
            <w:tcW w:w="460" w:type="dxa"/>
            <w:vAlign w:val="bottom"/>
          </w:tcPr>
          <w:p>
            <w:pPr>
              <w:ind w:left="140"/>
              <w:spacing w:after="0"/>
              <w:rPr>
                <w:sz w:val="20"/>
                <w:szCs w:val="20"/>
                <w:color w:val="auto"/>
              </w:rPr>
            </w:pPr>
            <w:r>
              <w:rPr>
                <w:rFonts w:ascii="Arial" w:cs="Arial" w:eastAsia="Arial" w:hAnsi="Arial"/>
                <w:sz w:val="16"/>
                <w:szCs w:val="16"/>
                <w:color w:val="auto"/>
              </w:rPr>
              <w:t>NJ</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1,057</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6,037</w:t>
            </w:r>
          </w:p>
        </w:tc>
        <w:tc>
          <w:tcPr>
            <w:tcW w:w="980" w:type="dxa"/>
            <w:vAlign w:val="bottom"/>
          </w:tcPr>
          <w:p>
            <w:pPr>
              <w:jc w:val="center"/>
              <w:ind w:left="39"/>
              <w:spacing w:after="0"/>
              <w:rPr>
                <w:sz w:val="20"/>
                <w:szCs w:val="20"/>
                <w:color w:val="auto"/>
              </w:rPr>
            </w:pPr>
            <w:r>
              <w:rPr>
                <w:rFonts w:ascii="Arial" w:cs="Arial" w:eastAsia="Arial" w:hAnsi="Arial"/>
                <w:sz w:val="16"/>
                <w:szCs w:val="16"/>
                <w:color w:val="auto"/>
                <w:w w:val="97"/>
              </w:rPr>
              <w:t>313</w:t>
            </w:r>
          </w:p>
        </w:tc>
        <w:tc>
          <w:tcPr>
            <w:tcW w:w="720" w:type="dxa"/>
            <w:vAlign w:val="bottom"/>
          </w:tcPr>
          <w:p>
            <w:pPr>
              <w:spacing w:after="0"/>
              <w:rPr>
                <w:sz w:val="19"/>
                <w:szCs w:val="19"/>
                <w:color w:val="auto"/>
              </w:rPr>
            </w:pPr>
          </w:p>
        </w:tc>
        <w:tc>
          <w:tcPr>
            <w:tcW w:w="860" w:type="dxa"/>
            <w:vAlign w:val="bottom"/>
          </w:tcPr>
          <w:p>
            <w:pPr>
              <w:jc w:val="center"/>
              <w:ind w:right="99"/>
              <w:spacing w:after="0"/>
              <w:rPr>
                <w:sz w:val="20"/>
                <w:szCs w:val="20"/>
                <w:color w:val="auto"/>
              </w:rPr>
            </w:pPr>
            <w:r>
              <w:rPr>
                <w:rFonts w:ascii="Arial" w:cs="Arial" w:eastAsia="Arial" w:hAnsi="Arial"/>
                <w:sz w:val="16"/>
                <w:szCs w:val="16"/>
                <w:color w:val="auto"/>
                <w:w w:val="89"/>
              </w:rPr>
              <w:t>1,057</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6,350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7,407</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206</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11/30/2012</w:t>
            </w:r>
          </w:p>
        </w:tc>
        <w:tc>
          <w:tcPr>
            <w:tcW w:w="1780" w:type="dxa"/>
            <w:vAlign w:val="bottom"/>
            <w:shd w:val="clear" w:color="auto" w:fill="CCEEFF"/>
          </w:tcPr>
          <w:p>
            <w:pPr>
              <w:ind w:left="60"/>
              <w:spacing w:after="0"/>
              <w:rPr>
                <w:sz w:val="20"/>
                <w:szCs w:val="20"/>
                <w:color w:val="auto"/>
              </w:rPr>
            </w:pPr>
            <w:r>
              <w:rPr>
                <w:rFonts w:ascii="Arial" w:cs="Arial" w:eastAsia="Arial" w:hAnsi="Arial"/>
                <w:sz w:val="16"/>
                <w:szCs w:val="16"/>
                <w:color w:val="auto"/>
              </w:rPr>
              <w:t>Cherry Hill / Marlton</w:t>
            </w:r>
          </w:p>
        </w:tc>
        <w:tc>
          <w:tcPr>
            <w:tcW w:w="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NJ</w:t>
            </w: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89"/>
              </w:rPr>
              <w:t>2,323</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1,549</w:t>
            </w:r>
          </w:p>
        </w:tc>
        <w:tc>
          <w:tcPr>
            <w:tcW w:w="98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7"/>
              </w:rPr>
              <w:t>318</w:t>
            </w:r>
          </w:p>
        </w:tc>
        <w:tc>
          <w:tcPr>
            <w:tcW w:w="720" w:type="dxa"/>
            <w:vAlign w:val="bottom"/>
            <w:shd w:val="clear" w:color="auto" w:fill="CCEEFF"/>
          </w:tcPr>
          <w:p>
            <w:pPr>
              <w:spacing w:after="0"/>
              <w:rPr>
                <w:sz w:val="23"/>
                <w:szCs w:val="23"/>
                <w:color w:val="auto"/>
              </w:rPr>
            </w:pPr>
          </w:p>
        </w:tc>
        <w:tc>
          <w:tcPr>
            <w:tcW w:w="86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89"/>
              </w:rPr>
              <w:t>2,323</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1,867</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4,190</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245</w:t>
            </w:r>
          </w:p>
        </w:tc>
        <w:tc>
          <w:tcPr>
            <w:tcW w:w="0" w:type="dxa"/>
            <w:vAlign w:val="bottom"/>
          </w:tcPr>
          <w:p>
            <w:pPr>
              <w:spacing w:after="0"/>
              <w:rPr>
                <w:sz w:val="1"/>
                <w:szCs w:val="1"/>
                <w:color w:val="auto"/>
              </w:rPr>
            </w:pPr>
          </w:p>
        </w:tc>
      </w:tr>
      <w:tr>
        <w:trPr>
          <w:trHeight w:val="189"/>
        </w:trPr>
        <w:tc>
          <w:tcPr>
            <w:tcW w:w="920" w:type="dxa"/>
            <w:vAlign w:val="bottom"/>
            <w:shd w:val="clear" w:color="auto" w:fill="CCEEFF"/>
          </w:tcPr>
          <w:p>
            <w:pPr>
              <w:spacing w:after="0"/>
              <w:rPr>
                <w:sz w:val="16"/>
                <w:szCs w:val="16"/>
                <w:color w:val="auto"/>
              </w:rPr>
            </w:pPr>
          </w:p>
        </w:tc>
        <w:tc>
          <w:tcPr>
            <w:tcW w:w="1780" w:type="dxa"/>
            <w:vAlign w:val="bottom"/>
            <w:shd w:val="clear" w:color="auto" w:fill="CCEEFF"/>
          </w:tcPr>
          <w:p>
            <w:pPr>
              <w:ind w:left="60"/>
              <w:spacing w:after="0"/>
              <w:rPr>
                <w:sz w:val="20"/>
                <w:szCs w:val="20"/>
                <w:color w:val="auto"/>
              </w:rPr>
            </w:pPr>
            <w:r>
              <w:rPr>
                <w:rFonts w:ascii="Arial" w:cs="Arial" w:eastAsia="Arial" w:hAnsi="Arial"/>
                <w:sz w:val="16"/>
                <w:szCs w:val="16"/>
                <w:color w:val="auto"/>
              </w:rPr>
              <w:t>Pike</w:t>
            </w: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920" w:type="dxa"/>
            <w:vAlign w:val="bottom"/>
            <w:vMerge w:val="restart"/>
          </w:tcPr>
          <w:p>
            <w:pPr>
              <w:jc w:val="center"/>
              <w:spacing w:after="0"/>
              <w:rPr>
                <w:sz w:val="20"/>
                <w:szCs w:val="20"/>
                <w:color w:val="auto"/>
              </w:rPr>
            </w:pPr>
            <w:r>
              <w:rPr>
                <w:rFonts w:ascii="Arial" w:cs="Arial" w:eastAsia="Arial" w:hAnsi="Arial"/>
                <w:sz w:val="16"/>
                <w:szCs w:val="16"/>
                <w:color w:val="auto"/>
                <w:w w:val="89"/>
              </w:rPr>
              <w:t>9/16/2016</w:t>
            </w:r>
          </w:p>
        </w:tc>
        <w:tc>
          <w:tcPr>
            <w:tcW w:w="1780" w:type="dxa"/>
            <w:vAlign w:val="bottom"/>
          </w:tcPr>
          <w:p>
            <w:pPr>
              <w:ind w:left="60"/>
              <w:spacing w:after="0"/>
              <w:rPr>
                <w:sz w:val="20"/>
                <w:szCs w:val="20"/>
                <w:color w:val="auto"/>
              </w:rPr>
            </w:pPr>
            <w:r>
              <w:rPr>
                <w:rFonts w:ascii="Arial" w:cs="Arial" w:eastAsia="Arial" w:hAnsi="Arial"/>
                <w:sz w:val="16"/>
                <w:szCs w:val="16"/>
                <w:color w:val="auto"/>
              </w:rPr>
              <w:t>Cherry Hill / Old</w:t>
            </w:r>
          </w:p>
        </w:tc>
        <w:tc>
          <w:tcPr>
            <w:tcW w:w="460" w:type="dxa"/>
            <w:vAlign w:val="bottom"/>
            <w:vMerge w:val="restart"/>
          </w:tcPr>
          <w:p>
            <w:pPr>
              <w:ind w:left="140"/>
              <w:spacing w:after="0"/>
              <w:rPr>
                <w:sz w:val="20"/>
                <w:szCs w:val="20"/>
                <w:color w:val="auto"/>
              </w:rPr>
            </w:pPr>
            <w:r>
              <w:rPr>
                <w:rFonts w:ascii="Arial" w:cs="Arial" w:eastAsia="Arial" w:hAnsi="Arial"/>
                <w:sz w:val="16"/>
                <w:szCs w:val="16"/>
                <w:color w:val="auto"/>
              </w:rPr>
              <w:t>NJ</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vMerge w:val="restart"/>
          </w:tcPr>
          <w:p>
            <w:pPr>
              <w:jc w:val="center"/>
              <w:ind w:right="59"/>
              <w:spacing w:after="0"/>
              <w:rPr>
                <w:sz w:val="20"/>
                <w:szCs w:val="20"/>
                <w:color w:val="auto"/>
              </w:rPr>
            </w:pPr>
            <w:r>
              <w:rPr>
                <w:rFonts w:ascii="Arial" w:cs="Arial" w:eastAsia="Arial" w:hAnsi="Arial"/>
                <w:sz w:val="16"/>
                <w:szCs w:val="16"/>
                <w:color w:val="auto"/>
                <w:w w:val="89"/>
              </w:rPr>
              <w:t>1,295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89"/>
              </w:rPr>
              <w:t>4,125</w:t>
            </w:r>
          </w:p>
        </w:tc>
        <w:tc>
          <w:tcPr>
            <w:tcW w:w="980" w:type="dxa"/>
            <w:vAlign w:val="bottom"/>
            <w:vMerge w:val="restart"/>
          </w:tcPr>
          <w:p>
            <w:pPr>
              <w:jc w:val="center"/>
              <w:ind w:left="19"/>
              <w:spacing w:after="0"/>
              <w:rPr>
                <w:sz w:val="20"/>
                <w:szCs w:val="20"/>
                <w:color w:val="auto"/>
              </w:rPr>
            </w:pPr>
            <w:r>
              <w:rPr>
                <w:rFonts w:ascii="Arial" w:cs="Arial" w:eastAsia="Arial" w:hAnsi="Arial"/>
                <w:sz w:val="16"/>
                <w:szCs w:val="16"/>
                <w:color w:val="auto"/>
                <w:w w:val="89"/>
              </w:rPr>
              <w:t>8</w:t>
            </w:r>
          </w:p>
        </w:tc>
        <w:tc>
          <w:tcPr>
            <w:tcW w:w="720" w:type="dxa"/>
            <w:vAlign w:val="bottom"/>
          </w:tcPr>
          <w:p>
            <w:pPr>
              <w:spacing w:after="0"/>
              <w:rPr>
                <w:sz w:val="19"/>
                <w:szCs w:val="19"/>
                <w:color w:val="auto"/>
              </w:rPr>
            </w:pPr>
          </w:p>
        </w:tc>
        <w:tc>
          <w:tcPr>
            <w:tcW w:w="860" w:type="dxa"/>
            <w:vAlign w:val="bottom"/>
            <w:vMerge w:val="restart"/>
          </w:tcPr>
          <w:p>
            <w:pPr>
              <w:jc w:val="center"/>
              <w:ind w:right="99"/>
              <w:spacing w:after="0"/>
              <w:rPr>
                <w:sz w:val="20"/>
                <w:szCs w:val="20"/>
                <w:color w:val="auto"/>
              </w:rPr>
            </w:pPr>
            <w:r>
              <w:rPr>
                <w:rFonts w:ascii="Arial" w:cs="Arial" w:eastAsia="Arial" w:hAnsi="Arial"/>
                <w:sz w:val="16"/>
                <w:szCs w:val="16"/>
                <w:color w:val="auto"/>
                <w:w w:val="89"/>
              </w:rPr>
              <w:t>1,295</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4"/>
              </w:rPr>
              <w:t>4,133</w:t>
            </w:r>
          </w:p>
        </w:tc>
        <w:tc>
          <w:tcPr>
            <w:tcW w:w="1000" w:type="dxa"/>
            <w:vAlign w:val="bottom"/>
            <w:vMerge w:val="restart"/>
          </w:tcPr>
          <w:p>
            <w:pPr>
              <w:jc w:val="center"/>
              <w:spacing w:after="0"/>
              <w:rPr>
                <w:sz w:val="20"/>
                <w:szCs w:val="20"/>
                <w:color w:val="auto"/>
              </w:rPr>
            </w:pPr>
            <w:r>
              <w:rPr>
                <w:rFonts w:ascii="Arial" w:cs="Arial" w:eastAsia="Arial" w:hAnsi="Arial"/>
                <w:sz w:val="16"/>
                <w:szCs w:val="16"/>
                <w:color w:val="auto"/>
                <w:w w:val="89"/>
              </w:rPr>
              <w:t>5,428</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89"/>
              </w:rPr>
              <w:t>35</w:t>
            </w:r>
          </w:p>
        </w:tc>
        <w:tc>
          <w:tcPr>
            <w:tcW w:w="0" w:type="dxa"/>
            <w:vAlign w:val="bottom"/>
          </w:tcPr>
          <w:p>
            <w:pPr>
              <w:spacing w:after="0"/>
              <w:rPr>
                <w:sz w:val="1"/>
                <w:szCs w:val="1"/>
                <w:color w:val="auto"/>
              </w:rPr>
            </w:pPr>
          </w:p>
        </w:tc>
      </w:tr>
      <w:tr>
        <w:trPr>
          <w:trHeight w:val="98"/>
        </w:trPr>
        <w:tc>
          <w:tcPr>
            <w:tcW w:w="920" w:type="dxa"/>
            <w:vAlign w:val="bottom"/>
            <w:vMerge w:val="continue"/>
          </w:tcPr>
          <w:p>
            <w:pPr>
              <w:spacing w:after="0"/>
              <w:rPr>
                <w:sz w:val="8"/>
                <w:szCs w:val="8"/>
                <w:color w:val="auto"/>
              </w:rPr>
            </w:pPr>
          </w:p>
        </w:tc>
        <w:tc>
          <w:tcPr>
            <w:tcW w:w="1780" w:type="dxa"/>
            <w:vAlign w:val="bottom"/>
            <w:vMerge w:val="restart"/>
          </w:tcPr>
          <w:p>
            <w:pPr>
              <w:ind w:left="60"/>
              <w:spacing w:after="0"/>
              <w:rPr>
                <w:sz w:val="20"/>
                <w:szCs w:val="20"/>
                <w:color w:val="auto"/>
              </w:rPr>
            </w:pPr>
            <w:r>
              <w:rPr>
                <w:rFonts w:ascii="Arial" w:cs="Arial" w:eastAsia="Arial" w:hAnsi="Arial"/>
                <w:sz w:val="16"/>
                <w:szCs w:val="16"/>
                <w:color w:val="auto"/>
              </w:rPr>
              <w:t>Cuthbert Rd</w:t>
            </w:r>
          </w:p>
        </w:tc>
        <w:tc>
          <w:tcPr>
            <w:tcW w:w="4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178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12/18/2014</w:t>
            </w:r>
          </w:p>
        </w:tc>
        <w:tc>
          <w:tcPr>
            <w:tcW w:w="1780" w:type="dxa"/>
            <w:vAlign w:val="bottom"/>
            <w:shd w:val="clear" w:color="auto" w:fill="CCEEFF"/>
          </w:tcPr>
          <w:p>
            <w:pPr>
              <w:ind w:left="60"/>
              <w:spacing w:after="0"/>
              <w:rPr>
                <w:sz w:val="20"/>
                <w:szCs w:val="20"/>
                <w:color w:val="auto"/>
              </w:rPr>
            </w:pPr>
            <w:r>
              <w:rPr>
                <w:rFonts w:ascii="Arial" w:cs="Arial" w:eastAsia="Arial" w:hAnsi="Arial"/>
                <w:sz w:val="16"/>
                <w:szCs w:val="16"/>
                <w:color w:val="auto"/>
              </w:rPr>
              <w:t>Cherry Hill / Rockhill</w:t>
            </w:r>
          </w:p>
        </w:tc>
        <w:tc>
          <w:tcPr>
            <w:tcW w:w="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NJ</w:t>
            </w: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1,960</w:t>
            </w:r>
          </w:p>
        </w:tc>
        <w:tc>
          <w:tcPr>
            <w:tcW w:w="90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89"/>
              </w:rPr>
              <w:t>536</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3,407</w:t>
            </w:r>
          </w:p>
        </w:tc>
        <w:tc>
          <w:tcPr>
            <w:tcW w:w="98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rPr>
              <w:t>58</w:t>
            </w:r>
          </w:p>
        </w:tc>
        <w:tc>
          <w:tcPr>
            <w:tcW w:w="720" w:type="dxa"/>
            <w:vAlign w:val="bottom"/>
            <w:shd w:val="clear" w:color="auto" w:fill="CCEEFF"/>
          </w:tcPr>
          <w:p>
            <w:pPr>
              <w:spacing w:after="0"/>
              <w:rPr>
                <w:sz w:val="23"/>
                <w:szCs w:val="23"/>
                <w:color w:val="auto"/>
              </w:rPr>
            </w:pPr>
          </w:p>
        </w:tc>
        <w:tc>
          <w:tcPr>
            <w:tcW w:w="86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89"/>
              </w:rPr>
              <w:t>536</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3,465</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4,001</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190</w:t>
            </w:r>
          </w:p>
        </w:tc>
        <w:tc>
          <w:tcPr>
            <w:tcW w:w="0" w:type="dxa"/>
            <w:vAlign w:val="bottom"/>
          </w:tcPr>
          <w:p>
            <w:pPr>
              <w:spacing w:after="0"/>
              <w:rPr>
                <w:sz w:val="1"/>
                <w:szCs w:val="1"/>
                <w:color w:val="auto"/>
              </w:rPr>
            </w:pPr>
          </w:p>
        </w:tc>
      </w:tr>
      <w:tr>
        <w:trPr>
          <w:trHeight w:val="189"/>
        </w:trPr>
        <w:tc>
          <w:tcPr>
            <w:tcW w:w="920" w:type="dxa"/>
            <w:vAlign w:val="bottom"/>
            <w:shd w:val="clear" w:color="auto" w:fill="CCEEFF"/>
          </w:tcPr>
          <w:p>
            <w:pPr>
              <w:spacing w:after="0"/>
              <w:rPr>
                <w:sz w:val="16"/>
                <w:szCs w:val="16"/>
                <w:color w:val="auto"/>
              </w:rPr>
            </w:pPr>
          </w:p>
        </w:tc>
        <w:tc>
          <w:tcPr>
            <w:tcW w:w="1780" w:type="dxa"/>
            <w:vAlign w:val="bottom"/>
            <w:shd w:val="clear" w:color="auto" w:fill="CCEEFF"/>
          </w:tcPr>
          <w:p>
            <w:pPr>
              <w:ind w:left="60"/>
              <w:spacing w:after="0"/>
              <w:rPr>
                <w:sz w:val="20"/>
                <w:szCs w:val="20"/>
                <w:color w:val="auto"/>
              </w:rPr>
            </w:pPr>
            <w:r>
              <w:rPr>
                <w:rFonts w:ascii="Arial" w:cs="Arial" w:eastAsia="Arial" w:hAnsi="Arial"/>
                <w:sz w:val="16"/>
                <w:szCs w:val="16"/>
                <w:color w:val="auto"/>
              </w:rPr>
              <w:t>Rd</w:t>
            </w: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11/30/2012</w:t>
            </w:r>
          </w:p>
        </w:tc>
        <w:tc>
          <w:tcPr>
            <w:tcW w:w="1780" w:type="dxa"/>
            <w:vAlign w:val="bottom"/>
          </w:tcPr>
          <w:p>
            <w:pPr>
              <w:ind w:left="60"/>
              <w:spacing w:after="0"/>
              <w:rPr>
                <w:sz w:val="20"/>
                <w:szCs w:val="20"/>
                <w:color w:val="auto"/>
              </w:rPr>
            </w:pPr>
            <w:r>
              <w:rPr>
                <w:rFonts w:ascii="Arial" w:cs="Arial" w:eastAsia="Arial" w:hAnsi="Arial"/>
                <w:sz w:val="16"/>
                <w:szCs w:val="16"/>
                <w:color w:val="auto"/>
              </w:rPr>
              <w:t>Cranbury</w:t>
            </w:r>
          </w:p>
        </w:tc>
        <w:tc>
          <w:tcPr>
            <w:tcW w:w="460" w:type="dxa"/>
            <w:vAlign w:val="bottom"/>
          </w:tcPr>
          <w:p>
            <w:pPr>
              <w:ind w:left="140"/>
              <w:spacing w:after="0"/>
              <w:rPr>
                <w:sz w:val="20"/>
                <w:szCs w:val="20"/>
                <w:color w:val="auto"/>
              </w:rPr>
            </w:pPr>
            <w:r>
              <w:rPr>
                <w:rFonts w:ascii="Arial" w:cs="Arial" w:eastAsia="Arial" w:hAnsi="Arial"/>
                <w:sz w:val="16"/>
                <w:szCs w:val="16"/>
                <w:color w:val="auto"/>
              </w:rPr>
              <w:t>NJ</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6,910</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3,543</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5,095</w:t>
            </w:r>
          </w:p>
        </w:tc>
        <w:tc>
          <w:tcPr>
            <w:tcW w:w="980" w:type="dxa"/>
            <w:vAlign w:val="bottom"/>
          </w:tcPr>
          <w:p>
            <w:pPr>
              <w:jc w:val="center"/>
              <w:ind w:left="39"/>
              <w:spacing w:after="0"/>
              <w:rPr>
                <w:sz w:val="20"/>
                <w:szCs w:val="20"/>
                <w:color w:val="auto"/>
              </w:rPr>
            </w:pPr>
            <w:r>
              <w:rPr>
                <w:rFonts w:ascii="Arial" w:cs="Arial" w:eastAsia="Arial" w:hAnsi="Arial"/>
                <w:sz w:val="16"/>
                <w:szCs w:val="16"/>
                <w:color w:val="auto"/>
                <w:w w:val="94"/>
              </w:rPr>
              <w:t>1,196</w:t>
            </w:r>
          </w:p>
        </w:tc>
        <w:tc>
          <w:tcPr>
            <w:tcW w:w="720" w:type="dxa"/>
            <w:vAlign w:val="bottom"/>
          </w:tcPr>
          <w:p>
            <w:pPr>
              <w:spacing w:after="0"/>
              <w:rPr>
                <w:sz w:val="19"/>
                <w:szCs w:val="19"/>
                <w:color w:val="auto"/>
              </w:rPr>
            </w:pPr>
          </w:p>
        </w:tc>
        <w:tc>
          <w:tcPr>
            <w:tcW w:w="860" w:type="dxa"/>
            <w:vAlign w:val="bottom"/>
          </w:tcPr>
          <w:p>
            <w:pPr>
              <w:jc w:val="center"/>
              <w:ind w:right="99"/>
              <w:spacing w:after="0"/>
              <w:rPr>
                <w:sz w:val="20"/>
                <w:szCs w:val="20"/>
                <w:color w:val="auto"/>
              </w:rPr>
            </w:pPr>
            <w:r>
              <w:rPr>
                <w:rFonts w:ascii="Arial" w:cs="Arial" w:eastAsia="Arial" w:hAnsi="Arial"/>
                <w:sz w:val="16"/>
                <w:szCs w:val="16"/>
                <w:color w:val="auto"/>
                <w:w w:val="89"/>
              </w:rPr>
              <w:t>3,543</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6,291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9,834</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693</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12/18/2014</w:t>
            </w:r>
          </w:p>
        </w:tc>
        <w:tc>
          <w:tcPr>
            <w:tcW w:w="1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Denville</w:t>
            </w:r>
          </w:p>
        </w:tc>
        <w:tc>
          <w:tcPr>
            <w:tcW w:w="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NJ</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8,802</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584</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14,398</w:t>
            </w:r>
          </w:p>
        </w:tc>
        <w:tc>
          <w:tcPr>
            <w:tcW w:w="9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7"/>
              </w:rPr>
              <w:t>120</w:t>
            </w:r>
          </w:p>
        </w:tc>
        <w:tc>
          <w:tcPr>
            <w:tcW w:w="7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584</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14,518</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15,102</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767</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12/31/2001</w:t>
            </w:r>
          </w:p>
        </w:tc>
        <w:tc>
          <w:tcPr>
            <w:tcW w:w="1780" w:type="dxa"/>
            <w:vAlign w:val="bottom"/>
          </w:tcPr>
          <w:p>
            <w:pPr>
              <w:ind w:left="60"/>
              <w:spacing w:after="0"/>
              <w:rPr>
                <w:sz w:val="20"/>
                <w:szCs w:val="20"/>
                <w:color w:val="auto"/>
              </w:rPr>
            </w:pPr>
            <w:r>
              <w:rPr>
                <w:rFonts w:ascii="Arial" w:cs="Arial" w:eastAsia="Arial" w:hAnsi="Arial"/>
                <w:sz w:val="16"/>
                <w:szCs w:val="16"/>
                <w:color w:val="auto"/>
              </w:rPr>
              <w:t>Edison</w:t>
            </w:r>
          </w:p>
        </w:tc>
        <w:tc>
          <w:tcPr>
            <w:tcW w:w="460" w:type="dxa"/>
            <w:vAlign w:val="bottom"/>
          </w:tcPr>
          <w:p>
            <w:pPr>
              <w:ind w:left="140"/>
              <w:spacing w:after="0"/>
              <w:rPr>
                <w:sz w:val="20"/>
                <w:szCs w:val="20"/>
                <w:color w:val="auto"/>
              </w:rPr>
            </w:pPr>
            <w:r>
              <w:rPr>
                <w:rFonts w:ascii="Arial" w:cs="Arial" w:eastAsia="Arial" w:hAnsi="Arial"/>
                <w:sz w:val="16"/>
                <w:szCs w:val="16"/>
                <w:color w:val="auto"/>
              </w:rPr>
              <w:t>NJ</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8,591</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2,519</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8,547</w:t>
            </w:r>
          </w:p>
        </w:tc>
        <w:tc>
          <w:tcPr>
            <w:tcW w:w="980" w:type="dxa"/>
            <w:vAlign w:val="bottom"/>
          </w:tcPr>
          <w:p>
            <w:pPr>
              <w:jc w:val="center"/>
              <w:ind w:left="39"/>
              <w:spacing w:after="0"/>
              <w:rPr>
                <w:sz w:val="20"/>
                <w:szCs w:val="20"/>
                <w:color w:val="auto"/>
              </w:rPr>
            </w:pPr>
            <w:r>
              <w:rPr>
                <w:rFonts w:ascii="Arial" w:cs="Arial" w:eastAsia="Arial" w:hAnsi="Arial"/>
                <w:sz w:val="16"/>
                <w:szCs w:val="16"/>
                <w:color w:val="auto"/>
                <w:w w:val="94"/>
              </w:rPr>
              <w:t>1,788</w:t>
            </w:r>
          </w:p>
        </w:tc>
        <w:tc>
          <w:tcPr>
            <w:tcW w:w="720" w:type="dxa"/>
            <w:vAlign w:val="bottom"/>
          </w:tcPr>
          <w:p>
            <w:pPr>
              <w:spacing w:after="0"/>
              <w:rPr>
                <w:sz w:val="19"/>
                <w:szCs w:val="19"/>
                <w:color w:val="auto"/>
              </w:rPr>
            </w:pPr>
          </w:p>
        </w:tc>
        <w:tc>
          <w:tcPr>
            <w:tcW w:w="860" w:type="dxa"/>
            <w:vAlign w:val="bottom"/>
          </w:tcPr>
          <w:p>
            <w:pPr>
              <w:jc w:val="center"/>
              <w:ind w:right="99"/>
              <w:spacing w:after="0"/>
              <w:rPr>
                <w:sz w:val="20"/>
                <w:szCs w:val="20"/>
                <w:color w:val="auto"/>
              </w:rPr>
            </w:pPr>
            <w:r>
              <w:rPr>
                <w:rFonts w:ascii="Arial" w:cs="Arial" w:eastAsia="Arial" w:hAnsi="Arial"/>
                <w:sz w:val="16"/>
                <w:szCs w:val="16"/>
                <w:color w:val="auto"/>
                <w:w w:val="89"/>
              </w:rPr>
              <w:t>2,518</w:t>
            </w: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10,336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12,854</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3,867</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12/31/2001</w:t>
            </w:r>
          </w:p>
        </w:tc>
        <w:tc>
          <w:tcPr>
            <w:tcW w:w="1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Egg Harbor Township</w:t>
            </w:r>
          </w:p>
        </w:tc>
        <w:tc>
          <w:tcPr>
            <w:tcW w:w="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NJ</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3,868</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1,724</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5,001</w:t>
            </w:r>
          </w:p>
        </w:tc>
        <w:tc>
          <w:tcPr>
            <w:tcW w:w="9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4"/>
              </w:rPr>
              <w:t>1,631</w:t>
            </w:r>
          </w:p>
        </w:tc>
        <w:tc>
          <w:tcPr>
            <w:tcW w:w="7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1,724</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6,632</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8,356</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2,482</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3/15/2007</w:t>
            </w:r>
          </w:p>
        </w:tc>
        <w:tc>
          <w:tcPr>
            <w:tcW w:w="1780" w:type="dxa"/>
            <w:vAlign w:val="bottom"/>
          </w:tcPr>
          <w:p>
            <w:pPr>
              <w:ind w:left="60"/>
              <w:spacing w:after="0"/>
              <w:rPr>
                <w:sz w:val="20"/>
                <w:szCs w:val="20"/>
                <w:color w:val="auto"/>
              </w:rPr>
            </w:pPr>
            <w:r>
              <w:rPr>
                <w:rFonts w:ascii="Arial" w:cs="Arial" w:eastAsia="Arial" w:hAnsi="Arial"/>
                <w:sz w:val="16"/>
                <w:szCs w:val="16"/>
                <w:color w:val="auto"/>
              </w:rPr>
              <w:t>Ewing</w:t>
            </w:r>
          </w:p>
        </w:tc>
        <w:tc>
          <w:tcPr>
            <w:tcW w:w="460" w:type="dxa"/>
            <w:vAlign w:val="bottom"/>
          </w:tcPr>
          <w:p>
            <w:pPr>
              <w:ind w:left="140"/>
              <w:spacing w:after="0"/>
              <w:rPr>
                <w:sz w:val="20"/>
                <w:szCs w:val="20"/>
                <w:color w:val="auto"/>
              </w:rPr>
            </w:pPr>
            <w:r>
              <w:rPr>
                <w:rFonts w:ascii="Arial" w:cs="Arial" w:eastAsia="Arial" w:hAnsi="Arial"/>
                <w:sz w:val="16"/>
                <w:szCs w:val="16"/>
                <w:color w:val="auto"/>
              </w:rPr>
              <w:t>NJ</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1,552</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4,720</w:t>
            </w:r>
          </w:p>
        </w:tc>
        <w:tc>
          <w:tcPr>
            <w:tcW w:w="980" w:type="dxa"/>
            <w:vAlign w:val="bottom"/>
          </w:tcPr>
          <w:p>
            <w:pPr>
              <w:jc w:val="center"/>
              <w:ind w:left="39"/>
              <w:spacing w:after="0"/>
              <w:rPr>
                <w:sz w:val="20"/>
                <w:szCs w:val="20"/>
                <w:color w:val="auto"/>
              </w:rPr>
            </w:pPr>
            <w:r>
              <w:rPr>
                <w:rFonts w:ascii="Arial" w:cs="Arial" w:eastAsia="Arial" w:hAnsi="Arial"/>
                <w:sz w:val="16"/>
                <w:szCs w:val="16"/>
                <w:color w:val="auto"/>
                <w:w w:val="91"/>
              </w:rPr>
              <w:t>(42)</w:t>
            </w:r>
          </w:p>
        </w:tc>
        <w:tc>
          <w:tcPr>
            <w:tcW w:w="720" w:type="dxa"/>
            <w:vAlign w:val="bottom"/>
          </w:tcPr>
          <w:p>
            <w:pPr>
              <w:ind w:left="240"/>
              <w:spacing w:after="0"/>
              <w:rPr>
                <w:sz w:val="20"/>
                <w:szCs w:val="20"/>
                <w:color w:val="auto"/>
              </w:rPr>
            </w:pPr>
            <w:r>
              <w:rPr>
                <w:rFonts w:ascii="Arial" w:cs="Arial" w:eastAsia="Arial" w:hAnsi="Arial"/>
                <w:sz w:val="16"/>
                <w:szCs w:val="16"/>
                <w:color w:val="auto"/>
              </w:rPr>
              <w:t>(c, d)</w:t>
            </w:r>
          </w:p>
        </w:tc>
        <w:tc>
          <w:tcPr>
            <w:tcW w:w="860" w:type="dxa"/>
            <w:vAlign w:val="bottom"/>
          </w:tcPr>
          <w:p>
            <w:pPr>
              <w:jc w:val="center"/>
              <w:ind w:right="99"/>
              <w:spacing w:after="0"/>
              <w:rPr>
                <w:sz w:val="20"/>
                <w:szCs w:val="20"/>
                <w:color w:val="auto"/>
              </w:rPr>
            </w:pPr>
            <w:r>
              <w:rPr>
                <w:rFonts w:ascii="Arial" w:cs="Arial" w:eastAsia="Arial" w:hAnsi="Arial"/>
                <w:sz w:val="16"/>
                <w:szCs w:val="16"/>
                <w:color w:val="auto"/>
                <w:w w:val="89"/>
              </w:rPr>
              <w:t>1,562</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4,668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6,230</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1,274</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7/18/2012</w:t>
            </w:r>
          </w:p>
        </w:tc>
        <w:tc>
          <w:tcPr>
            <w:tcW w:w="1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Fairfield</w:t>
            </w:r>
          </w:p>
        </w:tc>
        <w:tc>
          <w:tcPr>
            <w:tcW w:w="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NJ</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5,919</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9,402</w:t>
            </w:r>
          </w:p>
        </w:tc>
        <w:tc>
          <w:tcPr>
            <w:tcW w:w="9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7"/>
              </w:rPr>
              <w:t>167</w:t>
            </w:r>
          </w:p>
        </w:tc>
        <w:tc>
          <w:tcPr>
            <w:tcW w:w="7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9,569</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9,569</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1,119</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11/30/2012</w:t>
            </w:r>
          </w:p>
        </w:tc>
        <w:tc>
          <w:tcPr>
            <w:tcW w:w="1780" w:type="dxa"/>
            <w:vAlign w:val="bottom"/>
          </w:tcPr>
          <w:p>
            <w:pPr>
              <w:ind w:left="60"/>
              <w:spacing w:after="0"/>
              <w:rPr>
                <w:sz w:val="20"/>
                <w:szCs w:val="20"/>
                <w:color w:val="auto"/>
              </w:rPr>
            </w:pPr>
            <w:r>
              <w:rPr>
                <w:rFonts w:ascii="Arial" w:cs="Arial" w:eastAsia="Arial" w:hAnsi="Arial"/>
                <w:sz w:val="16"/>
                <w:szCs w:val="16"/>
                <w:color w:val="auto"/>
              </w:rPr>
              <w:t>Fort Lee / Bergen Blvd</w:t>
            </w:r>
          </w:p>
        </w:tc>
        <w:tc>
          <w:tcPr>
            <w:tcW w:w="460" w:type="dxa"/>
            <w:vAlign w:val="bottom"/>
          </w:tcPr>
          <w:p>
            <w:pPr>
              <w:ind w:left="140"/>
              <w:spacing w:after="0"/>
              <w:rPr>
                <w:sz w:val="20"/>
                <w:szCs w:val="20"/>
                <w:color w:val="auto"/>
              </w:rPr>
            </w:pPr>
            <w:r>
              <w:rPr>
                <w:rFonts w:ascii="Arial" w:cs="Arial" w:eastAsia="Arial" w:hAnsi="Arial"/>
                <w:sz w:val="16"/>
                <w:szCs w:val="16"/>
                <w:color w:val="auto"/>
              </w:rPr>
              <w:t>NJ</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12,227</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4,402</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9,831</w:t>
            </w:r>
          </w:p>
        </w:tc>
        <w:tc>
          <w:tcPr>
            <w:tcW w:w="980" w:type="dxa"/>
            <w:vAlign w:val="bottom"/>
          </w:tcPr>
          <w:p>
            <w:pPr>
              <w:jc w:val="center"/>
              <w:ind w:left="39"/>
              <w:spacing w:after="0"/>
              <w:rPr>
                <w:sz w:val="20"/>
                <w:szCs w:val="20"/>
                <w:color w:val="auto"/>
              </w:rPr>
            </w:pPr>
            <w:r>
              <w:rPr>
                <w:rFonts w:ascii="Arial" w:cs="Arial" w:eastAsia="Arial" w:hAnsi="Arial"/>
                <w:sz w:val="16"/>
                <w:szCs w:val="16"/>
                <w:color w:val="auto"/>
                <w:w w:val="97"/>
              </w:rPr>
              <w:t>347</w:t>
            </w:r>
          </w:p>
        </w:tc>
        <w:tc>
          <w:tcPr>
            <w:tcW w:w="720" w:type="dxa"/>
            <w:vAlign w:val="bottom"/>
          </w:tcPr>
          <w:p>
            <w:pPr>
              <w:spacing w:after="0"/>
              <w:rPr>
                <w:sz w:val="19"/>
                <w:szCs w:val="19"/>
                <w:color w:val="auto"/>
              </w:rPr>
            </w:pPr>
          </w:p>
        </w:tc>
        <w:tc>
          <w:tcPr>
            <w:tcW w:w="860" w:type="dxa"/>
            <w:vAlign w:val="bottom"/>
          </w:tcPr>
          <w:p>
            <w:pPr>
              <w:jc w:val="center"/>
              <w:ind w:right="99"/>
              <w:spacing w:after="0"/>
              <w:rPr>
                <w:sz w:val="20"/>
                <w:szCs w:val="20"/>
                <w:color w:val="auto"/>
              </w:rPr>
            </w:pPr>
            <w:r>
              <w:rPr>
                <w:rFonts w:ascii="Arial" w:cs="Arial" w:eastAsia="Arial" w:hAnsi="Arial"/>
                <w:sz w:val="16"/>
                <w:szCs w:val="16"/>
                <w:color w:val="auto"/>
                <w:w w:val="89"/>
              </w:rPr>
              <w:t>4,402</w:t>
            </w: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10,178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14,580</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1,124</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10/1/2015</w:t>
            </w:r>
          </w:p>
        </w:tc>
        <w:tc>
          <w:tcPr>
            <w:tcW w:w="1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Fort Lee / Main St</w:t>
            </w:r>
          </w:p>
        </w:tc>
        <w:tc>
          <w:tcPr>
            <w:tcW w:w="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NJ</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2,280</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27,409</w:t>
            </w:r>
          </w:p>
        </w:tc>
        <w:tc>
          <w:tcPr>
            <w:tcW w:w="9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7"/>
              </w:rPr>
              <w:t>357</w:t>
            </w:r>
          </w:p>
        </w:tc>
        <w:tc>
          <w:tcPr>
            <w:tcW w:w="7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2,280</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27,766</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30,046</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899</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3/15/2001</w:t>
            </w:r>
          </w:p>
        </w:tc>
        <w:tc>
          <w:tcPr>
            <w:tcW w:w="1780" w:type="dxa"/>
            <w:vAlign w:val="bottom"/>
          </w:tcPr>
          <w:p>
            <w:pPr>
              <w:ind w:left="60"/>
              <w:spacing w:after="0"/>
              <w:rPr>
                <w:sz w:val="20"/>
                <w:szCs w:val="20"/>
                <w:color w:val="auto"/>
              </w:rPr>
            </w:pPr>
            <w:r>
              <w:rPr>
                <w:rFonts w:ascii="Arial" w:cs="Arial" w:eastAsia="Arial" w:hAnsi="Arial"/>
                <w:sz w:val="16"/>
                <w:szCs w:val="16"/>
                <w:color w:val="auto"/>
              </w:rPr>
              <w:t>Glen Rock</w:t>
            </w:r>
          </w:p>
        </w:tc>
        <w:tc>
          <w:tcPr>
            <w:tcW w:w="460" w:type="dxa"/>
            <w:vAlign w:val="bottom"/>
          </w:tcPr>
          <w:p>
            <w:pPr>
              <w:ind w:left="140"/>
              <w:spacing w:after="0"/>
              <w:rPr>
                <w:sz w:val="20"/>
                <w:szCs w:val="20"/>
                <w:color w:val="auto"/>
              </w:rPr>
            </w:pPr>
            <w:r>
              <w:rPr>
                <w:rFonts w:ascii="Arial" w:cs="Arial" w:eastAsia="Arial" w:hAnsi="Arial"/>
                <w:sz w:val="16"/>
                <w:szCs w:val="16"/>
                <w:color w:val="auto"/>
              </w:rPr>
              <w:t>NJ</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1,109</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2,401</w:t>
            </w:r>
          </w:p>
        </w:tc>
        <w:tc>
          <w:tcPr>
            <w:tcW w:w="980" w:type="dxa"/>
            <w:vAlign w:val="bottom"/>
          </w:tcPr>
          <w:p>
            <w:pPr>
              <w:jc w:val="center"/>
              <w:ind w:left="39"/>
              <w:spacing w:after="0"/>
              <w:rPr>
                <w:sz w:val="20"/>
                <w:szCs w:val="20"/>
                <w:color w:val="auto"/>
              </w:rPr>
            </w:pPr>
            <w:r>
              <w:rPr>
                <w:rFonts w:ascii="Arial" w:cs="Arial" w:eastAsia="Arial" w:hAnsi="Arial"/>
                <w:sz w:val="16"/>
                <w:szCs w:val="16"/>
                <w:color w:val="auto"/>
                <w:w w:val="97"/>
              </w:rPr>
              <w:t>576</w:t>
            </w:r>
          </w:p>
        </w:tc>
        <w:tc>
          <w:tcPr>
            <w:tcW w:w="720" w:type="dxa"/>
            <w:vAlign w:val="bottom"/>
          </w:tcPr>
          <w:p>
            <w:pPr>
              <w:spacing w:after="0"/>
              <w:rPr>
                <w:sz w:val="19"/>
                <w:szCs w:val="19"/>
                <w:color w:val="auto"/>
              </w:rPr>
            </w:pPr>
          </w:p>
        </w:tc>
        <w:tc>
          <w:tcPr>
            <w:tcW w:w="860" w:type="dxa"/>
            <w:vAlign w:val="bottom"/>
          </w:tcPr>
          <w:p>
            <w:pPr>
              <w:jc w:val="center"/>
              <w:ind w:right="99"/>
              <w:spacing w:after="0"/>
              <w:rPr>
                <w:sz w:val="20"/>
                <w:szCs w:val="20"/>
                <w:color w:val="auto"/>
              </w:rPr>
            </w:pPr>
            <w:r>
              <w:rPr>
                <w:rFonts w:ascii="Arial" w:cs="Arial" w:eastAsia="Arial" w:hAnsi="Arial"/>
                <w:sz w:val="16"/>
                <w:szCs w:val="16"/>
                <w:color w:val="auto"/>
                <w:w w:val="89"/>
              </w:rPr>
              <w:t>1,222</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2,864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4,086</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1,130</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12/18/2014</w:t>
            </w:r>
          </w:p>
        </w:tc>
        <w:tc>
          <w:tcPr>
            <w:tcW w:w="1780" w:type="dxa"/>
            <w:vAlign w:val="bottom"/>
            <w:shd w:val="clear" w:color="auto" w:fill="CCEEFF"/>
          </w:tcPr>
          <w:p>
            <w:pPr>
              <w:ind w:left="60"/>
              <w:spacing w:after="0"/>
              <w:rPr>
                <w:sz w:val="20"/>
                <w:szCs w:val="20"/>
                <w:color w:val="auto"/>
              </w:rPr>
            </w:pPr>
            <w:r>
              <w:rPr>
                <w:rFonts w:ascii="Arial" w:cs="Arial" w:eastAsia="Arial" w:hAnsi="Arial"/>
                <w:sz w:val="16"/>
                <w:szCs w:val="16"/>
                <w:color w:val="auto"/>
              </w:rPr>
              <w:t>Hackensack / Railroad</w:t>
            </w:r>
          </w:p>
        </w:tc>
        <w:tc>
          <w:tcPr>
            <w:tcW w:w="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NJ</w:t>
            </w: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7,476</w:t>
            </w:r>
          </w:p>
        </w:tc>
        <w:tc>
          <w:tcPr>
            <w:tcW w:w="90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89"/>
              </w:rPr>
              <w:t>2,053</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9,882</w:t>
            </w:r>
          </w:p>
        </w:tc>
        <w:tc>
          <w:tcPr>
            <w:tcW w:w="98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rPr>
              <w:t>99</w:t>
            </w:r>
          </w:p>
        </w:tc>
        <w:tc>
          <w:tcPr>
            <w:tcW w:w="720" w:type="dxa"/>
            <w:vAlign w:val="bottom"/>
            <w:shd w:val="clear" w:color="auto" w:fill="CCEEFF"/>
          </w:tcPr>
          <w:p>
            <w:pPr>
              <w:spacing w:after="0"/>
              <w:rPr>
                <w:sz w:val="23"/>
                <w:szCs w:val="23"/>
                <w:color w:val="auto"/>
              </w:rPr>
            </w:pPr>
          </w:p>
        </w:tc>
        <w:tc>
          <w:tcPr>
            <w:tcW w:w="86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89"/>
              </w:rPr>
              <w:t>2,053</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9,981</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12,034</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532</w:t>
            </w:r>
          </w:p>
        </w:tc>
        <w:tc>
          <w:tcPr>
            <w:tcW w:w="0" w:type="dxa"/>
            <w:vAlign w:val="bottom"/>
          </w:tcPr>
          <w:p>
            <w:pPr>
              <w:spacing w:after="0"/>
              <w:rPr>
                <w:sz w:val="1"/>
                <w:szCs w:val="1"/>
                <w:color w:val="auto"/>
              </w:rPr>
            </w:pPr>
          </w:p>
        </w:tc>
      </w:tr>
      <w:tr>
        <w:trPr>
          <w:trHeight w:val="189"/>
        </w:trPr>
        <w:tc>
          <w:tcPr>
            <w:tcW w:w="920" w:type="dxa"/>
            <w:vAlign w:val="bottom"/>
            <w:shd w:val="clear" w:color="auto" w:fill="CCEEFF"/>
          </w:tcPr>
          <w:p>
            <w:pPr>
              <w:spacing w:after="0"/>
              <w:rPr>
                <w:sz w:val="16"/>
                <w:szCs w:val="16"/>
                <w:color w:val="auto"/>
              </w:rPr>
            </w:pPr>
          </w:p>
        </w:tc>
        <w:tc>
          <w:tcPr>
            <w:tcW w:w="1780" w:type="dxa"/>
            <w:vAlign w:val="bottom"/>
            <w:shd w:val="clear" w:color="auto" w:fill="CCEEFF"/>
          </w:tcPr>
          <w:p>
            <w:pPr>
              <w:ind w:left="60"/>
              <w:spacing w:after="0"/>
              <w:rPr>
                <w:sz w:val="20"/>
                <w:szCs w:val="20"/>
                <w:color w:val="auto"/>
              </w:rPr>
            </w:pPr>
            <w:r>
              <w:rPr>
                <w:rFonts w:ascii="Arial" w:cs="Arial" w:eastAsia="Arial" w:hAnsi="Arial"/>
                <w:sz w:val="16"/>
                <w:szCs w:val="16"/>
                <w:color w:val="auto"/>
              </w:rPr>
              <w:t>Ave</w:t>
            </w: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920" w:type="dxa"/>
            <w:vAlign w:val="bottom"/>
            <w:vMerge w:val="restart"/>
          </w:tcPr>
          <w:p>
            <w:pPr>
              <w:jc w:val="center"/>
              <w:spacing w:after="0"/>
              <w:rPr>
                <w:sz w:val="20"/>
                <w:szCs w:val="20"/>
                <w:color w:val="auto"/>
              </w:rPr>
            </w:pPr>
            <w:r>
              <w:rPr>
                <w:rFonts w:ascii="Arial" w:cs="Arial" w:eastAsia="Arial" w:hAnsi="Arial"/>
                <w:sz w:val="16"/>
                <w:szCs w:val="16"/>
                <w:color w:val="auto"/>
                <w:w w:val="89"/>
              </w:rPr>
              <w:t>7/1/2005</w:t>
            </w:r>
          </w:p>
        </w:tc>
        <w:tc>
          <w:tcPr>
            <w:tcW w:w="1780" w:type="dxa"/>
            <w:vAlign w:val="bottom"/>
          </w:tcPr>
          <w:p>
            <w:pPr>
              <w:ind w:left="60"/>
              <w:spacing w:after="0"/>
              <w:rPr>
                <w:sz w:val="20"/>
                <w:szCs w:val="20"/>
                <w:color w:val="auto"/>
              </w:rPr>
            </w:pPr>
            <w:r>
              <w:rPr>
                <w:rFonts w:ascii="Arial" w:cs="Arial" w:eastAsia="Arial" w:hAnsi="Arial"/>
                <w:sz w:val="16"/>
                <w:szCs w:val="16"/>
                <w:color w:val="auto"/>
              </w:rPr>
              <w:t>Hackensack / South</w:t>
            </w:r>
          </w:p>
        </w:tc>
        <w:tc>
          <w:tcPr>
            <w:tcW w:w="460" w:type="dxa"/>
            <w:vAlign w:val="bottom"/>
            <w:vMerge w:val="restart"/>
          </w:tcPr>
          <w:p>
            <w:pPr>
              <w:ind w:left="140"/>
              <w:spacing w:after="0"/>
              <w:rPr>
                <w:sz w:val="20"/>
                <w:szCs w:val="20"/>
                <w:color w:val="auto"/>
              </w:rPr>
            </w:pPr>
            <w:r>
              <w:rPr>
                <w:rFonts w:ascii="Arial" w:cs="Arial" w:eastAsia="Arial" w:hAnsi="Arial"/>
                <w:sz w:val="16"/>
                <w:szCs w:val="16"/>
                <w:color w:val="auto"/>
              </w:rPr>
              <w:t>NJ</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vMerge w:val="restart"/>
          </w:tcPr>
          <w:p>
            <w:pPr>
              <w:jc w:val="center"/>
              <w:ind w:right="59"/>
              <w:spacing w:after="0"/>
              <w:rPr>
                <w:sz w:val="20"/>
                <w:szCs w:val="20"/>
                <w:color w:val="auto"/>
              </w:rPr>
            </w:pPr>
            <w:r>
              <w:rPr>
                <w:rFonts w:ascii="Arial" w:cs="Arial" w:eastAsia="Arial" w:hAnsi="Arial"/>
                <w:sz w:val="16"/>
                <w:szCs w:val="16"/>
                <w:color w:val="auto"/>
                <w:w w:val="89"/>
              </w:rPr>
              <w:t>2,283</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89"/>
              </w:rPr>
              <w:t>11,234</w:t>
            </w:r>
          </w:p>
        </w:tc>
        <w:tc>
          <w:tcPr>
            <w:tcW w:w="980" w:type="dxa"/>
            <w:vAlign w:val="bottom"/>
            <w:vMerge w:val="restart"/>
          </w:tcPr>
          <w:p>
            <w:pPr>
              <w:jc w:val="center"/>
              <w:ind w:left="39"/>
              <w:spacing w:after="0"/>
              <w:rPr>
                <w:sz w:val="20"/>
                <w:szCs w:val="20"/>
                <w:color w:val="auto"/>
              </w:rPr>
            </w:pPr>
            <w:r>
              <w:rPr>
                <w:rFonts w:ascii="Arial" w:cs="Arial" w:eastAsia="Arial" w:hAnsi="Arial"/>
                <w:sz w:val="16"/>
                <w:szCs w:val="16"/>
                <w:color w:val="auto"/>
                <w:w w:val="97"/>
              </w:rPr>
              <w:t>919</w:t>
            </w:r>
          </w:p>
        </w:tc>
        <w:tc>
          <w:tcPr>
            <w:tcW w:w="720" w:type="dxa"/>
            <w:vAlign w:val="bottom"/>
          </w:tcPr>
          <w:p>
            <w:pPr>
              <w:spacing w:after="0"/>
              <w:rPr>
                <w:sz w:val="19"/>
                <w:szCs w:val="19"/>
                <w:color w:val="auto"/>
              </w:rPr>
            </w:pPr>
          </w:p>
        </w:tc>
        <w:tc>
          <w:tcPr>
            <w:tcW w:w="860" w:type="dxa"/>
            <w:vAlign w:val="bottom"/>
            <w:vMerge w:val="restart"/>
          </w:tcPr>
          <w:p>
            <w:pPr>
              <w:jc w:val="center"/>
              <w:ind w:right="99"/>
              <w:spacing w:after="0"/>
              <w:rPr>
                <w:sz w:val="20"/>
                <w:szCs w:val="20"/>
                <w:color w:val="auto"/>
              </w:rPr>
            </w:pPr>
            <w:r>
              <w:rPr>
                <w:rFonts w:ascii="Arial" w:cs="Arial" w:eastAsia="Arial" w:hAnsi="Arial"/>
                <w:sz w:val="16"/>
                <w:szCs w:val="16"/>
                <w:color w:val="auto"/>
                <w:w w:val="89"/>
              </w:rPr>
              <w:t>2,283</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3"/>
              </w:rPr>
              <w:t>12,153</w:t>
            </w:r>
          </w:p>
        </w:tc>
        <w:tc>
          <w:tcPr>
            <w:tcW w:w="1000" w:type="dxa"/>
            <w:vAlign w:val="bottom"/>
            <w:vMerge w:val="restart"/>
          </w:tcPr>
          <w:p>
            <w:pPr>
              <w:jc w:val="center"/>
              <w:spacing w:after="0"/>
              <w:rPr>
                <w:sz w:val="20"/>
                <w:szCs w:val="20"/>
                <w:color w:val="auto"/>
              </w:rPr>
            </w:pPr>
            <w:r>
              <w:rPr>
                <w:rFonts w:ascii="Arial" w:cs="Arial" w:eastAsia="Arial" w:hAnsi="Arial"/>
                <w:sz w:val="16"/>
                <w:szCs w:val="16"/>
                <w:color w:val="auto"/>
                <w:w w:val="89"/>
              </w:rPr>
              <w:t>14,436</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89"/>
              </w:rPr>
              <w:t>3,994</w:t>
            </w:r>
          </w:p>
        </w:tc>
        <w:tc>
          <w:tcPr>
            <w:tcW w:w="0" w:type="dxa"/>
            <w:vAlign w:val="bottom"/>
          </w:tcPr>
          <w:p>
            <w:pPr>
              <w:spacing w:after="0"/>
              <w:rPr>
                <w:sz w:val="1"/>
                <w:szCs w:val="1"/>
                <w:color w:val="auto"/>
              </w:rPr>
            </w:pPr>
          </w:p>
        </w:tc>
      </w:tr>
      <w:tr>
        <w:trPr>
          <w:trHeight w:val="98"/>
        </w:trPr>
        <w:tc>
          <w:tcPr>
            <w:tcW w:w="920" w:type="dxa"/>
            <w:vAlign w:val="bottom"/>
            <w:vMerge w:val="continue"/>
          </w:tcPr>
          <w:p>
            <w:pPr>
              <w:spacing w:after="0"/>
              <w:rPr>
                <w:sz w:val="8"/>
                <w:szCs w:val="8"/>
                <w:color w:val="auto"/>
              </w:rPr>
            </w:pPr>
          </w:p>
        </w:tc>
        <w:tc>
          <w:tcPr>
            <w:tcW w:w="1780" w:type="dxa"/>
            <w:vAlign w:val="bottom"/>
            <w:vMerge w:val="restart"/>
          </w:tcPr>
          <w:p>
            <w:pPr>
              <w:ind w:left="60"/>
              <w:spacing w:after="0"/>
              <w:rPr>
                <w:sz w:val="20"/>
                <w:szCs w:val="20"/>
                <w:color w:val="auto"/>
              </w:rPr>
            </w:pPr>
            <w:r>
              <w:rPr>
                <w:rFonts w:ascii="Arial" w:cs="Arial" w:eastAsia="Arial" w:hAnsi="Arial"/>
                <w:sz w:val="16"/>
                <w:szCs w:val="16"/>
                <w:color w:val="auto"/>
              </w:rPr>
              <w:t>River St</w:t>
            </w:r>
          </w:p>
        </w:tc>
        <w:tc>
          <w:tcPr>
            <w:tcW w:w="4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178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8/23/2012</w:t>
            </w:r>
          </w:p>
        </w:tc>
        <w:tc>
          <w:tcPr>
            <w:tcW w:w="1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Hackettstown</w:t>
            </w:r>
          </w:p>
        </w:tc>
        <w:tc>
          <w:tcPr>
            <w:tcW w:w="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NJ</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5,799</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2,144</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6,660</w:t>
            </w:r>
          </w:p>
        </w:tc>
        <w:tc>
          <w:tcPr>
            <w:tcW w:w="9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7"/>
              </w:rPr>
              <w:t>176</w:t>
            </w:r>
          </w:p>
        </w:tc>
        <w:tc>
          <w:tcPr>
            <w:tcW w:w="7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2,144</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6,836</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8,980</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814</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7/2/2012</w:t>
            </w:r>
          </w:p>
        </w:tc>
        <w:tc>
          <w:tcPr>
            <w:tcW w:w="1780" w:type="dxa"/>
            <w:vAlign w:val="bottom"/>
          </w:tcPr>
          <w:p>
            <w:pPr>
              <w:ind w:left="60"/>
              <w:spacing w:after="0"/>
              <w:rPr>
                <w:sz w:val="20"/>
                <w:szCs w:val="20"/>
                <w:color w:val="auto"/>
              </w:rPr>
            </w:pPr>
            <w:r>
              <w:rPr>
                <w:rFonts w:ascii="Arial" w:cs="Arial" w:eastAsia="Arial" w:hAnsi="Arial"/>
                <w:sz w:val="16"/>
                <w:szCs w:val="16"/>
                <w:color w:val="auto"/>
              </w:rPr>
              <w:t>Harrison</w:t>
            </w:r>
          </w:p>
        </w:tc>
        <w:tc>
          <w:tcPr>
            <w:tcW w:w="460" w:type="dxa"/>
            <w:vAlign w:val="bottom"/>
          </w:tcPr>
          <w:p>
            <w:pPr>
              <w:ind w:left="140"/>
              <w:spacing w:after="0"/>
              <w:rPr>
                <w:sz w:val="20"/>
                <w:szCs w:val="20"/>
                <w:color w:val="auto"/>
              </w:rPr>
            </w:pPr>
            <w:r>
              <w:rPr>
                <w:rFonts w:ascii="Arial" w:cs="Arial" w:eastAsia="Arial" w:hAnsi="Arial"/>
                <w:sz w:val="16"/>
                <w:szCs w:val="16"/>
                <w:color w:val="auto"/>
              </w:rPr>
              <w:t>NJ</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3,465</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300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6,003</w:t>
            </w:r>
          </w:p>
        </w:tc>
        <w:tc>
          <w:tcPr>
            <w:tcW w:w="980" w:type="dxa"/>
            <w:vAlign w:val="bottom"/>
          </w:tcPr>
          <w:p>
            <w:pPr>
              <w:jc w:val="center"/>
              <w:ind w:left="39"/>
              <w:spacing w:after="0"/>
              <w:rPr>
                <w:sz w:val="20"/>
                <w:szCs w:val="20"/>
                <w:color w:val="auto"/>
              </w:rPr>
            </w:pPr>
            <w:r>
              <w:rPr>
                <w:rFonts w:ascii="Arial" w:cs="Arial" w:eastAsia="Arial" w:hAnsi="Arial"/>
                <w:sz w:val="16"/>
                <w:szCs w:val="16"/>
                <w:color w:val="auto"/>
                <w:w w:val="97"/>
              </w:rPr>
              <w:t>261</w:t>
            </w:r>
          </w:p>
        </w:tc>
        <w:tc>
          <w:tcPr>
            <w:tcW w:w="720" w:type="dxa"/>
            <w:vAlign w:val="bottom"/>
          </w:tcPr>
          <w:p>
            <w:pPr>
              <w:spacing w:after="0"/>
              <w:rPr>
                <w:sz w:val="19"/>
                <w:szCs w:val="19"/>
                <w:color w:val="auto"/>
              </w:rPr>
            </w:pPr>
          </w:p>
        </w:tc>
        <w:tc>
          <w:tcPr>
            <w:tcW w:w="860" w:type="dxa"/>
            <w:vAlign w:val="bottom"/>
          </w:tcPr>
          <w:p>
            <w:pPr>
              <w:jc w:val="center"/>
              <w:ind w:right="99"/>
              <w:spacing w:after="0"/>
              <w:rPr>
                <w:sz w:val="20"/>
                <w:szCs w:val="20"/>
                <w:color w:val="auto"/>
              </w:rPr>
            </w:pPr>
            <w:r>
              <w:rPr>
                <w:rFonts w:ascii="Arial" w:cs="Arial" w:eastAsia="Arial" w:hAnsi="Arial"/>
                <w:sz w:val="16"/>
                <w:szCs w:val="16"/>
                <w:color w:val="auto"/>
                <w:w w:val="89"/>
              </w:rPr>
              <w:t>300</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6,264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6,564</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754</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12/31/2001</w:t>
            </w:r>
          </w:p>
        </w:tc>
        <w:tc>
          <w:tcPr>
            <w:tcW w:w="1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Hazlet</w:t>
            </w:r>
          </w:p>
        </w:tc>
        <w:tc>
          <w:tcPr>
            <w:tcW w:w="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NJ</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7,454</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1,362</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10,262</w:t>
            </w:r>
          </w:p>
        </w:tc>
        <w:tc>
          <w:tcPr>
            <w:tcW w:w="9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4"/>
              </w:rPr>
              <w:t>1,796</w:t>
            </w:r>
          </w:p>
        </w:tc>
        <w:tc>
          <w:tcPr>
            <w:tcW w:w="7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1,362</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12,058</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13,420</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4,484</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9/16/2016</w:t>
            </w:r>
          </w:p>
        </w:tc>
        <w:tc>
          <w:tcPr>
            <w:tcW w:w="1780" w:type="dxa"/>
            <w:vAlign w:val="bottom"/>
          </w:tcPr>
          <w:p>
            <w:pPr>
              <w:ind w:left="60"/>
              <w:spacing w:after="0"/>
              <w:rPr>
                <w:sz w:val="20"/>
                <w:szCs w:val="20"/>
                <w:color w:val="auto"/>
              </w:rPr>
            </w:pPr>
            <w:r>
              <w:rPr>
                <w:rFonts w:ascii="Arial" w:cs="Arial" w:eastAsia="Arial" w:hAnsi="Arial"/>
                <w:sz w:val="16"/>
                <w:szCs w:val="16"/>
                <w:color w:val="auto"/>
              </w:rPr>
              <w:t>Ho Ho Kus</w:t>
            </w:r>
          </w:p>
        </w:tc>
        <w:tc>
          <w:tcPr>
            <w:tcW w:w="460" w:type="dxa"/>
            <w:vAlign w:val="bottom"/>
          </w:tcPr>
          <w:p>
            <w:pPr>
              <w:ind w:left="140"/>
              <w:spacing w:after="0"/>
              <w:rPr>
                <w:sz w:val="20"/>
                <w:szCs w:val="20"/>
                <w:color w:val="auto"/>
              </w:rPr>
            </w:pPr>
            <w:r>
              <w:rPr>
                <w:rFonts w:ascii="Arial" w:cs="Arial" w:eastAsia="Arial" w:hAnsi="Arial"/>
                <w:sz w:val="16"/>
                <w:szCs w:val="16"/>
                <w:color w:val="auto"/>
              </w:rPr>
              <w:t>NJ</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13,054</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31,770</w:t>
            </w:r>
          </w:p>
        </w:tc>
        <w:tc>
          <w:tcPr>
            <w:tcW w:w="980" w:type="dxa"/>
            <w:vAlign w:val="bottom"/>
          </w:tcPr>
          <w:p>
            <w:pPr>
              <w:jc w:val="center"/>
              <w:ind w:left="39"/>
              <w:spacing w:after="0"/>
              <w:rPr>
                <w:sz w:val="20"/>
                <w:szCs w:val="20"/>
                <w:color w:val="auto"/>
              </w:rPr>
            </w:pPr>
            <w:r>
              <w:rPr>
                <w:rFonts w:ascii="Arial" w:cs="Arial" w:eastAsia="Arial" w:hAnsi="Arial"/>
                <w:sz w:val="16"/>
                <w:szCs w:val="16"/>
                <w:color w:val="auto"/>
              </w:rPr>
              <w:t>39</w:t>
            </w:r>
          </w:p>
        </w:tc>
        <w:tc>
          <w:tcPr>
            <w:tcW w:w="720" w:type="dxa"/>
            <w:vAlign w:val="bottom"/>
          </w:tcPr>
          <w:p>
            <w:pPr>
              <w:spacing w:after="0"/>
              <w:rPr>
                <w:sz w:val="19"/>
                <w:szCs w:val="19"/>
                <w:color w:val="auto"/>
              </w:rPr>
            </w:pPr>
          </w:p>
        </w:tc>
        <w:tc>
          <w:tcPr>
            <w:tcW w:w="860" w:type="dxa"/>
            <w:vAlign w:val="bottom"/>
          </w:tcPr>
          <w:p>
            <w:pPr>
              <w:jc w:val="center"/>
              <w:ind w:right="99"/>
              <w:spacing w:after="0"/>
              <w:rPr>
                <w:sz w:val="20"/>
                <w:szCs w:val="20"/>
                <w:color w:val="auto"/>
              </w:rPr>
            </w:pPr>
            <w:r>
              <w:rPr>
                <w:rFonts w:ascii="Arial" w:cs="Arial" w:eastAsia="Arial" w:hAnsi="Arial"/>
                <w:sz w:val="16"/>
                <w:szCs w:val="16"/>
                <w:color w:val="auto"/>
                <w:w w:val="89"/>
              </w:rPr>
              <w:t>13,054</w:t>
            </w: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31,809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44,863</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274</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7/2/2002</w:t>
            </w:r>
          </w:p>
        </w:tc>
        <w:tc>
          <w:tcPr>
            <w:tcW w:w="1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Hoboken</w:t>
            </w:r>
          </w:p>
        </w:tc>
        <w:tc>
          <w:tcPr>
            <w:tcW w:w="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NJ</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17,029</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2,687</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6,092</w:t>
            </w:r>
          </w:p>
        </w:tc>
        <w:tc>
          <w:tcPr>
            <w:tcW w:w="9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7"/>
              </w:rPr>
              <w:t>340</w:t>
            </w:r>
          </w:p>
        </w:tc>
        <w:tc>
          <w:tcPr>
            <w:tcW w:w="7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2,687</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6,432</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9,119</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2,489</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12/31/2001</w:t>
            </w:r>
          </w:p>
        </w:tc>
        <w:tc>
          <w:tcPr>
            <w:tcW w:w="1780" w:type="dxa"/>
            <w:vAlign w:val="bottom"/>
          </w:tcPr>
          <w:p>
            <w:pPr>
              <w:ind w:left="60"/>
              <w:spacing w:after="0"/>
              <w:rPr>
                <w:sz w:val="20"/>
                <w:szCs w:val="20"/>
                <w:color w:val="auto"/>
              </w:rPr>
            </w:pPr>
            <w:r>
              <w:rPr>
                <w:rFonts w:ascii="Arial" w:cs="Arial" w:eastAsia="Arial" w:hAnsi="Arial"/>
                <w:sz w:val="16"/>
                <w:szCs w:val="16"/>
                <w:color w:val="auto"/>
              </w:rPr>
              <w:t>Howell</w:t>
            </w:r>
          </w:p>
        </w:tc>
        <w:tc>
          <w:tcPr>
            <w:tcW w:w="460" w:type="dxa"/>
            <w:vAlign w:val="bottom"/>
          </w:tcPr>
          <w:p>
            <w:pPr>
              <w:ind w:left="140"/>
              <w:spacing w:after="0"/>
              <w:rPr>
                <w:sz w:val="20"/>
                <w:szCs w:val="20"/>
                <w:color w:val="auto"/>
              </w:rPr>
            </w:pPr>
            <w:r>
              <w:rPr>
                <w:rFonts w:ascii="Arial" w:cs="Arial" w:eastAsia="Arial" w:hAnsi="Arial"/>
                <w:sz w:val="16"/>
                <w:szCs w:val="16"/>
                <w:color w:val="auto"/>
              </w:rPr>
              <w:t>NJ</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2,440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3,407</w:t>
            </w:r>
          </w:p>
        </w:tc>
        <w:tc>
          <w:tcPr>
            <w:tcW w:w="980" w:type="dxa"/>
            <w:vAlign w:val="bottom"/>
          </w:tcPr>
          <w:p>
            <w:pPr>
              <w:jc w:val="center"/>
              <w:ind w:left="39"/>
              <w:spacing w:after="0"/>
              <w:rPr>
                <w:sz w:val="20"/>
                <w:szCs w:val="20"/>
                <w:color w:val="auto"/>
              </w:rPr>
            </w:pPr>
            <w:r>
              <w:rPr>
                <w:rFonts w:ascii="Arial" w:cs="Arial" w:eastAsia="Arial" w:hAnsi="Arial"/>
                <w:sz w:val="16"/>
                <w:szCs w:val="16"/>
                <w:color w:val="auto"/>
                <w:w w:val="94"/>
              </w:rPr>
              <w:t>1,198</w:t>
            </w:r>
          </w:p>
        </w:tc>
        <w:tc>
          <w:tcPr>
            <w:tcW w:w="720" w:type="dxa"/>
            <w:vAlign w:val="bottom"/>
          </w:tcPr>
          <w:p>
            <w:pPr>
              <w:spacing w:after="0"/>
              <w:rPr>
                <w:sz w:val="19"/>
                <w:szCs w:val="19"/>
                <w:color w:val="auto"/>
              </w:rPr>
            </w:pPr>
          </w:p>
        </w:tc>
        <w:tc>
          <w:tcPr>
            <w:tcW w:w="860" w:type="dxa"/>
            <w:vAlign w:val="bottom"/>
          </w:tcPr>
          <w:p>
            <w:pPr>
              <w:jc w:val="center"/>
              <w:ind w:right="99"/>
              <w:spacing w:after="0"/>
              <w:rPr>
                <w:sz w:val="20"/>
                <w:szCs w:val="20"/>
                <w:color w:val="auto"/>
              </w:rPr>
            </w:pPr>
            <w:r>
              <w:rPr>
                <w:rFonts w:ascii="Arial" w:cs="Arial" w:eastAsia="Arial" w:hAnsi="Arial"/>
                <w:sz w:val="16"/>
                <w:szCs w:val="16"/>
                <w:color w:val="auto"/>
                <w:w w:val="89"/>
              </w:rPr>
              <w:t>2,440</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4,605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7,045</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1,683</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12/31/2001</w:t>
            </w:r>
          </w:p>
        </w:tc>
        <w:tc>
          <w:tcPr>
            <w:tcW w:w="1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Iselin</w:t>
            </w:r>
          </w:p>
        </w:tc>
        <w:tc>
          <w:tcPr>
            <w:tcW w:w="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NJ</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4,628</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505</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4,524</w:t>
            </w:r>
          </w:p>
        </w:tc>
        <w:tc>
          <w:tcPr>
            <w:tcW w:w="9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7"/>
              </w:rPr>
              <w:t>603</w:t>
            </w:r>
          </w:p>
        </w:tc>
        <w:tc>
          <w:tcPr>
            <w:tcW w:w="7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505</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5,127</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5,632</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2,203</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780" w:type="dxa"/>
            <w:vAlign w:val="bottom"/>
          </w:tcPr>
          <w:p>
            <w:pPr>
              <w:ind w:left="60"/>
              <w:spacing w:after="0"/>
              <w:rPr>
                <w:sz w:val="20"/>
                <w:szCs w:val="20"/>
                <w:color w:val="auto"/>
              </w:rPr>
            </w:pPr>
            <w:r>
              <w:rPr>
                <w:rFonts w:ascii="Arial" w:cs="Arial" w:eastAsia="Arial" w:hAnsi="Arial"/>
                <w:sz w:val="16"/>
                <w:szCs w:val="16"/>
                <w:color w:val="auto"/>
              </w:rPr>
              <w:t>Jersey City</w:t>
            </w:r>
          </w:p>
        </w:tc>
        <w:tc>
          <w:tcPr>
            <w:tcW w:w="460" w:type="dxa"/>
            <w:vAlign w:val="bottom"/>
          </w:tcPr>
          <w:p>
            <w:pPr>
              <w:ind w:left="140"/>
              <w:spacing w:after="0"/>
              <w:rPr>
                <w:sz w:val="20"/>
                <w:szCs w:val="20"/>
                <w:color w:val="auto"/>
              </w:rPr>
            </w:pPr>
            <w:r>
              <w:rPr>
                <w:rFonts w:ascii="Arial" w:cs="Arial" w:eastAsia="Arial" w:hAnsi="Arial"/>
                <w:sz w:val="16"/>
                <w:szCs w:val="16"/>
                <w:color w:val="auto"/>
              </w:rPr>
              <w:t>NJ</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8,050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16,342</w:t>
            </w:r>
          </w:p>
        </w:tc>
        <w:tc>
          <w:tcPr>
            <w:tcW w:w="980" w:type="dxa"/>
            <w:vAlign w:val="bottom"/>
          </w:tcPr>
          <w:p>
            <w:pPr>
              <w:jc w:val="center"/>
              <w:ind w:left="39"/>
              <w:spacing w:after="0"/>
              <w:rPr>
                <w:sz w:val="20"/>
                <w:szCs w:val="20"/>
                <w:color w:val="auto"/>
              </w:rPr>
            </w:pPr>
            <w:r>
              <w:rPr>
                <w:rFonts w:ascii="Arial" w:cs="Arial" w:eastAsia="Arial" w:hAnsi="Arial"/>
                <w:sz w:val="16"/>
                <w:szCs w:val="16"/>
                <w:color w:val="auto"/>
                <w:w w:val="97"/>
              </w:rPr>
              <w:t>484</w:t>
            </w:r>
          </w:p>
        </w:tc>
        <w:tc>
          <w:tcPr>
            <w:tcW w:w="720" w:type="dxa"/>
            <w:vAlign w:val="bottom"/>
          </w:tcPr>
          <w:p>
            <w:pPr>
              <w:spacing w:after="0"/>
              <w:rPr>
                <w:sz w:val="19"/>
                <w:szCs w:val="19"/>
                <w:color w:val="auto"/>
              </w:rPr>
            </w:pPr>
          </w:p>
        </w:tc>
        <w:tc>
          <w:tcPr>
            <w:tcW w:w="860" w:type="dxa"/>
            <w:vAlign w:val="bottom"/>
          </w:tcPr>
          <w:p>
            <w:pPr>
              <w:jc w:val="center"/>
              <w:ind w:right="99"/>
              <w:spacing w:after="0"/>
              <w:rPr>
                <w:sz w:val="20"/>
                <w:szCs w:val="20"/>
                <w:color w:val="auto"/>
              </w:rPr>
            </w:pPr>
            <w:r>
              <w:rPr>
                <w:rFonts w:ascii="Arial" w:cs="Arial" w:eastAsia="Arial" w:hAnsi="Arial"/>
                <w:sz w:val="16"/>
                <w:szCs w:val="16"/>
                <w:color w:val="auto"/>
                <w:w w:val="89"/>
              </w:rPr>
              <w:t>8,050</w:t>
            </w: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16,826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24,876</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551</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11/30/2012</w:t>
            </w:r>
          </w:p>
        </w:tc>
        <w:tc>
          <w:tcPr>
            <w:tcW w:w="1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Lawnside</w:t>
            </w:r>
          </w:p>
        </w:tc>
        <w:tc>
          <w:tcPr>
            <w:tcW w:w="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NJ</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4,930</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1,249</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5,613</w:t>
            </w:r>
          </w:p>
        </w:tc>
        <w:tc>
          <w:tcPr>
            <w:tcW w:w="9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7"/>
              </w:rPr>
              <w:t>403</w:t>
            </w:r>
          </w:p>
        </w:tc>
        <w:tc>
          <w:tcPr>
            <w:tcW w:w="7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1,249</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6,016</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7,265</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675</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2/6/2004</w:t>
            </w:r>
          </w:p>
        </w:tc>
        <w:tc>
          <w:tcPr>
            <w:tcW w:w="1780" w:type="dxa"/>
            <w:vAlign w:val="bottom"/>
          </w:tcPr>
          <w:p>
            <w:pPr>
              <w:ind w:left="60"/>
              <w:spacing w:after="0"/>
              <w:rPr>
                <w:sz w:val="20"/>
                <w:szCs w:val="20"/>
                <w:color w:val="auto"/>
              </w:rPr>
            </w:pPr>
            <w:r>
              <w:rPr>
                <w:rFonts w:ascii="Arial" w:cs="Arial" w:eastAsia="Arial" w:hAnsi="Arial"/>
                <w:sz w:val="16"/>
                <w:szCs w:val="16"/>
                <w:color w:val="auto"/>
              </w:rPr>
              <w:t>Lawrenceville</w:t>
            </w:r>
          </w:p>
        </w:tc>
        <w:tc>
          <w:tcPr>
            <w:tcW w:w="460" w:type="dxa"/>
            <w:vAlign w:val="bottom"/>
          </w:tcPr>
          <w:p>
            <w:pPr>
              <w:ind w:left="140"/>
              <w:spacing w:after="0"/>
              <w:rPr>
                <w:sz w:val="20"/>
                <w:szCs w:val="20"/>
                <w:color w:val="auto"/>
              </w:rPr>
            </w:pPr>
            <w:r>
              <w:rPr>
                <w:rFonts w:ascii="Arial" w:cs="Arial" w:eastAsia="Arial" w:hAnsi="Arial"/>
                <w:sz w:val="16"/>
                <w:szCs w:val="16"/>
                <w:color w:val="auto"/>
              </w:rPr>
              <w:t>NJ</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5,096</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3,402</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10,230</w:t>
            </w:r>
          </w:p>
        </w:tc>
        <w:tc>
          <w:tcPr>
            <w:tcW w:w="980" w:type="dxa"/>
            <w:vAlign w:val="bottom"/>
          </w:tcPr>
          <w:p>
            <w:pPr>
              <w:jc w:val="center"/>
              <w:ind w:left="39"/>
              <w:spacing w:after="0"/>
              <w:rPr>
                <w:sz w:val="20"/>
                <w:szCs w:val="20"/>
                <w:color w:val="auto"/>
              </w:rPr>
            </w:pPr>
            <w:r>
              <w:rPr>
                <w:rFonts w:ascii="Arial" w:cs="Arial" w:eastAsia="Arial" w:hAnsi="Arial"/>
                <w:sz w:val="16"/>
                <w:szCs w:val="16"/>
                <w:color w:val="auto"/>
                <w:w w:val="97"/>
              </w:rPr>
              <w:t>822</w:t>
            </w:r>
          </w:p>
        </w:tc>
        <w:tc>
          <w:tcPr>
            <w:tcW w:w="720" w:type="dxa"/>
            <w:vAlign w:val="bottom"/>
          </w:tcPr>
          <w:p>
            <w:pPr>
              <w:spacing w:after="0"/>
              <w:rPr>
                <w:sz w:val="19"/>
                <w:szCs w:val="19"/>
                <w:color w:val="auto"/>
              </w:rPr>
            </w:pPr>
          </w:p>
        </w:tc>
        <w:tc>
          <w:tcPr>
            <w:tcW w:w="860" w:type="dxa"/>
            <w:vAlign w:val="bottom"/>
          </w:tcPr>
          <w:p>
            <w:pPr>
              <w:jc w:val="center"/>
              <w:ind w:right="99"/>
              <w:spacing w:after="0"/>
              <w:rPr>
                <w:sz w:val="20"/>
                <w:szCs w:val="20"/>
                <w:color w:val="auto"/>
              </w:rPr>
            </w:pPr>
            <w:r>
              <w:rPr>
                <w:rFonts w:ascii="Arial" w:cs="Arial" w:eastAsia="Arial" w:hAnsi="Arial"/>
                <w:sz w:val="16"/>
                <w:szCs w:val="16"/>
                <w:color w:val="auto"/>
                <w:w w:val="89"/>
              </w:rPr>
              <w:t>3,402</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11,052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14,454</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3,766</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7/1/2005</w:t>
            </w:r>
          </w:p>
        </w:tc>
        <w:tc>
          <w:tcPr>
            <w:tcW w:w="1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Linden</w:t>
            </w:r>
          </w:p>
        </w:tc>
        <w:tc>
          <w:tcPr>
            <w:tcW w:w="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NJ</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3,612</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1,517</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8,384</w:t>
            </w:r>
          </w:p>
        </w:tc>
        <w:tc>
          <w:tcPr>
            <w:tcW w:w="9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7"/>
              </w:rPr>
              <w:t>323</w:t>
            </w:r>
          </w:p>
        </w:tc>
        <w:tc>
          <w:tcPr>
            <w:tcW w:w="7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1,517</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8,707</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10,224</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2,679</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12/22/2004</w:t>
            </w:r>
          </w:p>
        </w:tc>
        <w:tc>
          <w:tcPr>
            <w:tcW w:w="1780" w:type="dxa"/>
            <w:vAlign w:val="bottom"/>
          </w:tcPr>
          <w:p>
            <w:pPr>
              <w:ind w:left="60"/>
              <w:spacing w:after="0"/>
              <w:rPr>
                <w:sz w:val="20"/>
                <w:szCs w:val="20"/>
                <w:color w:val="auto"/>
              </w:rPr>
            </w:pPr>
            <w:r>
              <w:rPr>
                <w:rFonts w:ascii="Arial" w:cs="Arial" w:eastAsia="Arial" w:hAnsi="Arial"/>
                <w:sz w:val="16"/>
                <w:szCs w:val="16"/>
                <w:color w:val="auto"/>
              </w:rPr>
              <w:t>Lumberton</w:t>
            </w:r>
          </w:p>
        </w:tc>
        <w:tc>
          <w:tcPr>
            <w:tcW w:w="460" w:type="dxa"/>
            <w:vAlign w:val="bottom"/>
          </w:tcPr>
          <w:p>
            <w:pPr>
              <w:ind w:left="140"/>
              <w:spacing w:after="0"/>
              <w:rPr>
                <w:sz w:val="20"/>
                <w:szCs w:val="20"/>
                <w:color w:val="auto"/>
              </w:rPr>
            </w:pPr>
            <w:r>
              <w:rPr>
                <w:rFonts w:ascii="Arial" w:cs="Arial" w:eastAsia="Arial" w:hAnsi="Arial"/>
                <w:sz w:val="16"/>
                <w:szCs w:val="16"/>
                <w:color w:val="auto"/>
              </w:rPr>
              <w:t>NJ</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3,875</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831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4,060</w:t>
            </w:r>
          </w:p>
        </w:tc>
        <w:tc>
          <w:tcPr>
            <w:tcW w:w="980" w:type="dxa"/>
            <w:vAlign w:val="bottom"/>
          </w:tcPr>
          <w:p>
            <w:pPr>
              <w:jc w:val="center"/>
              <w:ind w:left="39"/>
              <w:spacing w:after="0"/>
              <w:rPr>
                <w:sz w:val="20"/>
                <w:szCs w:val="20"/>
                <w:color w:val="auto"/>
              </w:rPr>
            </w:pPr>
            <w:r>
              <w:rPr>
                <w:rFonts w:ascii="Arial" w:cs="Arial" w:eastAsia="Arial" w:hAnsi="Arial"/>
                <w:sz w:val="16"/>
                <w:szCs w:val="16"/>
                <w:color w:val="auto"/>
                <w:w w:val="97"/>
              </w:rPr>
              <w:t>338</w:t>
            </w:r>
          </w:p>
        </w:tc>
        <w:tc>
          <w:tcPr>
            <w:tcW w:w="720" w:type="dxa"/>
            <w:vAlign w:val="bottom"/>
          </w:tcPr>
          <w:p>
            <w:pPr>
              <w:spacing w:after="0"/>
              <w:rPr>
                <w:sz w:val="19"/>
                <w:szCs w:val="19"/>
                <w:color w:val="auto"/>
              </w:rPr>
            </w:pPr>
          </w:p>
        </w:tc>
        <w:tc>
          <w:tcPr>
            <w:tcW w:w="860" w:type="dxa"/>
            <w:vAlign w:val="bottom"/>
          </w:tcPr>
          <w:p>
            <w:pPr>
              <w:jc w:val="center"/>
              <w:ind w:right="99"/>
              <w:spacing w:after="0"/>
              <w:rPr>
                <w:sz w:val="20"/>
                <w:szCs w:val="20"/>
                <w:color w:val="auto"/>
              </w:rPr>
            </w:pPr>
            <w:r>
              <w:rPr>
                <w:rFonts w:ascii="Arial" w:cs="Arial" w:eastAsia="Arial" w:hAnsi="Arial"/>
                <w:sz w:val="16"/>
                <w:szCs w:val="16"/>
                <w:color w:val="auto"/>
                <w:w w:val="89"/>
              </w:rPr>
              <w:t>831</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4,398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5,229</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1,526</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3/15/2001</w:t>
            </w:r>
          </w:p>
        </w:tc>
        <w:tc>
          <w:tcPr>
            <w:tcW w:w="1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Lyndhurst</w:t>
            </w:r>
          </w:p>
        </w:tc>
        <w:tc>
          <w:tcPr>
            <w:tcW w:w="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NJ</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2,679</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4,644</w:t>
            </w:r>
          </w:p>
        </w:tc>
        <w:tc>
          <w:tcPr>
            <w:tcW w:w="9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4"/>
              </w:rPr>
              <w:t>1,063</w:t>
            </w:r>
          </w:p>
        </w:tc>
        <w:tc>
          <w:tcPr>
            <w:tcW w:w="7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2,928</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5,458</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8,386</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2,107</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8/23/2012</w:t>
            </w:r>
          </w:p>
        </w:tc>
        <w:tc>
          <w:tcPr>
            <w:tcW w:w="1780" w:type="dxa"/>
            <w:vAlign w:val="bottom"/>
          </w:tcPr>
          <w:p>
            <w:pPr>
              <w:ind w:left="60"/>
              <w:spacing w:after="0"/>
              <w:rPr>
                <w:sz w:val="20"/>
                <w:szCs w:val="20"/>
                <w:color w:val="auto"/>
              </w:rPr>
            </w:pPr>
            <w:r>
              <w:rPr>
                <w:rFonts w:ascii="Arial" w:cs="Arial" w:eastAsia="Arial" w:hAnsi="Arial"/>
                <w:sz w:val="16"/>
                <w:szCs w:val="16"/>
                <w:color w:val="auto"/>
              </w:rPr>
              <w:t>Mahwah</w:t>
            </w:r>
          </w:p>
        </w:tc>
        <w:tc>
          <w:tcPr>
            <w:tcW w:w="460" w:type="dxa"/>
            <w:vAlign w:val="bottom"/>
          </w:tcPr>
          <w:p>
            <w:pPr>
              <w:ind w:left="140"/>
              <w:spacing w:after="0"/>
              <w:rPr>
                <w:sz w:val="20"/>
                <w:szCs w:val="20"/>
                <w:color w:val="auto"/>
              </w:rPr>
            </w:pPr>
            <w:r>
              <w:rPr>
                <w:rFonts w:ascii="Arial" w:cs="Arial" w:eastAsia="Arial" w:hAnsi="Arial"/>
                <w:sz w:val="16"/>
                <w:szCs w:val="16"/>
                <w:color w:val="auto"/>
              </w:rPr>
              <w:t>NJ</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10,784</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1,890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13,112</w:t>
            </w:r>
          </w:p>
        </w:tc>
        <w:tc>
          <w:tcPr>
            <w:tcW w:w="980" w:type="dxa"/>
            <w:vAlign w:val="bottom"/>
          </w:tcPr>
          <w:p>
            <w:pPr>
              <w:jc w:val="center"/>
              <w:ind w:left="39"/>
              <w:spacing w:after="0"/>
              <w:rPr>
                <w:sz w:val="20"/>
                <w:szCs w:val="20"/>
                <w:color w:val="auto"/>
              </w:rPr>
            </w:pPr>
            <w:r>
              <w:rPr>
                <w:rFonts w:ascii="Arial" w:cs="Arial" w:eastAsia="Arial" w:hAnsi="Arial"/>
                <w:sz w:val="16"/>
                <w:szCs w:val="16"/>
                <w:color w:val="auto"/>
                <w:w w:val="97"/>
              </w:rPr>
              <w:t>325</w:t>
            </w:r>
          </w:p>
        </w:tc>
        <w:tc>
          <w:tcPr>
            <w:tcW w:w="720" w:type="dxa"/>
            <w:vAlign w:val="bottom"/>
          </w:tcPr>
          <w:p>
            <w:pPr>
              <w:spacing w:after="0"/>
              <w:rPr>
                <w:sz w:val="19"/>
                <w:szCs w:val="19"/>
                <w:color w:val="auto"/>
              </w:rPr>
            </w:pPr>
          </w:p>
        </w:tc>
        <w:tc>
          <w:tcPr>
            <w:tcW w:w="860" w:type="dxa"/>
            <w:vAlign w:val="bottom"/>
          </w:tcPr>
          <w:p>
            <w:pPr>
              <w:jc w:val="center"/>
              <w:ind w:right="99"/>
              <w:spacing w:after="0"/>
              <w:rPr>
                <w:sz w:val="20"/>
                <w:szCs w:val="20"/>
                <w:color w:val="auto"/>
              </w:rPr>
            </w:pPr>
            <w:r>
              <w:rPr>
                <w:rFonts w:ascii="Arial" w:cs="Arial" w:eastAsia="Arial" w:hAnsi="Arial"/>
                <w:sz w:val="16"/>
                <w:szCs w:val="16"/>
                <w:color w:val="auto"/>
                <w:w w:val="89"/>
              </w:rPr>
              <w:t>1,890</w:t>
            </w: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13,437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15,327</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1,609</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12/16/2011</w:t>
            </w:r>
          </w:p>
        </w:tc>
        <w:tc>
          <w:tcPr>
            <w:tcW w:w="1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Maple Shade</w:t>
            </w:r>
          </w:p>
        </w:tc>
        <w:tc>
          <w:tcPr>
            <w:tcW w:w="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NJ</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3,920</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1,093</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5,492</w:t>
            </w:r>
          </w:p>
        </w:tc>
        <w:tc>
          <w:tcPr>
            <w:tcW w:w="9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7"/>
              </w:rPr>
              <w:t>208</w:t>
            </w:r>
          </w:p>
        </w:tc>
        <w:tc>
          <w:tcPr>
            <w:tcW w:w="7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1,093</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5,700</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6,793</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803</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12/7/2001</w:t>
            </w:r>
          </w:p>
        </w:tc>
        <w:tc>
          <w:tcPr>
            <w:tcW w:w="1780" w:type="dxa"/>
            <w:vAlign w:val="bottom"/>
          </w:tcPr>
          <w:p>
            <w:pPr>
              <w:ind w:left="60"/>
              <w:spacing w:after="0"/>
              <w:rPr>
                <w:sz w:val="20"/>
                <w:szCs w:val="20"/>
                <w:color w:val="auto"/>
              </w:rPr>
            </w:pPr>
            <w:r>
              <w:rPr>
                <w:rFonts w:ascii="Arial" w:cs="Arial" w:eastAsia="Arial" w:hAnsi="Arial"/>
                <w:sz w:val="16"/>
                <w:szCs w:val="16"/>
                <w:color w:val="auto"/>
              </w:rPr>
              <w:t>Metuchen</w:t>
            </w:r>
          </w:p>
        </w:tc>
        <w:tc>
          <w:tcPr>
            <w:tcW w:w="460" w:type="dxa"/>
            <w:vAlign w:val="bottom"/>
          </w:tcPr>
          <w:p>
            <w:pPr>
              <w:ind w:left="140"/>
              <w:spacing w:after="0"/>
              <w:rPr>
                <w:sz w:val="20"/>
                <w:szCs w:val="20"/>
                <w:color w:val="auto"/>
              </w:rPr>
            </w:pPr>
            <w:r>
              <w:rPr>
                <w:rFonts w:ascii="Arial" w:cs="Arial" w:eastAsia="Arial" w:hAnsi="Arial"/>
                <w:sz w:val="16"/>
                <w:szCs w:val="16"/>
                <w:color w:val="auto"/>
              </w:rPr>
              <w:t>NJ</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5,314</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1,153</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4,462</w:t>
            </w:r>
          </w:p>
        </w:tc>
        <w:tc>
          <w:tcPr>
            <w:tcW w:w="980" w:type="dxa"/>
            <w:vAlign w:val="bottom"/>
          </w:tcPr>
          <w:p>
            <w:pPr>
              <w:jc w:val="center"/>
              <w:ind w:left="39"/>
              <w:spacing w:after="0"/>
              <w:rPr>
                <w:sz w:val="20"/>
                <w:szCs w:val="20"/>
                <w:color w:val="auto"/>
              </w:rPr>
            </w:pPr>
            <w:r>
              <w:rPr>
                <w:rFonts w:ascii="Arial" w:cs="Arial" w:eastAsia="Arial" w:hAnsi="Arial"/>
                <w:sz w:val="16"/>
                <w:szCs w:val="16"/>
                <w:color w:val="auto"/>
                <w:w w:val="97"/>
              </w:rPr>
              <w:t>373</w:t>
            </w:r>
          </w:p>
        </w:tc>
        <w:tc>
          <w:tcPr>
            <w:tcW w:w="720" w:type="dxa"/>
            <w:vAlign w:val="bottom"/>
          </w:tcPr>
          <w:p>
            <w:pPr>
              <w:spacing w:after="0"/>
              <w:rPr>
                <w:sz w:val="19"/>
                <w:szCs w:val="19"/>
                <w:color w:val="auto"/>
              </w:rPr>
            </w:pPr>
          </w:p>
        </w:tc>
        <w:tc>
          <w:tcPr>
            <w:tcW w:w="860" w:type="dxa"/>
            <w:vAlign w:val="bottom"/>
          </w:tcPr>
          <w:p>
            <w:pPr>
              <w:jc w:val="center"/>
              <w:ind w:right="99"/>
              <w:spacing w:after="0"/>
              <w:rPr>
                <w:sz w:val="20"/>
                <w:szCs w:val="20"/>
                <w:color w:val="auto"/>
              </w:rPr>
            </w:pPr>
            <w:r>
              <w:rPr>
                <w:rFonts w:ascii="Arial" w:cs="Arial" w:eastAsia="Arial" w:hAnsi="Arial"/>
                <w:sz w:val="16"/>
                <w:szCs w:val="16"/>
                <w:color w:val="auto"/>
                <w:w w:val="89"/>
              </w:rPr>
              <w:t>1,153</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4,835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5,988</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1,933</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8/28/2012</w:t>
            </w:r>
          </w:p>
        </w:tc>
        <w:tc>
          <w:tcPr>
            <w:tcW w:w="1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Montville</w:t>
            </w:r>
          </w:p>
        </w:tc>
        <w:tc>
          <w:tcPr>
            <w:tcW w:w="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NJ</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8,583</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1,511</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11,749</w:t>
            </w:r>
          </w:p>
        </w:tc>
        <w:tc>
          <w:tcPr>
            <w:tcW w:w="9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7"/>
              </w:rPr>
              <w:t>164</w:t>
            </w:r>
          </w:p>
        </w:tc>
        <w:tc>
          <w:tcPr>
            <w:tcW w:w="7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1,511</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11,913</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13,424</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1,378</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2/6/2004</w:t>
            </w:r>
          </w:p>
        </w:tc>
        <w:tc>
          <w:tcPr>
            <w:tcW w:w="1780" w:type="dxa"/>
            <w:vAlign w:val="bottom"/>
          </w:tcPr>
          <w:p>
            <w:pPr>
              <w:ind w:left="60"/>
              <w:spacing w:after="0"/>
              <w:rPr>
                <w:sz w:val="20"/>
                <w:szCs w:val="20"/>
                <w:color w:val="auto"/>
              </w:rPr>
            </w:pPr>
            <w:r>
              <w:rPr>
                <w:rFonts w:ascii="Arial" w:cs="Arial" w:eastAsia="Arial" w:hAnsi="Arial"/>
                <w:sz w:val="16"/>
                <w:szCs w:val="16"/>
                <w:color w:val="auto"/>
              </w:rPr>
              <w:t>Morrisville</w:t>
            </w:r>
          </w:p>
        </w:tc>
        <w:tc>
          <w:tcPr>
            <w:tcW w:w="460" w:type="dxa"/>
            <w:vAlign w:val="bottom"/>
          </w:tcPr>
          <w:p>
            <w:pPr>
              <w:ind w:left="140"/>
              <w:spacing w:after="0"/>
              <w:rPr>
                <w:sz w:val="20"/>
                <w:szCs w:val="20"/>
                <w:color w:val="auto"/>
              </w:rPr>
            </w:pPr>
            <w:r>
              <w:rPr>
                <w:rFonts w:ascii="Arial" w:cs="Arial" w:eastAsia="Arial" w:hAnsi="Arial"/>
                <w:sz w:val="16"/>
                <w:szCs w:val="16"/>
                <w:color w:val="auto"/>
              </w:rPr>
              <w:t>NJ</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2,487</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7,494</w:t>
            </w:r>
          </w:p>
        </w:tc>
        <w:tc>
          <w:tcPr>
            <w:tcW w:w="980" w:type="dxa"/>
            <w:vAlign w:val="bottom"/>
          </w:tcPr>
          <w:p>
            <w:pPr>
              <w:jc w:val="center"/>
              <w:ind w:left="39"/>
              <w:spacing w:after="0"/>
              <w:rPr>
                <w:sz w:val="20"/>
                <w:szCs w:val="20"/>
                <w:color w:val="auto"/>
              </w:rPr>
            </w:pPr>
            <w:r>
              <w:rPr>
                <w:rFonts w:ascii="Arial" w:cs="Arial" w:eastAsia="Arial" w:hAnsi="Arial"/>
                <w:sz w:val="16"/>
                <w:szCs w:val="16"/>
                <w:color w:val="auto"/>
                <w:w w:val="94"/>
              </w:rPr>
              <w:t>2,450</w:t>
            </w:r>
          </w:p>
        </w:tc>
        <w:tc>
          <w:tcPr>
            <w:tcW w:w="720" w:type="dxa"/>
            <w:vAlign w:val="bottom"/>
          </w:tcPr>
          <w:p>
            <w:pPr>
              <w:spacing w:after="0"/>
              <w:rPr>
                <w:sz w:val="19"/>
                <w:szCs w:val="19"/>
                <w:color w:val="auto"/>
              </w:rPr>
            </w:pPr>
          </w:p>
        </w:tc>
        <w:tc>
          <w:tcPr>
            <w:tcW w:w="860" w:type="dxa"/>
            <w:vAlign w:val="bottom"/>
          </w:tcPr>
          <w:p>
            <w:pPr>
              <w:jc w:val="center"/>
              <w:ind w:right="99"/>
              <w:spacing w:after="0"/>
              <w:rPr>
                <w:sz w:val="20"/>
                <w:szCs w:val="20"/>
                <w:color w:val="auto"/>
              </w:rPr>
            </w:pPr>
            <w:r>
              <w:rPr>
                <w:rFonts w:ascii="Arial" w:cs="Arial" w:eastAsia="Arial" w:hAnsi="Arial"/>
                <w:sz w:val="16"/>
                <w:szCs w:val="16"/>
                <w:color w:val="auto"/>
                <w:w w:val="89"/>
              </w:rPr>
              <w:t>1,688</w:t>
            </w: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10,743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12,431</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3,219</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7/2/2012</w:t>
            </w:r>
          </w:p>
        </w:tc>
        <w:tc>
          <w:tcPr>
            <w:tcW w:w="1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Mt Laurel</w:t>
            </w:r>
          </w:p>
        </w:tc>
        <w:tc>
          <w:tcPr>
            <w:tcW w:w="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NJ</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2,939</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329</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5,217</w:t>
            </w:r>
          </w:p>
        </w:tc>
        <w:tc>
          <w:tcPr>
            <w:tcW w:w="9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7"/>
              </w:rPr>
              <w:t>236</w:t>
            </w:r>
          </w:p>
        </w:tc>
        <w:tc>
          <w:tcPr>
            <w:tcW w:w="7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329</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5,453</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5,782</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671</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11/2/2006</w:t>
            </w:r>
          </w:p>
        </w:tc>
        <w:tc>
          <w:tcPr>
            <w:tcW w:w="1780" w:type="dxa"/>
            <w:vAlign w:val="bottom"/>
          </w:tcPr>
          <w:p>
            <w:pPr>
              <w:ind w:left="60"/>
              <w:spacing w:after="0"/>
              <w:rPr>
                <w:sz w:val="20"/>
                <w:szCs w:val="20"/>
                <w:color w:val="auto"/>
              </w:rPr>
            </w:pPr>
            <w:r>
              <w:rPr>
                <w:rFonts w:ascii="Arial" w:cs="Arial" w:eastAsia="Arial" w:hAnsi="Arial"/>
                <w:sz w:val="16"/>
                <w:szCs w:val="16"/>
                <w:color w:val="auto"/>
              </w:rPr>
              <w:t>Neptune</w:t>
            </w:r>
          </w:p>
        </w:tc>
        <w:tc>
          <w:tcPr>
            <w:tcW w:w="460" w:type="dxa"/>
            <w:vAlign w:val="bottom"/>
          </w:tcPr>
          <w:p>
            <w:pPr>
              <w:ind w:left="140"/>
              <w:spacing w:after="0"/>
              <w:rPr>
                <w:sz w:val="20"/>
                <w:szCs w:val="20"/>
                <w:color w:val="auto"/>
              </w:rPr>
            </w:pPr>
            <w:r>
              <w:rPr>
                <w:rFonts w:ascii="Arial" w:cs="Arial" w:eastAsia="Arial" w:hAnsi="Arial"/>
                <w:sz w:val="16"/>
                <w:szCs w:val="16"/>
                <w:color w:val="auto"/>
              </w:rPr>
              <w:t>NJ</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7,130</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4,204</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8,906</w:t>
            </w:r>
          </w:p>
        </w:tc>
        <w:tc>
          <w:tcPr>
            <w:tcW w:w="980" w:type="dxa"/>
            <w:vAlign w:val="bottom"/>
          </w:tcPr>
          <w:p>
            <w:pPr>
              <w:jc w:val="center"/>
              <w:ind w:left="39"/>
              <w:spacing w:after="0"/>
              <w:rPr>
                <w:sz w:val="20"/>
                <w:szCs w:val="20"/>
                <w:color w:val="auto"/>
              </w:rPr>
            </w:pPr>
            <w:r>
              <w:rPr>
                <w:rFonts w:ascii="Arial" w:cs="Arial" w:eastAsia="Arial" w:hAnsi="Arial"/>
                <w:sz w:val="16"/>
                <w:szCs w:val="16"/>
                <w:color w:val="auto"/>
                <w:w w:val="97"/>
              </w:rPr>
              <w:t>471</w:t>
            </w:r>
          </w:p>
        </w:tc>
        <w:tc>
          <w:tcPr>
            <w:tcW w:w="720" w:type="dxa"/>
            <w:vAlign w:val="bottom"/>
          </w:tcPr>
          <w:p>
            <w:pPr>
              <w:spacing w:after="0"/>
              <w:rPr>
                <w:sz w:val="19"/>
                <w:szCs w:val="19"/>
                <w:color w:val="auto"/>
              </w:rPr>
            </w:pPr>
          </w:p>
        </w:tc>
        <w:tc>
          <w:tcPr>
            <w:tcW w:w="860" w:type="dxa"/>
            <w:vAlign w:val="bottom"/>
          </w:tcPr>
          <w:p>
            <w:pPr>
              <w:jc w:val="center"/>
              <w:ind w:right="99"/>
              <w:spacing w:after="0"/>
              <w:rPr>
                <w:sz w:val="20"/>
                <w:szCs w:val="20"/>
                <w:color w:val="auto"/>
              </w:rPr>
            </w:pPr>
            <w:r>
              <w:rPr>
                <w:rFonts w:ascii="Arial" w:cs="Arial" w:eastAsia="Arial" w:hAnsi="Arial"/>
                <w:sz w:val="16"/>
                <w:szCs w:val="16"/>
                <w:color w:val="auto"/>
                <w:w w:val="89"/>
              </w:rPr>
              <w:t>4,204</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9,377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13,581</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2,570</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7/18/2012</w:t>
            </w:r>
          </w:p>
        </w:tc>
        <w:tc>
          <w:tcPr>
            <w:tcW w:w="1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Newark</w:t>
            </w:r>
          </w:p>
        </w:tc>
        <w:tc>
          <w:tcPr>
            <w:tcW w:w="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NJ</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7,229</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806</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8,340</w:t>
            </w:r>
          </w:p>
        </w:tc>
        <w:tc>
          <w:tcPr>
            <w:tcW w:w="9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7"/>
              </w:rPr>
              <w:t>167</w:t>
            </w:r>
          </w:p>
        </w:tc>
        <w:tc>
          <w:tcPr>
            <w:tcW w:w="7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806</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8,507</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9,313</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1,007</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7/1/2005</w:t>
            </w:r>
          </w:p>
        </w:tc>
        <w:tc>
          <w:tcPr>
            <w:tcW w:w="1780" w:type="dxa"/>
            <w:vAlign w:val="bottom"/>
          </w:tcPr>
          <w:p>
            <w:pPr>
              <w:ind w:left="60"/>
              <w:spacing w:after="0"/>
              <w:rPr>
                <w:sz w:val="20"/>
                <w:szCs w:val="20"/>
                <w:color w:val="auto"/>
              </w:rPr>
            </w:pPr>
            <w:r>
              <w:rPr>
                <w:rFonts w:ascii="Arial" w:cs="Arial" w:eastAsia="Arial" w:hAnsi="Arial"/>
                <w:sz w:val="16"/>
                <w:szCs w:val="16"/>
                <w:color w:val="auto"/>
              </w:rPr>
              <w:t>North Bergen / 83rd St</w:t>
            </w:r>
          </w:p>
        </w:tc>
        <w:tc>
          <w:tcPr>
            <w:tcW w:w="460" w:type="dxa"/>
            <w:vAlign w:val="bottom"/>
          </w:tcPr>
          <w:p>
            <w:pPr>
              <w:ind w:left="140"/>
              <w:spacing w:after="0"/>
              <w:rPr>
                <w:sz w:val="20"/>
                <w:szCs w:val="20"/>
                <w:color w:val="auto"/>
              </w:rPr>
            </w:pPr>
            <w:r>
              <w:rPr>
                <w:rFonts w:ascii="Arial" w:cs="Arial" w:eastAsia="Arial" w:hAnsi="Arial"/>
                <w:sz w:val="16"/>
                <w:szCs w:val="16"/>
                <w:color w:val="auto"/>
              </w:rPr>
              <w:t>NJ</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10,744</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2,299</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12,728</w:t>
            </w:r>
          </w:p>
        </w:tc>
        <w:tc>
          <w:tcPr>
            <w:tcW w:w="980" w:type="dxa"/>
            <w:vAlign w:val="bottom"/>
          </w:tcPr>
          <w:p>
            <w:pPr>
              <w:jc w:val="center"/>
              <w:ind w:left="39"/>
              <w:spacing w:after="0"/>
              <w:rPr>
                <w:sz w:val="20"/>
                <w:szCs w:val="20"/>
                <w:color w:val="auto"/>
              </w:rPr>
            </w:pPr>
            <w:r>
              <w:rPr>
                <w:rFonts w:ascii="Arial" w:cs="Arial" w:eastAsia="Arial" w:hAnsi="Arial"/>
                <w:sz w:val="16"/>
                <w:szCs w:val="16"/>
                <w:color w:val="auto"/>
                <w:w w:val="97"/>
              </w:rPr>
              <w:t>567</w:t>
            </w:r>
          </w:p>
        </w:tc>
        <w:tc>
          <w:tcPr>
            <w:tcW w:w="720" w:type="dxa"/>
            <w:vAlign w:val="bottom"/>
          </w:tcPr>
          <w:p>
            <w:pPr>
              <w:spacing w:after="0"/>
              <w:rPr>
                <w:sz w:val="19"/>
                <w:szCs w:val="19"/>
                <w:color w:val="auto"/>
              </w:rPr>
            </w:pPr>
          </w:p>
        </w:tc>
        <w:tc>
          <w:tcPr>
            <w:tcW w:w="860" w:type="dxa"/>
            <w:vAlign w:val="bottom"/>
          </w:tcPr>
          <w:p>
            <w:pPr>
              <w:jc w:val="center"/>
              <w:ind w:right="99"/>
              <w:spacing w:after="0"/>
              <w:rPr>
                <w:sz w:val="20"/>
                <w:szCs w:val="20"/>
                <w:color w:val="auto"/>
              </w:rPr>
            </w:pPr>
            <w:r>
              <w:rPr>
                <w:rFonts w:ascii="Arial" w:cs="Arial" w:eastAsia="Arial" w:hAnsi="Arial"/>
                <w:sz w:val="16"/>
                <w:szCs w:val="16"/>
                <w:color w:val="auto"/>
                <w:w w:val="89"/>
              </w:rPr>
              <w:t>2,299</w:t>
            </w: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13,295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15,594</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4,145</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10/6/2011</w:t>
            </w:r>
          </w:p>
        </w:tc>
        <w:tc>
          <w:tcPr>
            <w:tcW w:w="1780" w:type="dxa"/>
            <w:vAlign w:val="bottom"/>
            <w:shd w:val="clear" w:color="auto" w:fill="CCEEFF"/>
          </w:tcPr>
          <w:p>
            <w:pPr>
              <w:ind w:left="60"/>
              <w:spacing w:after="0"/>
              <w:rPr>
                <w:sz w:val="20"/>
                <w:szCs w:val="20"/>
                <w:color w:val="auto"/>
              </w:rPr>
            </w:pPr>
            <w:r>
              <w:rPr>
                <w:rFonts w:ascii="Arial" w:cs="Arial" w:eastAsia="Arial" w:hAnsi="Arial"/>
                <w:sz w:val="16"/>
                <w:szCs w:val="16"/>
                <w:color w:val="auto"/>
                <w:w w:val="99"/>
              </w:rPr>
              <w:t>North Bergen / Kennedy</w:t>
            </w:r>
          </w:p>
        </w:tc>
        <w:tc>
          <w:tcPr>
            <w:tcW w:w="46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NJ</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vMerge w:val="restart"/>
            <w:shd w:val="clear" w:color="auto" w:fill="CCEEFF"/>
          </w:tcPr>
          <w:p>
            <w:pPr>
              <w:jc w:val="center"/>
              <w:ind w:right="59"/>
              <w:spacing w:after="0"/>
              <w:rPr>
                <w:sz w:val="20"/>
                <w:szCs w:val="20"/>
                <w:color w:val="auto"/>
              </w:rPr>
            </w:pPr>
            <w:r>
              <w:rPr>
                <w:rFonts w:ascii="Arial" w:cs="Arial" w:eastAsia="Arial" w:hAnsi="Arial"/>
                <w:sz w:val="16"/>
                <w:szCs w:val="16"/>
                <w:color w:val="auto"/>
                <w:w w:val="89"/>
              </w:rPr>
              <w:t>861</w:t>
            </w: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17,127</w:t>
            </w:r>
          </w:p>
        </w:tc>
        <w:tc>
          <w:tcPr>
            <w:tcW w:w="980" w:type="dxa"/>
            <w:vAlign w:val="bottom"/>
            <w:vMerge w:val="restart"/>
            <w:shd w:val="clear" w:color="auto" w:fill="CCEEFF"/>
          </w:tcPr>
          <w:p>
            <w:pPr>
              <w:jc w:val="center"/>
              <w:ind w:left="39"/>
              <w:spacing w:after="0"/>
              <w:rPr>
                <w:sz w:val="20"/>
                <w:szCs w:val="20"/>
                <w:color w:val="auto"/>
              </w:rPr>
            </w:pPr>
            <w:r>
              <w:rPr>
                <w:rFonts w:ascii="Arial" w:cs="Arial" w:eastAsia="Arial" w:hAnsi="Arial"/>
                <w:sz w:val="16"/>
                <w:szCs w:val="16"/>
                <w:color w:val="auto"/>
                <w:w w:val="97"/>
              </w:rPr>
              <w:t>432</w:t>
            </w:r>
          </w:p>
        </w:tc>
        <w:tc>
          <w:tcPr>
            <w:tcW w:w="72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center"/>
              <w:ind w:right="99"/>
              <w:spacing w:after="0"/>
              <w:rPr>
                <w:sz w:val="20"/>
                <w:szCs w:val="20"/>
                <w:color w:val="auto"/>
              </w:rPr>
            </w:pPr>
            <w:r>
              <w:rPr>
                <w:rFonts w:ascii="Arial" w:cs="Arial" w:eastAsia="Arial" w:hAnsi="Arial"/>
                <w:sz w:val="16"/>
                <w:szCs w:val="16"/>
                <w:color w:val="auto"/>
                <w:w w:val="89"/>
              </w:rPr>
              <w:t>861</w:t>
            </w: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17,559</w:t>
            </w: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18,420</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2,377</w:t>
            </w:r>
          </w:p>
        </w:tc>
        <w:tc>
          <w:tcPr>
            <w:tcW w:w="0" w:type="dxa"/>
            <w:vAlign w:val="bottom"/>
          </w:tcPr>
          <w:p>
            <w:pPr>
              <w:spacing w:after="0"/>
              <w:rPr>
                <w:sz w:val="1"/>
                <w:szCs w:val="1"/>
                <w:color w:val="auto"/>
              </w:rPr>
            </w:pPr>
          </w:p>
        </w:tc>
      </w:tr>
      <w:tr>
        <w:trPr>
          <w:trHeight w:val="98"/>
        </w:trPr>
        <w:tc>
          <w:tcPr>
            <w:tcW w:w="920" w:type="dxa"/>
            <w:vAlign w:val="bottom"/>
            <w:vMerge w:val="continue"/>
            <w:shd w:val="clear" w:color="auto" w:fill="CCEEFF"/>
          </w:tcPr>
          <w:p>
            <w:pPr>
              <w:spacing w:after="0"/>
              <w:rPr>
                <w:sz w:val="8"/>
                <w:szCs w:val="8"/>
                <w:color w:val="auto"/>
              </w:rPr>
            </w:pPr>
          </w:p>
        </w:tc>
        <w:tc>
          <w:tcPr>
            <w:tcW w:w="1780" w:type="dxa"/>
            <w:vAlign w:val="bottom"/>
            <w:vMerge w:val="restart"/>
            <w:shd w:val="clear" w:color="auto" w:fill="CCEEFF"/>
          </w:tcPr>
          <w:p>
            <w:pPr>
              <w:ind w:left="60"/>
              <w:spacing w:after="0"/>
              <w:rPr>
                <w:sz w:val="20"/>
                <w:szCs w:val="20"/>
                <w:color w:val="auto"/>
              </w:rPr>
            </w:pPr>
            <w:r>
              <w:rPr>
                <w:rFonts w:ascii="Arial" w:cs="Arial" w:eastAsia="Arial" w:hAnsi="Arial"/>
                <w:sz w:val="16"/>
                <w:szCs w:val="16"/>
                <w:color w:val="auto"/>
              </w:rPr>
              <w:t>Blvd</w:t>
            </w:r>
          </w:p>
        </w:tc>
        <w:tc>
          <w:tcPr>
            <w:tcW w:w="46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920" w:type="dxa"/>
            <w:vAlign w:val="bottom"/>
            <w:tcBorders>
              <w:bottom w:val="single" w:sz="8" w:color="CCEEFF"/>
            </w:tcBorders>
            <w:shd w:val="clear" w:color="auto" w:fill="CCEEFF"/>
          </w:tcPr>
          <w:p>
            <w:pPr>
              <w:spacing w:after="0"/>
              <w:rPr>
                <w:sz w:val="10"/>
                <w:szCs w:val="10"/>
                <w:color w:val="auto"/>
              </w:rPr>
            </w:pPr>
          </w:p>
        </w:tc>
        <w:tc>
          <w:tcPr>
            <w:tcW w:w="1780" w:type="dxa"/>
            <w:vAlign w:val="bottom"/>
            <w:tcBorders>
              <w:bottom w:val="single" w:sz="8" w:color="CCEEFF"/>
            </w:tcBorders>
            <w:vMerge w:val="continue"/>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7/25/2003</w:t>
            </w:r>
          </w:p>
        </w:tc>
        <w:tc>
          <w:tcPr>
            <w:tcW w:w="1780" w:type="dxa"/>
            <w:vAlign w:val="bottom"/>
          </w:tcPr>
          <w:p>
            <w:pPr>
              <w:ind w:left="60"/>
              <w:spacing w:after="0"/>
              <w:rPr>
                <w:sz w:val="20"/>
                <w:szCs w:val="20"/>
                <w:color w:val="auto"/>
              </w:rPr>
            </w:pPr>
            <w:r>
              <w:rPr>
                <w:rFonts w:ascii="Arial" w:cs="Arial" w:eastAsia="Arial" w:hAnsi="Arial"/>
                <w:sz w:val="16"/>
                <w:szCs w:val="16"/>
                <w:color w:val="auto"/>
                <w:w w:val="99"/>
              </w:rPr>
              <w:t>North Bergen / River Rd</w:t>
            </w:r>
          </w:p>
        </w:tc>
        <w:tc>
          <w:tcPr>
            <w:tcW w:w="460" w:type="dxa"/>
            <w:vAlign w:val="bottom"/>
          </w:tcPr>
          <w:p>
            <w:pPr>
              <w:ind w:left="140"/>
              <w:spacing w:after="0"/>
              <w:rPr>
                <w:sz w:val="20"/>
                <w:szCs w:val="20"/>
                <w:color w:val="auto"/>
              </w:rPr>
            </w:pPr>
            <w:r>
              <w:rPr>
                <w:rFonts w:ascii="Arial" w:cs="Arial" w:eastAsia="Arial" w:hAnsi="Arial"/>
                <w:sz w:val="16"/>
                <w:szCs w:val="16"/>
                <w:color w:val="auto"/>
              </w:rPr>
              <w:t>NJ</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8,684</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2,100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6,606</w:t>
            </w:r>
          </w:p>
        </w:tc>
        <w:tc>
          <w:tcPr>
            <w:tcW w:w="980" w:type="dxa"/>
            <w:vAlign w:val="bottom"/>
          </w:tcPr>
          <w:p>
            <w:pPr>
              <w:jc w:val="center"/>
              <w:ind w:left="39"/>
              <w:spacing w:after="0"/>
              <w:rPr>
                <w:sz w:val="20"/>
                <w:szCs w:val="20"/>
                <w:color w:val="auto"/>
              </w:rPr>
            </w:pPr>
            <w:r>
              <w:rPr>
                <w:rFonts w:ascii="Arial" w:cs="Arial" w:eastAsia="Arial" w:hAnsi="Arial"/>
                <w:sz w:val="16"/>
                <w:szCs w:val="16"/>
                <w:color w:val="auto"/>
                <w:w w:val="97"/>
              </w:rPr>
              <w:t>417</w:t>
            </w:r>
          </w:p>
        </w:tc>
        <w:tc>
          <w:tcPr>
            <w:tcW w:w="720" w:type="dxa"/>
            <w:vAlign w:val="bottom"/>
          </w:tcPr>
          <w:p>
            <w:pPr>
              <w:spacing w:after="0"/>
              <w:rPr>
                <w:sz w:val="19"/>
                <w:szCs w:val="19"/>
                <w:color w:val="auto"/>
              </w:rPr>
            </w:pPr>
          </w:p>
        </w:tc>
        <w:tc>
          <w:tcPr>
            <w:tcW w:w="860" w:type="dxa"/>
            <w:vAlign w:val="bottom"/>
          </w:tcPr>
          <w:p>
            <w:pPr>
              <w:jc w:val="center"/>
              <w:ind w:right="99"/>
              <w:spacing w:after="0"/>
              <w:rPr>
                <w:sz w:val="20"/>
                <w:szCs w:val="20"/>
                <w:color w:val="auto"/>
              </w:rPr>
            </w:pPr>
            <w:r>
              <w:rPr>
                <w:rFonts w:ascii="Arial" w:cs="Arial" w:eastAsia="Arial" w:hAnsi="Arial"/>
                <w:sz w:val="16"/>
                <w:szCs w:val="16"/>
                <w:color w:val="auto"/>
                <w:w w:val="89"/>
              </w:rPr>
              <w:t>2,100</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7,023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9,123</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2,571</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7/18/2012</w:t>
            </w:r>
          </w:p>
        </w:tc>
        <w:tc>
          <w:tcPr>
            <w:tcW w:w="1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North Brunswick</w:t>
            </w:r>
          </w:p>
        </w:tc>
        <w:tc>
          <w:tcPr>
            <w:tcW w:w="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NJ</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6,044</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2,789</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4,404</w:t>
            </w:r>
          </w:p>
        </w:tc>
        <w:tc>
          <w:tcPr>
            <w:tcW w:w="9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7"/>
              </w:rPr>
              <w:t>207</w:t>
            </w:r>
          </w:p>
        </w:tc>
        <w:tc>
          <w:tcPr>
            <w:tcW w:w="7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2,789</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4,611</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7,400</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572</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12/31/2001</w:t>
            </w:r>
          </w:p>
        </w:tc>
        <w:tc>
          <w:tcPr>
            <w:tcW w:w="1780" w:type="dxa"/>
            <w:vAlign w:val="bottom"/>
          </w:tcPr>
          <w:p>
            <w:pPr>
              <w:ind w:left="60"/>
              <w:spacing w:after="0"/>
              <w:rPr>
                <w:sz w:val="20"/>
                <w:szCs w:val="20"/>
                <w:color w:val="auto"/>
              </w:rPr>
            </w:pPr>
            <w:r>
              <w:rPr>
                <w:rFonts w:ascii="Arial" w:cs="Arial" w:eastAsia="Arial" w:hAnsi="Arial"/>
                <w:sz w:val="16"/>
                <w:szCs w:val="16"/>
                <w:color w:val="auto"/>
              </w:rPr>
              <w:t>Old Bridge</w:t>
            </w:r>
          </w:p>
        </w:tc>
        <w:tc>
          <w:tcPr>
            <w:tcW w:w="460" w:type="dxa"/>
            <w:vAlign w:val="bottom"/>
          </w:tcPr>
          <w:p>
            <w:pPr>
              <w:ind w:left="140"/>
              <w:spacing w:after="0"/>
              <w:rPr>
                <w:sz w:val="20"/>
                <w:szCs w:val="20"/>
                <w:color w:val="auto"/>
              </w:rPr>
            </w:pPr>
            <w:r>
              <w:rPr>
                <w:rFonts w:ascii="Arial" w:cs="Arial" w:eastAsia="Arial" w:hAnsi="Arial"/>
                <w:sz w:val="16"/>
                <w:szCs w:val="16"/>
                <w:color w:val="auto"/>
              </w:rPr>
              <w:t>NJ</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5,445</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2,758</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6,450</w:t>
            </w:r>
          </w:p>
        </w:tc>
        <w:tc>
          <w:tcPr>
            <w:tcW w:w="980" w:type="dxa"/>
            <w:vAlign w:val="bottom"/>
          </w:tcPr>
          <w:p>
            <w:pPr>
              <w:jc w:val="center"/>
              <w:ind w:left="39"/>
              <w:spacing w:after="0"/>
              <w:rPr>
                <w:sz w:val="20"/>
                <w:szCs w:val="20"/>
                <w:color w:val="auto"/>
              </w:rPr>
            </w:pPr>
            <w:r>
              <w:rPr>
                <w:rFonts w:ascii="Arial" w:cs="Arial" w:eastAsia="Arial" w:hAnsi="Arial"/>
                <w:sz w:val="16"/>
                <w:szCs w:val="16"/>
                <w:color w:val="auto"/>
                <w:w w:val="94"/>
              </w:rPr>
              <w:t>2,051</w:t>
            </w:r>
          </w:p>
        </w:tc>
        <w:tc>
          <w:tcPr>
            <w:tcW w:w="720" w:type="dxa"/>
            <w:vAlign w:val="bottom"/>
          </w:tcPr>
          <w:p>
            <w:pPr>
              <w:spacing w:after="0"/>
              <w:rPr>
                <w:sz w:val="19"/>
                <w:szCs w:val="19"/>
                <w:color w:val="auto"/>
              </w:rPr>
            </w:pPr>
          </w:p>
        </w:tc>
        <w:tc>
          <w:tcPr>
            <w:tcW w:w="860" w:type="dxa"/>
            <w:vAlign w:val="bottom"/>
          </w:tcPr>
          <w:p>
            <w:pPr>
              <w:jc w:val="center"/>
              <w:ind w:right="99"/>
              <w:spacing w:after="0"/>
              <w:rPr>
                <w:sz w:val="20"/>
                <w:szCs w:val="20"/>
                <w:color w:val="auto"/>
              </w:rPr>
            </w:pPr>
            <w:r>
              <w:rPr>
                <w:rFonts w:ascii="Arial" w:cs="Arial" w:eastAsia="Arial" w:hAnsi="Arial"/>
                <w:sz w:val="16"/>
                <w:szCs w:val="16"/>
                <w:color w:val="auto"/>
                <w:w w:val="89"/>
              </w:rPr>
              <w:t>2,758</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8,501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11,259</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3,149</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5/1/2004</w:t>
            </w:r>
          </w:p>
        </w:tc>
        <w:tc>
          <w:tcPr>
            <w:tcW w:w="1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w w:val="95"/>
              </w:rPr>
              <w:t>Parlin / Cheesequake Rd</w:t>
            </w:r>
          </w:p>
        </w:tc>
        <w:tc>
          <w:tcPr>
            <w:tcW w:w="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NJ</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5,273</w:t>
            </w:r>
          </w:p>
        </w:tc>
        <w:tc>
          <w:tcPr>
            <w:tcW w:w="9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7"/>
              </w:rPr>
              <w:t>496</w:t>
            </w:r>
          </w:p>
        </w:tc>
        <w:tc>
          <w:tcPr>
            <w:tcW w:w="7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5,769</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5,769</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2,585</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7/1/2005</w:t>
            </w:r>
          </w:p>
        </w:tc>
        <w:tc>
          <w:tcPr>
            <w:tcW w:w="1780" w:type="dxa"/>
            <w:vAlign w:val="bottom"/>
          </w:tcPr>
          <w:p>
            <w:pPr>
              <w:ind w:left="60"/>
              <w:spacing w:after="0"/>
              <w:rPr>
                <w:sz w:val="20"/>
                <w:szCs w:val="20"/>
                <w:color w:val="auto"/>
              </w:rPr>
            </w:pPr>
            <w:r>
              <w:rPr>
                <w:rFonts w:ascii="Arial" w:cs="Arial" w:eastAsia="Arial" w:hAnsi="Arial"/>
                <w:sz w:val="16"/>
                <w:szCs w:val="16"/>
                <w:color w:val="auto"/>
              </w:rPr>
              <w:t>Parlin / Route 9 North</w:t>
            </w:r>
          </w:p>
        </w:tc>
        <w:tc>
          <w:tcPr>
            <w:tcW w:w="460" w:type="dxa"/>
            <w:vAlign w:val="bottom"/>
          </w:tcPr>
          <w:p>
            <w:pPr>
              <w:ind w:left="140"/>
              <w:spacing w:after="0"/>
              <w:rPr>
                <w:sz w:val="20"/>
                <w:szCs w:val="20"/>
                <w:color w:val="auto"/>
              </w:rPr>
            </w:pPr>
            <w:r>
              <w:rPr>
                <w:rFonts w:ascii="Arial" w:cs="Arial" w:eastAsia="Arial" w:hAnsi="Arial"/>
                <w:sz w:val="16"/>
                <w:szCs w:val="16"/>
                <w:color w:val="auto"/>
              </w:rPr>
              <w:t>NJ</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2,517</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4,516</w:t>
            </w:r>
          </w:p>
        </w:tc>
        <w:tc>
          <w:tcPr>
            <w:tcW w:w="980" w:type="dxa"/>
            <w:vAlign w:val="bottom"/>
          </w:tcPr>
          <w:p>
            <w:pPr>
              <w:jc w:val="center"/>
              <w:ind w:left="39"/>
              <w:spacing w:after="0"/>
              <w:rPr>
                <w:sz w:val="20"/>
                <w:szCs w:val="20"/>
                <w:color w:val="auto"/>
              </w:rPr>
            </w:pPr>
            <w:r>
              <w:rPr>
                <w:rFonts w:ascii="Arial" w:cs="Arial" w:eastAsia="Arial" w:hAnsi="Arial"/>
                <w:sz w:val="16"/>
                <w:szCs w:val="16"/>
                <w:color w:val="auto"/>
                <w:w w:val="97"/>
              </w:rPr>
              <w:t>605</w:t>
            </w:r>
          </w:p>
        </w:tc>
        <w:tc>
          <w:tcPr>
            <w:tcW w:w="720" w:type="dxa"/>
            <w:vAlign w:val="bottom"/>
          </w:tcPr>
          <w:p>
            <w:pPr>
              <w:spacing w:after="0"/>
              <w:rPr>
                <w:sz w:val="19"/>
                <w:szCs w:val="19"/>
                <w:color w:val="auto"/>
              </w:rPr>
            </w:pPr>
          </w:p>
        </w:tc>
        <w:tc>
          <w:tcPr>
            <w:tcW w:w="860" w:type="dxa"/>
            <w:vAlign w:val="bottom"/>
          </w:tcPr>
          <w:p>
            <w:pPr>
              <w:jc w:val="center"/>
              <w:ind w:right="99"/>
              <w:spacing w:after="0"/>
              <w:rPr>
                <w:sz w:val="20"/>
                <w:szCs w:val="20"/>
                <w:color w:val="auto"/>
              </w:rPr>
            </w:pPr>
            <w:r>
              <w:rPr>
                <w:rFonts w:ascii="Arial" w:cs="Arial" w:eastAsia="Arial" w:hAnsi="Arial"/>
                <w:sz w:val="16"/>
                <w:szCs w:val="16"/>
                <w:color w:val="auto"/>
                <w:w w:val="89"/>
              </w:rPr>
              <w:t>2,517</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5,121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7,638</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1,881</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7/18/2012</w:t>
            </w:r>
          </w:p>
        </w:tc>
        <w:tc>
          <w:tcPr>
            <w:tcW w:w="1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Parsippany</w:t>
            </w:r>
          </w:p>
        </w:tc>
        <w:tc>
          <w:tcPr>
            <w:tcW w:w="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NJ</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6,235</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2,353</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7,798</w:t>
            </w:r>
          </w:p>
        </w:tc>
        <w:tc>
          <w:tcPr>
            <w:tcW w:w="9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7"/>
              </w:rPr>
              <w:t>142</w:t>
            </w:r>
          </w:p>
        </w:tc>
        <w:tc>
          <w:tcPr>
            <w:tcW w:w="7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2,354</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7,939</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10,293</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960</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6/2/2011</w:t>
            </w:r>
          </w:p>
        </w:tc>
        <w:tc>
          <w:tcPr>
            <w:tcW w:w="1780" w:type="dxa"/>
            <w:vAlign w:val="bottom"/>
          </w:tcPr>
          <w:p>
            <w:pPr>
              <w:ind w:left="60"/>
              <w:spacing w:after="0"/>
              <w:rPr>
                <w:sz w:val="20"/>
                <w:szCs w:val="20"/>
                <w:color w:val="auto"/>
              </w:rPr>
            </w:pPr>
            <w:r>
              <w:rPr>
                <w:rFonts w:ascii="Arial" w:cs="Arial" w:eastAsia="Arial" w:hAnsi="Arial"/>
                <w:sz w:val="16"/>
                <w:szCs w:val="16"/>
                <w:color w:val="auto"/>
              </w:rPr>
              <w:t>Pennsauken</w:t>
            </w:r>
          </w:p>
        </w:tc>
        <w:tc>
          <w:tcPr>
            <w:tcW w:w="460" w:type="dxa"/>
            <w:vAlign w:val="bottom"/>
          </w:tcPr>
          <w:p>
            <w:pPr>
              <w:ind w:left="140"/>
              <w:spacing w:after="0"/>
              <w:rPr>
                <w:sz w:val="20"/>
                <w:szCs w:val="20"/>
                <w:color w:val="auto"/>
              </w:rPr>
            </w:pPr>
            <w:r>
              <w:rPr>
                <w:rFonts w:ascii="Arial" w:cs="Arial" w:eastAsia="Arial" w:hAnsi="Arial"/>
                <w:sz w:val="16"/>
                <w:szCs w:val="16"/>
                <w:color w:val="auto"/>
              </w:rPr>
              <w:t>NJ</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3,622</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1,644</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3,115</w:t>
            </w:r>
          </w:p>
        </w:tc>
        <w:tc>
          <w:tcPr>
            <w:tcW w:w="980" w:type="dxa"/>
            <w:vAlign w:val="bottom"/>
          </w:tcPr>
          <w:p>
            <w:pPr>
              <w:jc w:val="center"/>
              <w:ind w:left="39"/>
              <w:spacing w:after="0"/>
              <w:rPr>
                <w:sz w:val="20"/>
                <w:szCs w:val="20"/>
                <w:color w:val="auto"/>
              </w:rPr>
            </w:pPr>
            <w:r>
              <w:rPr>
                <w:rFonts w:ascii="Arial" w:cs="Arial" w:eastAsia="Arial" w:hAnsi="Arial"/>
                <w:sz w:val="16"/>
                <w:szCs w:val="16"/>
                <w:color w:val="auto"/>
                <w:w w:val="97"/>
              </w:rPr>
              <w:t>409</w:t>
            </w:r>
          </w:p>
        </w:tc>
        <w:tc>
          <w:tcPr>
            <w:tcW w:w="720" w:type="dxa"/>
            <w:vAlign w:val="bottom"/>
          </w:tcPr>
          <w:p>
            <w:pPr>
              <w:spacing w:after="0"/>
              <w:rPr>
                <w:sz w:val="19"/>
                <w:szCs w:val="19"/>
                <w:color w:val="auto"/>
              </w:rPr>
            </w:pPr>
          </w:p>
        </w:tc>
        <w:tc>
          <w:tcPr>
            <w:tcW w:w="860" w:type="dxa"/>
            <w:vAlign w:val="bottom"/>
          </w:tcPr>
          <w:p>
            <w:pPr>
              <w:jc w:val="center"/>
              <w:ind w:right="99"/>
              <w:spacing w:after="0"/>
              <w:rPr>
                <w:sz w:val="20"/>
                <w:szCs w:val="20"/>
                <w:color w:val="auto"/>
              </w:rPr>
            </w:pPr>
            <w:r>
              <w:rPr>
                <w:rFonts w:ascii="Arial" w:cs="Arial" w:eastAsia="Arial" w:hAnsi="Arial"/>
                <w:sz w:val="16"/>
                <w:szCs w:val="16"/>
                <w:color w:val="auto"/>
                <w:w w:val="89"/>
              </w:rPr>
              <w:t>1,644</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3,524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5,168</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617</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10/1/2015</w:t>
            </w:r>
          </w:p>
        </w:tc>
        <w:tc>
          <w:tcPr>
            <w:tcW w:w="1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Riverdale</w:t>
            </w:r>
          </w:p>
        </w:tc>
        <w:tc>
          <w:tcPr>
            <w:tcW w:w="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NJ</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7,217</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2,000</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14,541</w:t>
            </w:r>
          </w:p>
        </w:tc>
        <w:tc>
          <w:tcPr>
            <w:tcW w:w="9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7"/>
              </w:rPr>
              <w:t>217</w:t>
            </w:r>
          </w:p>
        </w:tc>
        <w:tc>
          <w:tcPr>
            <w:tcW w:w="7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2,000</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14,758</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16,758</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476</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12/9/2009</w:t>
            </w:r>
          </w:p>
        </w:tc>
        <w:tc>
          <w:tcPr>
            <w:tcW w:w="1780" w:type="dxa"/>
            <w:vAlign w:val="bottom"/>
          </w:tcPr>
          <w:p>
            <w:pPr>
              <w:ind w:left="60"/>
              <w:spacing w:after="0"/>
              <w:rPr>
                <w:sz w:val="20"/>
                <w:szCs w:val="20"/>
                <w:color w:val="auto"/>
              </w:rPr>
            </w:pPr>
            <w:r>
              <w:rPr>
                <w:rFonts w:ascii="Arial" w:cs="Arial" w:eastAsia="Arial" w:hAnsi="Arial"/>
                <w:sz w:val="16"/>
                <w:szCs w:val="16"/>
                <w:color w:val="auto"/>
              </w:rPr>
              <w:t>South Brunswick</w:t>
            </w:r>
          </w:p>
        </w:tc>
        <w:tc>
          <w:tcPr>
            <w:tcW w:w="460" w:type="dxa"/>
            <w:vAlign w:val="bottom"/>
          </w:tcPr>
          <w:p>
            <w:pPr>
              <w:ind w:left="140"/>
              <w:spacing w:after="0"/>
              <w:rPr>
                <w:sz w:val="20"/>
                <w:szCs w:val="20"/>
                <w:color w:val="auto"/>
              </w:rPr>
            </w:pPr>
            <w:r>
              <w:rPr>
                <w:rFonts w:ascii="Arial" w:cs="Arial" w:eastAsia="Arial" w:hAnsi="Arial"/>
                <w:sz w:val="16"/>
                <w:szCs w:val="16"/>
                <w:color w:val="auto"/>
              </w:rPr>
              <w:t>NJ</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2,846</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1,700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5,835</w:t>
            </w:r>
          </w:p>
        </w:tc>
        <w:tc>
          <w:tcPr>
            <w:tcW w:w="980" w:type="dxa"/>
            <w:vAlign w:val="bottom"/>
          </w:tcPr>
          <w:p>
            <w:pPr>
              <w:jc w:val="center"/>
              <w:ind w:left="39"/>
              <w:spacing w:after="0"/>
              <w:rPr>
                <w:sz w:val="20"/>
                <w:szCs w:val="20"/>
                <w:color w:val="auto"/>
              </w:rPr>
            </w:pPr>
            <w:r>
              <w:rPr>
                <w:rFonts w:ascii="Arial" w:cs="Arial" w:eastAsia="Arial" w:hAnsi="Arial"/>
                <w:sz w:val="16"/>
                <w:szCs w:val="16"/>
                <w:color w:val="auto"/>
                <w:w w:val="97"/>
              </w:rPr>
              <w:t>215</w:t>
            </w:r>
          </w:p>
        </w:tc>
        <w:tc>
          <w:tcPr>
            <w:tcW w:w="720" w:type="dxa"/>
            <w:vAlign w:val="bottom"/>
          </w:tcPr>
          <w:p>
            <w:pPr>
              <w:spacing w:after="0"/>
              <w:rPr>
                <w:sz w:val="19"/>
                <w:szCs w:val="19"/>
                <w:color w:val="auto"/>
              </w:rPr>
            </w:pPr>
          </w:p>
        </w:tc>
        <w:tc>
          <w:tcPr>
            <w:tcW w:w="860" w:type="dxa"/>
            <w:vAlign w:val="bottom"/>
          </w:tcPr>
          <w:p>
            <w:pPr>
              <w:jc w:val="center"/>
              <w:ind w:right="99"/>
              <w:spacing w:after="0"/>
              <w:rPr>
                <w:sz w:val="20"/>
                <w:szCs w:val="20"/>
                <w:color w:val="auto"/>
              </w:rPr>
            </w:pPr>
            <w:r>
              <w:rPr>
                <w:rFonts w:ascii="Arial" w:cs="Arial" w:eastAsia="Arial" w:hAnsi="Arial"/>
                <w:sz w:val="16"/>
                <w:szCs w:val="16"/>
                <w:color w:val="auto"/>
                <w:w w:val="89"/>
              </w:rPr>
              <w:t>1,700</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6,050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7,750</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1,118</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7/1/2005</w:t>
            </w:r>
          </w:p>
        </w:tc>
        <w:tc>
          <w:tcPr>
            <w:tcW w:w="1780" w:type="dxa"/>
            <w:vAlign w:val="bottom"/>
            <w:shd w:val="clear" w:color="auto" w:fill="CCEEFF"/>
          </w:tcPr>
          <w:p>
            <w:pPr>
              <w:ind w:left="60"/>
              <w:spacing w:after="0"/>
              <w:rPr>
                <w:sz w:val="20"/>
                <w:szCs w:val="20"/>
                <w:color w:val="auto"/>
              </w:rPr>
            </w:pPr>
            <w:r>
              <w:rPr>
                <w:rFonts w:ascii="Arial" w:cs="Arial" w:eastAsia="Arial" w:hAnsi="Arial"/>
                <w:sz w:val="16"/>
                <w:szCs w:val="16"/>
                <w:color w:val="auto"/>
              </w:rPr>
              <w:t>Toms River / Route 37</w:t>
            </w:r>
          </w:p>
        </w:tc>
        <w:tc>
          <w:tcPr>
            <w:tcW w:w="46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NJ</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4,762</w:t>
            </w:r>
          </w:p>
        </w:tc>
        <w:tc>
          <w:tcPr>
            <w:tcW w:w="900" w:type="dxa"/>
            <w:vAlign w:val="bottom"/>
            <w:vMerge w:val="restart"/>
            <w:shd w:val="clear" w:color="auto" w:fill="CCEEFF"/>
          </w:tcPr>
          <w:p>
            <w:pPr>
              <w:jc w:val="center"/>
              <w:ind w:right="59"/>
              <w:spacing w:after="0"/>
              <w:rPr>
                <w:sz w:val="20"/>
                <w:szCs w:val="20"/>
                <w:color w:val="auto"/>
              </w:rPr>
            </w:pPr>
            <w:r>
              <w:rPr>
                <w:rFonts w:ascii="Arial" w:cs="Arial" w:eastAsia="Arial" w:hAnsi="Arial"/>
                <w:sz w:val="16"/>
                <w:szCs w:val="16"/>
                <w:color w:val="auto"/>
                <w:w w:val="89"/>
              </w:rPr>
              <w:t>1,790</w:t>
            </w: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9,935</w:t>
            </w:r>
          </w:p>
        </w:tc>
        <w:tc>
          <w:tcPr>
            <w:tcW w:w="980" w:type="dxa"/>
            <w:vAlign w:val="bottom"/>
            <w:vMerge w:val="restart"/>
            <w:shd w:val="clear" w:color="auto" w:fill="CCEEFF"/>
          </w:tcPr>
          <w:p>
            <w:pPr>
              <w:jc w:val="center"/>
              <w:ind w:left="39"/>
              <w:spacing w:after="0"/>
              <w:rPr>
                <w:sz w:val="20"/>
                <w:szCs w:val="20"/>
                <w:color w:val="auto"/>
              </w:rPr>
            </w:pPr>
            <w:r>
              <w:rPr>
                <w:rFonts w:ascii="Arial" w:cs="Arial" w:eastAsia="Arial" w:hAnsi="Arial"/>
                <w:sz w:val="16"/>
                <w:szCs w:val="16"/>
                <w:color w:val="auto"/>
                <w:w w:val="97"/>
              </w:rPr>
              <w:t>486</w:t>
            </w:r>
          </w:p>
        </w:tc>
        <w:tc>
          <w:tcPr>
            <w:tcW w:w="72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center"/>
              <w:ind w:right="99"/>
              <w:spacing w:after="0"/>
              <w:rPr>
                <w:sz w:val="20"/>
                <w:szCs w:val="20"/>
                <w:color w:val="auto"/>
              </w:rPr>
            </w:pPr>
            <w:r>
              <w:rPr>
                <w:rFonts w:ascii="Arial" w:cs="Arial" w:eastAsia="Arial" w:hAnsi="Arial"/>
                <w:sz w:val="16"/>
                <w:szCs w:val="16"/>
                <w:color w:val="auto"/>
                <w:w w:val="89"/>
              </w:rPr>
              <w:t>1,790</w:t>
            </w: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10,421</w:t>
            </w: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12,211</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3,340</w:t>
            </w:r>
          </w:p>
        </w:tc>
        <w:tc>
          <w:tcPr>
            <w:tcW w:w="0" w:type="dxa"/>
            <w:vAlign w:val="bottom"/>
          </w:tcPr>
          <w:p>
            <w:pPr>
              <w:spacing w:after="0"/>
              <w:rPr>
                <w:sz w:val="1"/>
                <w:szCs w:val="1"/>
                <w:color w:val="auto"/>
              </w:rPr>
            </w:pPr>
          </w:p>
        </w:tc>
      </w:tr>
      <w:tr>
        <w:trPr>
          <w:trHeight w:val="98"/>
        </w:trPr>
        <w:tc>
          <w:tcPr>
            <w:tcW w:w="920" w:type="dxa"/>
            <w:vAlign w:val="bottom"/>
            <w:vMerge w:val="continue"/>
            <w:shd w:val="clear" w:color="auto" w:fill="CCEEFF"/>
          </w:tcPr>
          <w:p>
            <w:pPr>
              <w:spacing w:after="0"/>
              <w:rPr>
                <w:sz w:val="8"/>
                <w:szCs w:val="8"/>
                <w:color w:val="auto"/>
              </w:rPr>
            </w:pPr>
          </w:p>
        </w:tc>
        <w:tc>
          <w:tcPr>
            <w:tcW w:w="1780" w:type="dxa"/>
            <w:vAlign w:val="bottom"/>
            <w:vMerge w:val="restart"/>
            <w:shd w:val="clear" w:color="auto" w:fill="CCEEFF"/>
          </w:tcPr>
          <w:p>
            <w:pPr>
              <w:ind w:left="60"/>
              <w:spacing w:after="0"/>
              <w:rPr>
                <w:sz w:val="20"/>
                <w:szCs w:val="20"/>
                <w:color w:val="auto"/>
              </w:rPr>
            </w:pPr>
            <w:r>
              <w:rPr>
                <w:rFonts w:ascii="Arial" w:cs="Arial" w:eastAsia="Arial" w:hAnsi="Arial"/>
                <w:sz w:val="16"/>
                <w:szCs w:val="16"/>
                <w:color w:val="auto"/>
              </w:rPr>
              <w:t>East 1</w:t>
            </w:r>
          </w:p>
        </w:tc>
        <w:tc>
          <w:tcPr>
            <w:tcW w:w="46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920" w:type="dxa"/>
            <w:vAlign w:val="bottom"/>
            <w:tcBorders>
              <w:bottom w:val="single" w:sz="8" w:color="CCEEFF"/>
            </w:tcBorders>
            <w:shd w:val="clear" w:color="auto" w:fill="CCEEFF"/>
          </w:tcPr>
          <w:p>
            <w:pPr>
              <w:spacing w:after="0"/>
              <w:rPr>
                <w:sz w:val="10"/>
                <w:szCs w:val="10"/>
                <w:color w:val="auto"/>
              </w:rPr>
            </w:pPr>
          </w:p>
        </w:tc>
        <w:tc>
          <w:tcPr>
            <w:tcW w:w="1780" w:type="dxa"/>
            <w:vAlign w:val="bottom"/>
            <w:tcBorders>
              <w:bottom w:val="single" w:sz="8" w:color="CCEEFF"/>
            </w:tcBorders>
            <w:vMerge w:val="continue"/>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92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780" w:type="dxa"/>
            <w:vAlign w:val="bottom"/>
          </w:tcPr>
          <w:p>
            <w:pPr>
              <w:ind w:left="60"/>
              <w:spacing w:after="0"/>
              <w:rPr>
                <w:sz w:val="20"/>
                <w:szCs w:val="20"/>
                <w:color w:val="auto"/>
              </w:rPr>
            </w:pPr>
            <w:r>
              <w:rPr>
                <w:rFonts w:ascii="Arial" w:cs="Arial" w:eastAsia="Arial" w:hAnsi="Arial"/>
                <w:sz w:val="16"/>
                <w:szCs w:val="16"/>
                <w:color w:val="auto"/>
              </w:rPr>
              <w:t>Toms River / Route 37</w:t>
            </w:r>
          </w:p>
        </w:tc>
        <w:tc>
          <w:tcPr>
            <w:tcW w:w="460" w:type="dxa"/>
            <w:vAlign w:val="bottom"/>
            <w:vMerge w:val="restart"/>
          </w:tcPr>
          <w:p>
            <w:pPr>
              <w:ind w:left="140"/>
              <w:spacing w:after="0"/>
              <w:rPr>
                <w:sz w:val="20"/>
                <w:szCs w:val="20"/>
                <w:color w:val="auto"/>
              </w:rPr>
            </w:pPr>
            <w:r>
              <w:rPr>
                <w:rFonts w:ascii="Arial" w:cs="Arial" w:eastAsia="Arial" w:hAnsi="Arial"/>
                <w:sz w:val="16"/>
                <w:szCs w:val="16"/>
                <w:color w:val="auto"/>
              </w:rPr>
              <w:t>NJ</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vMerge w:val="restart"/>
          </w:tcPr>
          <w:p>
            <w:pPr>
              <w:jc w:val="center"/>
              <w:ind w:right="59"/>
              <w:spacing w:after="0"/>
              <w:rPr>
                <w:sz w:val="20"/>
                <w:szCs w:val="20"/>
                <w:color w:val="auto"/>
              </w:rPr>
            </w:pPr>
            <w:r>
              <w:rPr>
                <w:rFonts w:ascii="Arial" w:cs="Arial" w:eastAsia="Arial" w:hAnsi="Arial"/>
                <w:sz w:val="16"/>
                <w:szCs w:val="16"/>
                <w:color w:val="auto"/>
                <w:w w:val="89"/>
              </w:rPr>
              <w:t>1,800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89"/>
              </w:rPr>
              <w:t>10,765</w:t>
            </w:r>
          </w:p>
        </w:tc>
        <w:tc>
          <w:tcPr>
            <w:tcW w:w="980" w:type="dxa"/>
            <w:vAlign w:val="bottom"/>
            <w:vMerge w:val="restart"/>
          </w:tcPr>
          <w:p>
            <w:pPr>
              <w:jc w:val="center"/>
              <w:ind w:left="39"/>
              <w:spacing w:after="0"/>
              <w:rPr>
                <w:sz w:val="20"/>
                <w:szCs w:val="20"/>
                <w:color w:val="auto"/>
              </w:rPr>
            </w:pPr>
            <w:r>
              <w:rPr>
                <w:rFonts w:ascii="Arial" w:cs="Arial" w:eastAsia="Arial" w:hAnsi="Arial"/>
                <w:sz w:val="16"/>
                <w:szCs w:val="16"/>
                <w:color w:val="auto"/>
                <w:w w:val="97"/>
              </w:rPr>
              <w:t>323</w:t>
            </w:r>
          </w:p>
        </w:tc>
        <w:tc>
          <w:tcPr>
            <w:tcW w:w="720" w:type="dxa"/>
            <w:vAlign w:val="bottom"/>
          </w:tcPr>
          <w:p>
            <w:pPr>
              <w:spacing w:after="0"/>
              <w:rPr>
                <w:sz w:val="19"/>
                <w:szCs w:val="19"/>
                <w:color w:val="auto"/>
              </w:rPr>
            </w:pPr>
          </w:p>
        </w:tc>
        <w:tc>
          <w:tcPr>
            <w:tcW w:w="860" w:type="dxa"/>
            <w:vAlign w:val="bottom"/>
            <w:vMerge w:val="restart"/>
          </w:tcPr>
          <w:p>
            <w:pPr>
              <w:jc w:val="center"/>
              <w:ind w:right="99"/>
              <w:spacing w:after="0"/>
              <w:rPr>
                <w:sz w:val="20"/>
                <w:szCs w:val="20"/>
                <w:color w:val="auto"/>
              </w:rPr>
            </w:pPr>
            <w:r>
              <w:rPr>
                <w:rFonts w:ascii="Arial" w:cs="Arial" w:eastAsia="Arial" w:hAnsi="Arial"/>
                <w:sz w:val="16"/>
                <w:szCs w:val="16"/>
                <w:color w:val="auto"/>
                <w:w w:val="89"/>
              </w:rPr>
              <w:t>1,800</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89"/>
              </w:rPr>
              <w:t>11,088</w:t>
            </w:r>
          </w:p>
        </w:tc>
        <w:tc>
          <w:tcPr>
            <w:tcW w:w="1000" w:type="dxa"/>
            <w:vAlign w:val="bottom"/>
            <w:vMerge w:val="restart"/>
          </w:tcPr>
          <w:p>
            <w:pPr>
              <w:jc w:val="center"/>
              <w:spacing w:after="0"/>
              <w:rPr>
                <w:sz w:val="20"/>
                <w:szCs w:val="20"/>
                <w:color w:val="auto"/>
              </w:rPr>
            </w:pPr>
            <w:r>
              <w:rPr>
                <w:rFonts w:ascii="Arial" w:cs="Arial" w:eastAsia="Arial" w:hAnsi="Arial"/>
                <w:sz w:val="16"/>
                <w:szCs w:val="16"/>
                <w:color w:val="auto"/>
                <w:w w:val="89"/>
              </w:rPr>
              <w:t>12,888</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89"/>
              </w:rPr>
              <w:t>362</w:t>
            </w:r>
          </w:p>
        </w:tc>
        <w:tc>
          <w:tcPr>
            <w:tcW w:w="0" w:type="dxa"/>
            <w:vAlign w:val="bottom"/>
          </w:tcPr>
          <w:p>
            <w:pPr>
              <w:spacing w:after="0"/>
              <w:rPr>
                <w:sz w:val="1"/>
                <w:szCs w:val="1"/>
                <w:color w:val="auto"/>
              </w:rPr>
            </w:pPr>
          </w:p>
        </w:tc>
      </w:tr>
      <w:tr>
        <w:trPr>
          <w:trHeight w:val="98"/>
        </w:trPr>
        <w:tc>
          <w:tcPr>
            <w:tcW w:w="920" w:type="dxa"/>
            <w:vAlign w:val="bottom"/>
            <w:vMerge w:val="continue"/>
          </w:tcPr>
          <w:p>
            <w:pPr>
              <w:spacing w:after="0"/>
              <w:rPr>
                <w:sz w:val="8"/>
                <w:szCs w:val="8"/>
                <w:color w:val="auto"/>
              </w:rPr>
            </w:pPr>
          </w:p>
        </w:tc>
        <w:tc>
          <w:tcPr>
            <w:tcW w:w="1780" w:type="dxa"/>
            <w:vAlign w:val="bottom"/>
            <w:vMerge w:val="restart"/>
          </w:tcPr>
          <w:p>
            <w:pPr>
              <w:ind w:left="60"/>
              <w:spacing w:after="0"/>
              <w:rPr>
                <w:sz w:val="20"/>
                <w:szCs w:val="20"/>
                <w:color w:val="auto"/>
              </w:rPr>
            </w:pPr>
            <w:r>
              <w:rPr>
                <w:rFonts w:ascii="Arial" w:cs="Arial" w:eastAsia="Arial" w:hAnsi="Arial"/>
                <w:sz w:val="16"/>
                <w:szCs w:val="16"/>
                <w:color w:val="auto"/>
              </w:rPr>
              <w:t>East 2</w:t>
            </w:r>
          </w:p>
        </w:tc>
        <w:tc>
          <w:tcPr>
            <w:tcW w:w="4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178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10/1/2015</w:t>
            </w:r>
          </w:p>
        </w:tc>
        <w:tc>
          <w:tcPr>
            <w:tcW w:w="1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Toms River / Route 9</w:t>
            </w:r>
          </w:p>
        </w:tc>
        <w:tc>
          <w:tcPr>
            <w:tcW w:w="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NJ</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980</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4,717</w:t>
            </w:r>
          </w:p>
        </w:tc>
        <w:tc>
          <w:tcPr>
            <w:tcW w:w="9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7"/>
              </w:rPr>
              <w:t>299</w:t>
            </w:r>
          </w:p>
        </w:tc>
        <w:tc>
          <w:tcPr>
            <w:tcW w:w="7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980</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5,016</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5,996</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169</w:t>
            </w: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780" w:type="dxa"/>
            <w:vAlign w:val="bottom"/>
          </w:tcPr>
          <w:p>
            <w:pPr>
              <w:ind w:left="60"/>
              <w:spacing w:after="0"/>
              <w:rPr>
                <w:sz w:val="20"/>
                <w:szCs w:val="20"/>
                <w:color w:val="auto"/>
              </w:rPr>
            </w:pPr>
            <w:r>
              <w:rPr>
                <w:rFonts w:ascii="Arial" w:cs="Arial" w:eastAsia="Arial" w:hAnsi="Arial"/>
                <w:sz w:val="16"/>
                <w:szCs w:val="16"/>
                <w:color w:val="auto"/>
              </w:rPr>
              <w:t>Trenton</w:t>
            </w:r>
          </w:p>
        </w:tc>
        <w:tc>
          <w:tcPr>
            <w:tcW w:w="460" w:type="dxa"/>
            <w:vAlign w:val="bottom"/>
          </w:tcPr>
          <w:p>
            <w:pPr>
              <w:ind w:left="140"/>
              <w:spacing w:after="0"/>
              <w:rPr>
                <w:sz w:val="20"/>
                <w:szCs w:val="20"/>
                <w:color w:val="auto"/>
              </w:rPr>
            </w:pPr>
            <w:r>
              <w:rPr>
                <w:rFonts w:ascii="Arial" w:cs="Arial" w:eastAsia="Arial" w:hAnsi="Arial"/>
                <w:sz w:val="16"/>
                <w:szCs w:val="16"/>
                <w:color w:val="auto"/>
              </w:rPr>
              <w:t>NJ</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2,180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8,007</w:t>
            </w:r>
          </w:p>
        </w:tc>
        <w:tc>
          <w:tcPr>
            <w:tcW w:w="980" w:type="dxa"/>
            <w:vAlign w:val="bottom"/>
          </w:tcPr>
          <w:p>
            <w:pPr>
              <w:jc w:val="center"/>
              <w:ind w:left="39"/>
              <w:spacing w:after="0"/>
              <w:rPr>
                <w:sz w:val="20"/>
                <w:szCs w:val="20"/>
                <w:color w:val="auto"/>
              </w:rPr>
            </w:pPr>
            <w:r>
              <w:rPr>
                <w:rFonts w:ascii="Arial" w:cs="Arial" w:eastAsia="Arial" w:hAnsi="Arial"/>
                <w:sz w:val="16"/>
                <w:szCs w:val="16"/>
                <w:color w:val="auto"/>
                <w:w w:val="97"/>
              </w:rPr>
              <w:t>219</w:t>
            </w:r>
          </w:p>
        </w:tc>
        <w:tc>
          <w:tcPr>
            <w:tcW w:w="720" w:type="dxa"/>
            <w:vAlign w:val="bottom"/>
          </w:tcPr>
          <w:p>
            <w:pPr>
              <w:spacing w:after="0"/>
              <w:rPr>
                <w:sz w:val="19"/>
                <w:szCs w:val="19"/>
                <w:color w:val="auto"/>
              </w:rPr>
            </w:pPr>
          </w:p>
        </w:tc>
        <w:tc>
          <w:tcPr>
            <w:tcW w:w="860" w:type="dxa"/>
            <w:vAlign w:val="bottom"/>
          </w:tcPr>
          <w:p>
            <w:pPr>
              <w:jc w:val="center"/>
              <w:ind w:right="99"/>
              <w:spacing w:after="0"/>
              <w:rPr>
                <w:sz w:val="20"/>
                <w:szCs w:val="20"/>
                <w:color w:val="auto"/>
              </w:rPr>
            </w:pPr>
            <w:r>
              <w:rPr>
                <w:rFonts w:ascii="Arial" w:cs="Arial" w:eastAsia="Arial" w:hAnsi="Arial"/>
                <w:sz w:val="16"/>
                <w:szCs w:val="16"/>
                <w:color w:val="auto"/>
                <w:w w:val="89"/>
              </w:rPr>
              <w:t>2,180</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8,226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10,406</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269</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12/28/2004</w:t>
            </w:r>
          </w:p>
        </w:tc>
        <w:tc>
          <w:tcPr>
            <w:tcW w:w="1780" w:type="dxa"/>
            <w:vAlign w:val="bottom"/>
            <w:shd w:val="clear" w:color="auto" w:fill="CCEEFF"/>
          </w:tcPr>
          <w:p>
            <w:pPr>
              <w:ind w:left="60"/>
              <w:spacing w:after="0"/>
              <w:rPr>
                <w:sz w:val="20"/>
                <w:szCs w:val="20"/>
                <w:color w:val="auto"/>
              </w:rPr>
            </w:pPr>
            <w:r>
              <w:rPr>
                <w:rFonts w:ascii="Arial" w:cs="Arial" w:eastAsia="Arial" w:hAnsi="Arial"/>
                <w:sz w:val="16"/>
                <w:szCs w:val="16"/>
                <w:color w:val="auto"/>
              </w:rPr>
              <w:t>Union / Green Ln</w:t>
            </w:r>
          </w:p>
        </w:tc>
        <w:tc>
          <w:tcPr>
            <w:tcW w:w="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NJ</w:t>
            </w: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6,021</w:t>
            </w:r>
          </w:p>
        </w:tc>
        <w:tc>
          <w:tcPr>
            <w:tcW w:w="90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89"/>
              </w:rPr>
              <w:t>1,754</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6,237</w:t>
            </w:r>
          </w:p>
        </w:tc>
        <w:tc>
          <w:tcPr>
            <w:tcW w:w="98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7"/>
              </w:rPr>
              <w:t>432</w:t>
            </w:r>
          </w:p>
        </w:tc>
        <w:tc>
          <w:tcPr>
            <w:tcW w:w="720" w:type="dxa"/>
            <w:vAlign w:val="bottom"/>
            <w:shd w:val="clear" w:color="auto" w:fill="CCEEFF"/>
          </w:tcPr>
          <w:p>
            <w:pPr>
              <w:spacing w:after="0"/>
              <w:rPr>
                <w:sz w:val="20"/>
                <w:szCs w:val="20"/>
                <w:color w:val="auto"/>
              </w:rPr>
            </w:pPr>
          </w:p>
        </w:tc>
        <w:tc>
          <w:tcPr>
            <w:tcW w:w="86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89"/>
              </w:rPr>
              <w:t>1,754</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6,669</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8,423</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2,247</w:t>
            </w:r>
          </w:p>
        </w:tc>
        <w:tc>
          <w:tcPr>
            <w:tcW w:w="0" w:type="dxa"/>
            <w:vAlign w:val="bottom"/>
          </w:tcPr>
          <w:p>
            <w:pPr>
              <w:spacing w:after="0"/>
              <w:rPr>
                <w:sz w:val="1"/>
                <w:szCs w:val="1"/>
                <w:color w:val="auto"/>
              </w:rPr>
            </w:pPr>
          </w:p>
        </w:tc>
      </w:tr>
    </w:tbl>
    <w:p>
      <w:pPr>
        <w:sectPr>
          <w:pgSz w:w="11900" w:h="16900" w:orient="portrait"/>
          <w:cols w:equalWidth="0" w:num="1">
            <w:col w:w="11420"/>
          </w:cols>
          <w:pgMar w:left="240" w:top="130" w:right="239" w:bottom="0" w:gutter="0" w:footer="0" w:header="0"/>
        </w:sectPr>
      </w:pPr>
    </w:p>
    <w:bookmarkStart w:id="106" w:name="page107"/>
    <w:bookmarkEnd w:id="106"/>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11/30/2012</w:t>
            </w:r>
          </w:p>
        </w:tc>
        <w:tc>
          <w:tcPr>
            <w:tcW w:w="1640" w:type="dxa"/>
            <w:vAlign w:val="bottom"/>
          </w:tcPr>
          <w:p>
            <w:pPr>
              <w:ind w:left="60"/>
              <w:spacing w:after="0"/>
              <w:rPr>
                <w:sz w:val="20"/>
                <w:szCs w:val="20"/>
                <w:color w:val="auto"/>
              </w:rPr>
            </w:pPr>
            <w:r>
              <w:rPr>
                <w:rFonts w:ascii="Arial" w:cs="Arial" w:eastAsia="Arial" w:hAnsi="Arial"/>
                <w:sz w:val="16"/>
                <w:szCs w:val="16"/>
                <w:color w:val="auto"/>
                <w:w w:val="96"/>
              </w:rPr>
              <w:t>Union / Route 22 West</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11/30/2012</w:t>
            </w:r>
          </w:p>
        </w:tc>
        <w:tc>
          <w:tcPr>
            <w:tcW w:w="1640" w:type="dxa"/>
            <w:vAlign w:val="bottom"/>
          </w:tcPr>
          <w:p>
            <w:pPr>
              <w:ind w:left="60"/>
              <w:spacing w:after="0"/>
              <w:rPr>
                <w:sz w:val="20"/>
                <w:szCs w:val="20"/>
                <w:color w:val="auto"/>
              </w:rPr>
            </w:pPr>
            <w:r>
              <w:rPr>
                <w:rFonts w:ascii="Arial" w:cs="Arial" w:eastAsia="Arial" w:hAnsi="Arial"/>
                <w:sz w:val="16"/>
                <w:szCs w:val="16"/>
                <w:color w:val="auto"/>
              </w:rPr>
              <w:t>Watchung</w:t>
            </w:r>
          </w:p>
        </w:tc>
        <w:tc>
          <w:tcPr>
            <w:tcW w:w="0" w:type="dxa"/>
            <w:vAlign w:val="bottom"/>
          </w:tcPr>
          <w:p>
            <w:pPr>
              <w:spacing w:after="0"/>
              <w:rPr>
                <w:sz w:val="1"/>
                <w:szCs w:val="1"/>
                <w:color w:val="auto"/>
              </w:rPr>
            </w:pPr>
          </w:p>
        </w:tc>
      </w:tr>
      <w:tr>
        <w:trPr>
          <w:trHeight w:val="31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11/30/2012</w:t>
            </w:r>
          </w:p>
        </w:tc>
        <w:tc>
          <w:tcPr>
            <w:tcW w:w="1640" w:type="dxa"/>
            <w:vAlign w:val="bottom"/>
          </w:tcPr>
          <w:p>
            <w:pPr>
              <w:ind w:left="60"/>
              <w:spacing w:after="0"/>
              <w:rPr>
                <w:sz w:val="20"/>
                <w:szCs w:val="20"/>
                <w:color w:val="auto"/>
              </w:rPr>
            </w:pPr>
            <w:r>
              <w:rPr>
                <w:rFonts w:ascii="Arial" w:cs="Arial" w:eastAsia="Arial" w:hAnsi="Arial"/>
                <w:sz w:val="16"/>
                <w:szCs w:val="16"/>
                <w:color w:val="auto"/>
              </w:rPr>
              <w:t>Albuquerque / Airport</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1640" w:type="dxa"/>
            <w:vAlign w:val="bottom"/>
          </w:tcPr>
          <w:p>
            <w:pPr>
              <w:ind w:left="60"/>
              <w:spacing w:after="0"/>
              <w:rPr>
                <w:sz w:val="20"/>
                <w:szCs w:val="20"/>
                <w:color w:val="auto"/>
              </w:rPr>
            </w:pPr>
            <w:r>
              <w:rPr>
                <w:rFonts w:ascii="Arial" w:cs="Arial" w:eastAsia="Arial" w:hAnsi="Arial"/>
                <w:sz w:val="16"/>
                <w:szCs w:val="16"/>
                <w:color w:val="auto"/>
              </w:rPr>
              <w:t>Dr NW</w:t>
            </w:r>
          </w:p>
        </w:tc>
        <w:tc>
          <w:tcPr>
            <w:tcW w:w="0" w:type="dxa"/>
            <w:vAlign w:val="bottom"/>
          </w:tcPr>
          <w:p>
            <w:pPr>
              <w:spacing w:after="0"/>
              <w:rPr>
                <w:sz w:val="1"/>
                <w:szCs w:val="1"/>
                <w:color w:val="auto"/>
              </w:rPr>
            </w:pPr>
          </w:p>
        </w:tc>
      </w:tr>
      <w:tr>
        <w:trPr>
          <w:trHeight w:val="20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8/31/2007</w:t>
            </w:r>
          </w:p>
        </w:tc>
        <w:tc>
          <w:tcPr>
            <w:tcW w:w="1640" w:type="dxa"/>
            <w:vAlign w:val="bottom"/>
          </w:tcPr>
          <w:p>
            <w:pPr>
              <w:ind w:left="60"/>
              <w:spacing w:after="0"/>
              <w:rPr>
                <w:sz w:val="20"/>
                <w:szCs w:val="20"/>
                <w:color w:val="auto"/>
              </w:rPr>
            </w:pPr>
            <w:r>
              <w:rPr>
                <w:rFonts w:ascii="Arial" w:cs="Arial" w:eastAsia="Arial" w:hAnsi="Arial"/>
                <w:sz w:val="16"/>
                <w:szCs w:val="16"/>
                <w:color w:val="auto"/>
              </w:rPr>
              <w:t>Albuquerque / Calle</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Cuervo NW</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1/7/2016</w:t>
            </w:r>
          </w:p>
        </w:tc>
        <w:tc>
          <w:tcPr>
            <w:tcW w:w="1640" w:type="dxa"/>
            <w:vAlign w:val="bottom"/>
          </w:tcPr>
          <w:p>
            <w:pPr>
              <w:ind w:left="60"/>
              <w:spacing w:after="0"/>
              <w:rPr>
                <w:sz w:val="20"/>
                <w:szCs w:val="20"/>
                <w:color w:val="auto"/>
              </w:rPr>
            </w:pPr>
            <w:r>
              <w:rPr>
                <w:rFonts w:ascii="Arial" w:cs="Arial" w:eastAsia="Arial" w:hAnsi="Arial"/>
                <w:sz w:val="16"/>
                <w:szCs w:val="16"/>
                <w:color w:val="auto"/>
              </w:rPr>
              <w:t>Albuquerque / Eagle</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Ranch Rd</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9/16/2016</w:t>
            </w:r>
          </w:p>
        </w:tc>
        <w:tc>
          <w:tcPr>
            <w:tcW w:w="1640" w:type="dxa"/>
            <w:vAlign w:val="bottom"/>
          </w:tcPr>
          <w:p>
            <w:pPr>
              <w:ind w:left="60"/>
              <w:spacing w:after="0"/>
              <w:rPr>
                <w:sz w:val="20"/>
                <w:szCs w:val="20"/>
                <w:color w:val="auto"/>
              </w:rPr>
            </w:pPr>
            <w:r>
              <w:rPr>
                <w:rFonts w:ascii="Arial" w:cs="Arial" w:eastAsia="Arial" w:hAnsi="Arial"/>
                <w:sz w:val="16"/>
                <w:szCs w:val="16"/>
                <w:color w:val="auto"/>
              </w:rPr>
              <w:t>Albuquerque / Ellison</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Rd NW</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9/16/2016</w:t>
            </w:r>
          </w:p>
        </w:tc>
        <w:tc>
          <w:tcPr>
            <w:tcW w:w="1640" w:type="dxa"/>
            <w:vAlign w:val="bottom"/>
          </w:tcPr>
          <w:p>
            <w:pPr>
              <w:ind w:left="60"/>
              <w:spacing w:after="0"/>
              <w:rPr>
                <w:sz w:val="20"/>
                <w:szCs w:val="20"/>
                <w:color w:val="auto"/>
              </w:rPr>
            </w:pPr>
            <w:r>
              <w:rPr>
                <w:rFonts w:ascii="Arial" w:cs="Arial" w:eastAsia="Arial" w:hAnsi="Arial"/>
                <w:sz w:val="16"/>
                <w:szCs w:val="16"/>
                <w:color w:val="auto"/>
                <w:w w:val="98"/>
              </w:rPr>
              <w:t>Albuquerque / Eubank</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SE</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9/16/2016</w:t>
            </w:r>
          </w:p>
        </w:tc>
        <w:tc>
          <w:tcPr>
            <w:tcW w:w="1640" w:type="dxa"/>
            <w:vAlign w:val="bottom"/>
          </w:tcPr>
          <w:p>
            <w:pPr>
              <w:ind w:left="60"/>
              <w:spacing w:after="0"/>
              <w:rPr>
                <w:sz w:val="20"/>
                <w:szCs w:val="20"/>
                <w:color w:val="auto"/>
              </w:rPr>
            </w:pPr>
            <w:r>
              <w:rPr>
                <w:rFonts w:ascii="Arial" w:cs="Arial" w:eastAsia="Arial" w:hAnsi="Arial"/>
                <w:sz w:val="16"/>
                <w:szCs w:val="16"/>
                <w:color w:val="auto"/>
              </w:rPr>
              <w:t>Albuquerque / Legion</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Rd NE</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11/17/2016</w:t>
            </w:r>
          </w:p>
        </w:tc>
        <w:tc>
          <w:tcPr>
            <w:tcW w:w="1640" w:type="dxa"/>
            <w:vAlign w:val="bottom"/>
          </w:tcPr>
          <w:p>
            <w:pPr>
              <w:ind w:left="60"/>
              <w:spacing w:after="0"/>
              <w:rPr>
                <w:sz w:val="20"/>
                <w:szCs w:val="20"/>
                <w:color w:val="auto"/>
              </w:rPr>
            </w:pPr>
            <w:r>
              <w:rPr>
                <w:rFonts w:ascii="Arial" w:cs="Arial" w:eastAsia="Arial" w:hAnsi="Arial"/>
                <w:sz w:val="16"/>
                <w:szCs w:val="16"/>
                <w:color w:val="auto"/>
              </w:rPr>
              <w:t>Albuquerque / Lomas</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1640" w:type="dxa"/>
            <w:vAlign w:val="bottom"/>
          </w:tcPr>
          <w:p>
            <w:pPr>
              <w:ind w:left="60"/>
              <w:spacing w:after="0"/>
              <w:rPr>
                <w:sz w:val="20"/>
                <w:szCs w:val="20"/>
                <w:color w:val="auto"/>
              </w:rPr>
            </w:pPr>
            <w:r>
              <w:rPr>
                <w:rFonts w:ascii="Arial" w:cs="Arial" w:eastAsia="Arial" w:hAnsi="Arial"/>
                <w:sz w:val="16"/>
                <w:szCs w:val="16"/>
                <w:color w:val="auto"/>
              </w:rPr>
              <w:t>Blvd NE</w:t>
            </w:r>
          </w:p>
        </w:tc>
        <w:tc>
          <w:tcPr>
            <w:tcW w:w="0" w:type="dxa"/>
            <w:vAlign w:val="bottom"/>
          </w:tcPr>
          <w:p>
            <w:pPr>
              <w:spacing w:after="0"/>
              <w:rPr>
                <w:sz w:val="1"/>
                <w:szCs w:val="1"/>
                <w:color w:val="auto"/>
              </w:rPr>
            </w:pPr>
          </w:p>
        </w:tc>
      </w:tr>
      <w:tr>
        <w:trPr>
          <w:trHeight w:val="20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9/16/2016</w:t>
            </w:r>
          </w:p>
        </w:tc>
        <w:tc>
          <w:tcPr>
            <w:tcW w:w="1640" w:type="dxa"/>
            <w:vAlign w:val="bottom"/>
          </w:tcPr>
          <w:p>
            <w:pPr>
              <w:ind w:left="60"/>
              <w:spacing w:after="0"/>
              <w:rPr>
                <w:sz w:val="20"/>
                <w:szCs w:val="20"/>
                <w:color w:val="auto"/>
              </w:rPr>
            </w:pPr>
            <w:r>
              <w:rPr>
                <w:rFonts w:ascii="Arial" w:cs="Arial" w:eastAsia="Arial" w:hAnsi="Arial"/>
                <w:sz w:val="16"/>
                <w:szCs w:val="16"/>
                <w:color w:val="auto"/>
              </w:rPr>
              <w:t>Albuquerque /</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w w:val="94"/>
              </w:rPr>
              <w:t>Montgomery Blvd NE 1</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3/29/2016</w:t>
            </w:r>
          </w:p>
        </w:tc>
        <w:tc>
          <w:tcPr>
            <w:tcW w:w="1640" w:type="dxa"/>
            <w:vAlign w:val="bottom"/>
          </w:tcPr>
          <w:p>
            <w:pPr>
              <w:ind w:left="60"/>
              <w:spacing w:after="0"/>
              <w:rPr>
                <w:sz w:val="20"/>
                <w:szCs w:val="20"/>
                <w:color w:val="auto"/>
              </w:rPr>
            </w:pPr>
            <w:r>
              <w:rPr>
                <w:rFonts w:ascii="Arial" w:cs="Arial" w:eastAsia="Arial" w:hAnsi="Arial"/>
                <w:sz w:val="16"/>
                <w:szCs w:val="16"/>
                <w:color w:val="auto"/>
              </w:rPr>
              <w:t>Albuquerque /</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w w:val="94"/>
              </w:rPr>
              <w:t>Montgomery Blvd NE 2</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1/7/2016</w:t>
            </w:r>
          </w:p>
        </w:tc>
        <w:tc>
          <w:tcPr>
            <w:tcW w:w="1640" w:type="dxa"/>
            <w:vAlign w:val="bottom"/>
          </w:tcPr>
          <w:p>
            <w:pPr>
              <w:ind w:left="60"/>
              <w:spacing w:after="0"/>
              <w:rPr>
                <w:sz w:val="20"/>
                <w:szCs w:val="20"/>
                <w:color w:val="auto"/>
              </w:rPr>
            </w:pPr>
            <w:r>
              <w:rPr>
                <w:rFonts w:ascii="Arial" w:cs="Arial" w:eastAsia="Arial" w:hAnsi="Arial"/>
                <w:sz w:val="16"/>
                <w:szCs w:val="16"/>
                <w:color w:val="auto"/>
              </w:rPr>
              <w:t>Rio Rancho / Golf</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Course Rd</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3/29/2016</w:t>
            </w:r>
          </w:p>
        </w:tc>
        <w:tc>
          <w:tcPr>
            <w:tcW w:w="1640" w:type="dxa"/>
            <w:vAlign w:val="bottom"/>
          </w:tcPr>
          <w:p>
            <w:pPr>
              <w:ind w:left="60"/>
              <w:spacing w:after="0"/>
              <w:rPr>
                <w:sz w:val="20"/>
                <w:szCs w:val="20"/>
                <w:color w:val="auto"/>
              </w:rPr>
            </w:pPr>
            <w:r>
              <w:rPr>
                <w:rFonts w:ascii="Arial" w:cs="Arial" w:eastAsia="Arial" w:hAnsi="Arial"/>
                <w:sz w:val="16"/>
                <w:szCs w:val="16"/>
                <w:color w:val="auto"/>
                <w:w w:val="97"/>
              </w:rPr>
              <w:t>Santa Fe / Pacheco St</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7/2/2012</w:t>
            </w:r>
          </w:p>
        </w:tc>
        <w:tc>
          <w:tcPr>
            <w:tcW w:w="1640" w:type="dxa"/>
            <w:vAlign w:val="bottom"/>
          </w:tcPr>
          <w:p>
            <w:pPr>
              <w:ind w:left="60"/>
              <w:spacing w:after="0"/>
              <w:rPr>
                <w:sz w:val="20"/>
                <w:szCs w:val="20"/>
                <w:color w:val="auto"/>
              </w:rPr>
            </w:pPr>
            <w:r>
              <w:rPr>
                <w:rFonts w:ascii="Arial" w:cs="Arial" w:eastAsia="Arial" w:hAnsi="Arial"/>
                <w:sz w:val="16"/>
                <w:szCs w:val="16"/>
                <w:color w:val="auto"/>
              </w:rPr>
              <w:t>Santa Fe / West San</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Mateo Rd</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640" w:type="dxa"/>
            <w:vAlign w:val="bottom"/>
          </w:tcPr>
          <w:p>
            <w:pPr>
              <w:ind w:left="60"/>
              <w:spacing w:after="0"/>
              <w:rPr>
                <w:sz w:val="20"/>
                <w:szCs w:val="20"/>
                <w:color w:val="auto"/>
              </w:rPr>
            </w:pPr>
            <w:r>
              <w:rPr>
                <w:rFonts w:ascii="Arial" w:cs="Arial" w:eastAsia="Arial" w:hAnsi="Arial"/>
                <w:sz w:val="16"/>
                <w:szCs w:val="16"/>
                <w:color w:val="auto"/>
                <w:w w:val="95"/>
              </w:rPr>
              <w:t>Henderson / Racetrack</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Rd</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11/30/2012</w:t>
            </w:r>
          </w:p>
        </w:tc>
        <w:tc>
          <w:tcPr>
            <w:tcW w:w="1640" w:type="dxa"/>
            <w:vAlign w:val="bottom"/>
          </w:tcPr>
          <w:p>
            <w:pPr>
              <w:ind w:left="60"/>
              <w:spacing w:after="0"/>
              <w:rPr>
                <w:sz w:val="20"/>
                <w:szCs w:val="20"/>
                <w:color w:val="auto"/>
              </w:rPr>
            </w:pPr>
            <w:r>
              <w:rPr>
                <w:rFonts w:ascii="Arial" w:cs="Arial" w:eastAsia="Arial" w:hAnsi="Arial"/>
                <w:sz w:val="16"/>
                <w:szCs w:val="16"/>
                <w:color w:val="auto"/>
                <w:w w:val="95"/>
              </w:rPr>
              <w:t>Henderson / Stephanie</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1640" w:type="dxa"/>
            <w:vAlign w:val="bottom"/>
          </w:tcPr>
          <w:p>
            <w:pPr>
              <w:ind w:left="60"/>
              <w:spacing w:after="0"/>
              <w:rPr>
                <w:sz w:val="20"/>
                <w:szCs w:val="20"/>
                <w:color w:val="auto"/>
              </w:rPr>
            </w:pPr>
            <w:r>
              <w:rPr>
                <w:rFonts w:ascii="Arial" w:cs="Arial" w:eastAsia="Arial" w:hAnsi="Arial"/>
                <w:sz w:val="16"/>
                <w:szCs w:val="16"/>
                <w:color w:val="auto"/>
              </w:rPr>
              <w:t>Pl</w:t>
            </w:r>
          </w:p>
        </w:tc>
        <w:tc>
          <w:tcPr>
            <w:tcW w:w="0" w:type="dxa"/>
            <w:vAlign w:val="bottom"/>
          </w:tcPr>
          <w:p>
            <w:pPr>
              <w:spacing w:after="0"/>
              <w:rPr>
                <w:sz w:val="1"/>
                <w:szCs w:val="1"/>
                <w:color w:val="auto"/>
              </w:rPr>
            </w:pPr>
          </w:p>
        </w:tc>
      </w:tr>
      <w:tr>
        <w:trPr>
          <w:trHeight w:val="20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640" w:type="dxa"/>
            <w:vAlign w:val="bottom"/>
          </w:tcPr>
          <w:p>
            <w:pPr>
              <w:ind w:left="60"/>
              <w:spacing w:after="0"/>
              <w:rPr>
                <w:sz w:val="20"/>
                <w:szCs w:val="20"/>
                <w:color w:val="auto"/>
              </w:rPr>
            </w:pPr>
            <w:r>
              <w:rPr>
                <w:rFonts w:ascii="Arial" w:cs="Arial" w:eastAsia="Arial" w:hAnsi="Arial"/>
                <w:sz w:val="16"/>
                <w:szCs w:val="16"/>
                <w:color w:val="auto"/>
                <w:w w:val="88"/>
              </w:rPr>
              <w:t>Las Vegas / Bonanza Rd</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640" w:type="dxa"/>
            <w:vAlign w:val="bottom"/>
          </w:tcPr>
          <w:p>
            <w:pPr>
              <w:ind w:left="60"/>
              <w:spacing w:after="0"/>
              <w:rPr>
                <w:sz w:val="20"/>
                <w:szCs w:val="20"/>
                <w:color w:val="auto"/>
              </w:rPr>
            </w:pPr>
            <w:r>
              <w:rPr>
                <w:rFonts w:ascii="Arial" w:cs="Arial" w:eastAsia="Arial" w:hAnsi="Arial"/>
                <w:sz w:val="16"/>
                <w:szCs w:val="16"/>
                <w:color w:val="auto"/>
                <w:w w:val="90"/>
              </w:rPr>
              <w:t>Las Vegas / Durango Dr</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6/22/2011</w:t>
            </w:r>
          </w:p>
        </w:tc>
        <w:tc>
          <w:tcPr>
            <w:tcW w:w="1640" w:type="dxa"/>
            <w:vAlign w:val="bottom"/>
          </w:tcPr>
          <w:p>
            <w:pPr>
              <w:ind w:left="60"/>
              <w:spacing w:after="0"/>
              <w:rPr>
                <w:sz w:val="20"/>
                <w:szCs w:val="20"/>
                <w:color w:val="auto"/>
              </w:rPr>
            </w:pPr>
            <w:r>
              <w:rPr>
                <w:rFonts w:ascii="Arial" w:cs="Arial" w:eastAsia="Arial" w:hAnsi="Arial"/>
                <w:sz w:val="16"/>
                <w:szCs w:val="16"/>
                <w:color w:val="auto"/>
                <w:w w:val="93"/>
              </w:rPr>
              <w:t>Las Vegas / Jones Blvd</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640" w:type="dxa"/>
            <w:vAlign w:val="bottom"/>
          </w:tcPr>
          <w:p>
            <w:pPr>
              <w:ind w:left="60"/>
              <w:spacing w:after="0"/>
              <w:rPr>
                <w:sz w:val="20"/>
                <w:szCs w:val="20"/>
                <w:color w:val="auto"/>
              </w:rPr>
            </w:pPr>
            <w:r>
              <w:rPr>
                <w:rFonts w:ascii="Arial" w:cs="Arial" w:eastAsia="Arial" w:hAnsi="Arial"/>
                <w:sz w:val="16"/>
                <w:szCs w:val="16"/>
                <w:color w:val="auto"/>
                <w:w w:val="94"/>
              </w:rPr>
              <w:t>Las Vegas / Las Vegas</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Blvd</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2/22/2000</w:t>
            </w:r>
          </w:p>
        </w:tc>
        <w:tc>
          <w:tcPr>
            <w:tcW w:w="1640" w:type="dxa"/>
            <w:vAlign w:val="bottom"/>
          </w:tcPr>
          <w:p>
            <w:pPr>
              <w:ind w:left="60"/>
              <w:spacing w:after="0"/>
              <w:rPr>
                <w:sz w:val="20"/>
                <w:szCs w:val="20"/>
                <w:color w:val="auto"/>
              </w:rPr>
            </w:pPr>
            <w:r>
              <w:rPr>
                <w:rFonts w:ascii="Arial" w:cs="Arial" w:eastAsia="Arial" w:hAnsi="Arial"/>
                <w:sz w:val="16"/>
                <w:szCs w:val="16"/>
                <w:color w:val="auto"/>
                <w:w w:val="98"/>
              </w:rPr>
              <w:t>Las Vegas / N Lamont</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St</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11/1/2013</w:t>
            </w:r>
          </w:p>
        </w:tc>
        <w:tc>
          <w:tcPr>
            <w:tcW w:w="1640" w:type="dxa"/>
            <w:vAlign w:val="bottom"/>
          </w:tcPr>
          <w:p>
            <w:pPr>
              <w:ind w:left="60"/>
              <w:spacing w:after="0"/>
              <w:rPr>
                <w:sz w:val="20"/>
                <w:szCs w:val="20"/>
                <w:color w:val="auto"/>
              </w:rPr>
            </w:pPr>
            <w:r>
              <w:rPr>
                <w:rFonts w:ascii="Arial" w:cs="Arial" w:eastAsia="Arial" w:hAnsi="Arial"/>
                <w:sz w:val="16"/>
                <w:szCs w:val="16"/>
                <w:color w:val="auto"/>
                <w:w w:val="90"/>
              </w:rPr>
              <w:t>Las Vegas / North Lamb</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Blvd</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640" w:type="dxa"/>
            <w:vAlign w:val="bottom"/>
          </w:tcPr>
          <w:p>
            <w:pPr>
              <w:ind w:left="60"/>
              <w:spacing w:after="0"/>
              <w:rPr>
                <w:sz w:val="20"/>
                <w:szCs w:val="20"/>
                <w:color w:val="auto"/>
              </w:rPr>
            </w:pPr>
            <w:r>
              <w:rPr>
                <w:rFonts w:ascii="Arial" w:cs="Arial" w:eastAsia="Arial" w:hAnsi="Arial"/>
                <w:sz w:val="16"/>
                <w:szCs w:val="16"/>
                <w:color w:val="auto"/>
                <w:w w:val="98"/>
              </w:rPr>
              <w:t>Las Vegas / Pecos Rd</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640" w:type="dxa"/>
            <w:vAlign w:val="bottom"/>
          </w:tcPr>
          <w:p>
            <w:pPr>
              <w:ind w:left="60"/>
              <w:spacing w:after="0"/>
              <w:rPr>
                <w:sz w:val="20"/>
                <w:szCs w:val="20"/>
                <w:color w:val="auto"/>
              </w:rPr>
            </w:pPr>
            <w:r>
              <w:rPr>
                <w:rFonts w:ascii="Arial" w:cs="Arial" w:eastAsia="Arial" w:hAnsi="Arial"/>
                <w:sz w:val="16"/>
                <w:szCs w:val="16"/>
                <w:color w:val="auto"/>
                <w:w w:val="94"/>
              </w:rPr>
              <w:t>Las Vegas / Rancho Dr</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640" w:type="dxa"/>
            <w:vAlign w:val="bottom"/>
          </w:tcPr>
          <w:p>
            <w:pPr>
              <w:ind w:left="60"/>
              <w:spacing w:after="0"/>
              <w:rPr>
                <w:sz w:val="20"/>
                <w:szCs w:val="20"/>
                <w:color w:val="auto"/>
              </w:rPr>
            </w:pPr>
            <w:r>
              <w:rPr>
                <w:rFonts w:ascii="Arial" w:cs="Arial" w:eastAsia="Arial" w:hAnsi="Arial"/>
                <w:sz w:val="16"/>
                <w:szCs w:val="16"/>
                <w:color w:val="auto"/>
              </w:rPr>
              <w:t>Las Vegas / W</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Charleston Blvd</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2/2/2016</w:t>
            </w:r>
          </w:p>
        </w:tc>
        <w:tc>
          <w:tcPr>
            <w:tcW w:w="1640" w:type="dxa"/>
            <w:vAlign w:val="bottom"/>
          </w:tcPr>
          <w:p>
            <w:pPr>
              <w:ind w:left="60"/>
              <w:spacing w:after="0"/>
              <w:rPr>
                <w:sz w:val="20"/>
                <w:szCs w:val="20"/>
                <w:color w:val="auto"/>
              </w:rPr>
            </w:pPr>
            <w:r>
              <w:rPr>
                <w:rFonts w:ascii="Arial" w:cs="Arial" w:eastAsia="Arial" w:hAnsi="Arial"/>
                <w:sz w:val="16"/>
                <w:szCs w:val="16"/>
                <w:color w:val="auto"/>
              </w:rPr>
              <w:t>Las Vegas / W Oakey</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Blvd</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11/30/2012</w:t>
            </w:r>
          </w:p>
        </w:tc>
        <w:tc>
          <w:tcPr>
            <w:tcW w:w="1640" w:type="dxa"/>
            <w:vAlign w:val="bottom"/>
          </w:tcPr>
          <w:p>
            <w:pPr>
              <w:ind w:left="60"/>
              <w:spacing w:after="0"/>
              <w:rPr>
                <w:sz w:val="20"/>
                <w:szCs w:val="20"/>
                <w:color w:val="auto"/>
              </w:rPr>
            </w:pPr>
            <w:r>
              <w:rPr>
                <w:rFonts w:ascii="Arial" w:cs="Arial" w:eastAsia="Arial" w:hAnsi="Arial"/>
                <w:sz w:val="16"/>
                <w:szCs w:val="16"/>
                <w:color w:val="auto"/>
                <w:w w:val="97"/>
              </w:rPr>
              <w:t>Las Vegas / W Sahara</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1640" w:type="dxa"/>
            <w:vAlign w:val="bottom"/>
          </w:tcPr>
          <w:p>
            <w:pPr>
              <w:ind w:left="60"/>
              <w:spacing w:after="0"/>
              <w:rPr>
                <w:sz w:val="20"/>
                <w:szCs w:val="20"/>
                <w:color w:val="auto"/>
              </w:rPr>
            </w:pPr>
            <w:r>
              <w:rPr>
                <w:rFonts w:ascii="Arial" w:cs="Arial" w:eastAsia="Arial" w:hAnsi="Arial"/>
                <w:sz w:val="16"/>
                <w:szCs w:val="16"/>
                <w:color w:val="auto"/>
              </w:rPr>
              <w:t>Ave</w:t>
            </w:r>
          </w:p>
        </w:tc>
        <w:tc>
          <w:tcPr>
            <w:tcW w:w="0" w:type="dxa"/>
            <w:vAlign w:val="bottom"/>
          </w:tcPr>
          <w:p>
            <w:pPr>
              <w:spacing w:after="0"/>
              <w:rPr>
                <w:sz w:val="1"/>
                <w:szCs w:val="1"/>
                <w:color w:val="auto"/>
              </w:rPr>
            </w:pPr>
          </w:p>
        </w:tc>
      </w:tr>
      <w:tr>
        <w:trPr>
          <w:trHeight w:val="253"/>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11/30/2012</w:t>
            </w:r>
          </w:p>
        </w:tc>
        <w:tc>
          <w:tcPr>
            <w:tcW w:w="1640" w:type="dxa"/>
            <w:vAlign w:val="bottom"/>
          </w:tcPr>
          <w:p>
            <w:pPr>
              <w:ind w:left="60"/>
              <w:spacing w:after="0"/>
              <w:rPr>
                <w:sz w:val="20"/>
                <w:szCs w:val="20"/>
                <w:color w:val="auto"/>
              </w:rPr>
            </w:pPr>
            <w:r>
              <w:rPr>
                <w:rFonts w:ascii="Arial" w:cs="Arial" w:eastAsia="Arial" w:hAnsi="Arial"/>
                <w:sz w:val="16"/>
                <w:szCs w:val="16"/>
                <w:color w:val="auto"/>
              </w:rPr>
              <w:t>Las Vegas / W</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1640" w:type="dxa"/>
            <w:vAlign w:val="bottom"/>
          </w:tcPr>
          <w:p>
            <w:pPr>
              <w:ind w:left="60"/>
              <w:spacing w:after="0"/>
              <w:rPr>
                <w:sz w:val="20"/>
                <w:szCs w:val="20"/>
                <w:color w:val="auto"/>
              </w:rPr>
            </w:pPr>
            <w:r>
              <w:rPr>
                <w:rFonts w:ascii="Arial" w:cs="Arial" w:eastAsia="Arial" w:hAnsi="Arial"/>
                <w:sz w:val="16"/>
                <w:szCs w:val="16"/>
                <w:color w:val="auto"/>
              </w:rPr>
              <w:t>Tropicana Ave</w:t>
            </w:r>
          </w:p>
        </w:tc>
        <w:tc>
          <w:tcPr>
            <w:tcW w:w="0" w:type="dxa"/>
            <w:vAlign w:val="bottom"/>
          </w:tcPr>
          <w:p>
            <w:pPr>
              <w:spacing w:after="0"/>
              <w:rPr>
                <w:sz w:val="1"/>
                <w:szCs w:val="1"/>
                <w:color w:val="auto"/>
              </w:rPr>
            </w:pPr>
          </w:p>
        </w:tc>
      </w:tr>
      <w:tr>
        <w:trPr>
          <w:trHeight w:val="20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640" w:type="dxa"/>
            <w:vAlign w:val="bottom"/>
          </w:tcPr>
          <w:p>
            <w:pPr>
              <w:ind w:left="60"/>
              <w:spacing w:after="0"/>
              <w:rPr>
                <w:sz w:val="20"/>
                <w:szCs w:val="20"/>
                <w:color w:val="auto"/>
              </w:rPr>
            </w:pPr>
            <w:r>
              <w:rPr>
                <w:rFonts w:ascii="Arial" w:cs="Arial" w:eastAsia="Arial" w:hAnsi="Arial"/>
                <w:sz w:val="16"/>
                <w:szCs w:val="16"/>
                <w:color w:val="auto"/>
              </w:rPr>
              <w:t>North Las Vegas</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640" w:type="dxa"/>
            <w:vAlign w:val="bottom"/>
          </w:tcPr>
          <w:p>
            <w:pPr>
              <w:ind w:left="60"/>
              <w:spacing w:after="0"/>
              <w:rPr>
                <w:sz w:val="20"/>
                <w:szCs w:val="20"/>
                <w:color w:val="auto"/>
              </w:rPr>
            </w:pPr>
            <w:r>
              <w:rPr>
                <w:rFonts w:ascii="Arial" w:cs="Arial" w:eastAsia="Arial" w:hAnsi="Arial"/>
                <w:sz w:val="16"/>
                <w:szCs w:val="16"/>
                <w:color w:val="auto"/>
              </w:rPr>
              <w:t>Ballston Spa</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12/19/2007</w:t>
            </w:r>
          </w:p>
        </w:tc>
        <w:tc>
          <w:tcPr>
            <w:tcW w:w="1640" w:type="dxa"/>
            <w:vAlign w:val="bottom"/>
          </w:tcPr>
          <w:p>
            <w:pPr>
              <w:ind w:left="60"/>
              <w:spacing w:after="0"/>
              <w:rPr>
                <w:sz w:val="20"/>
                <w:szCs w:val="20"/>
                <w:color w:val="auto"/>
              </w:rPr>
            </w:pPr>
            <w:r>
              <w:rPr>
                <w:rFonts w:ascii="Arial" w:cs="Arial" w:eastAsia="Arial" w:hAnsi="Arial"/>
                <w:sz w:val="16"/>
                <w:szCs w:val="16"/>
                <w:color w:val="auto"/>
              </w:rPr>
              <w:t>Bohemia</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12/1/2011</w:t>
            </w:r>
          </w:p>
        </w:tc>
        <w:tc>
          <w:tcPr>
            <w:tcW w:w="1640" w:type="dxa"/>
            <w:vAlign w:val="bottom"/>
          </w:tcPr>
          <w:p>
            <w:pPr>
              <w:ind w:left="60"/>
              <w:spacing w:after="0"/>
              <w:rPr>
                <w:sz w:val="20"/>
                <w:szCs w:val="20"/>
                <w:color w:val="auto"/>
              </w:rPr>
            </w:pPr>
            <w:r>
              <w:rPr>
                <w:rFonts w:ascii="Arial" w:cs="Arial" w:eastAsia="Arial" w:hAnsi="Arial"/>
                <w:sz w:val="16"/>
                <w:szCs w:val="16"/>
                <w:color w:val="auto"/>
              </w:rPr>
              <w:t>Bronx / Edson Av</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8/26/2004</w:t>
            </w:r>
          </w:p>
        </w:tc>
        <w:tc>
          <w:tcPr>
            <w:tcW w:w="1640" w:type="dxa"/>
            <w:vAlign w:val="bottom"/>
          </w:tcPr>
          <w:p>
            <w:pPr>
              <w:ind w:left="60"/>
              <w:spacing w:after="0"/>
              <w:rPr>
                <w:sz w:val="20"/>
                <w:szCs w:val="20"/>
                <w:color w:val="auto"/>
              </w:rPr>
            </w:pPr>
            <w:r>
              <w:rPr>
                <w:rFonts w:ascii="Arial" w:cs="Arial" w:eastAsia="Arial" w:hAnsi="Arial"/>
                <w:sz w:val="16"/>
                <w:szCs w:val="16"/>
                <w:color w:val="auto"/>
              </w:rPr>
              <w:t>Bronx / Fordham Rd</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10/2/2008</w:t>
            </w:r>
          </w:p>
        </w:tc>
        <w:tc>
          <w:tcPr>
            <w:tcW w:w="1640" w:type="dxa"/>
            <w:vAlign w:val="bottom"/>
          </w:tcPr>
          <w:p>
            <w:pPr>
              <w:ind w:left="60"/>
              <w:spacing w:after="0"/>
              <w:rPr>
                <w:sz w:val="20"/>
                <w:szCs w:val="20"/>
                <w:color w:val="auto"/>
              </w:rPr>
            </w:pPr>
            <w:r>
              <w:rPr>
                <w:rFonts w:ascii="Arial" w:cs="Arial" w:eastAsia="Arial" w:hAnsi="Arial"/>
                <w:sz w:val="16"/>
                <w:szCs w:val="16"/>
                <w:color w:val="auto"/>
              </w:rPr>
              <w:t>Brooklyn / 3rd Ave</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7/2/2012</w:t>
            </w:r>
          </w:p>
        </w:tc>
        <w:tc>
          <w:tcPr>
            <w:tcW w:w="1640" w:type="dxa"/>
            <w:vAlign w:val="bottom"/>
          </w:tcPr>
          <w:p>
            <w:pPr>
              <w:ind w:left="60"/>
              <w:spacing w:after="0"/>
              <w:rPr>
                <w:sz w:val="20"/>
                <w:szCs w:val="20"/>
                <w:color w:val="auto"/>
              </w:rPr>
            </w:pPr>
            <w:r>
              <w:rPr>
                <w:rFonts w:ascii="Arial" w:cs="Arial" w:eastAsia="Arial" w:hAnsi="Arial"/>
                <w:sz w:val="16"/>
                <w:szCs w:val="16"/>
                <w:color w:val="auto"/>
              </w:rPr>
              <w:t>Brooklyn / 64th St</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5/21/2010</w:t>
            </w:r>
          </w:p>
        </w:tc>
        <w:tc>
          <w:tcPr>
            <w:tcW w:w="1640" w:type="dxa"/>
            <w:vAlign w:val="bottom"/>
          </w:tcPr>
          <w:p>
            <w:pPr>
              <w:ind w:left="60"/>
              <w:spacing w:after="0"/>
              <w:rPr>
                <w:sz w:val="20"/>
                <w:szCs w:val="20"/>
                <w:color w:val="auto"/>
              </w:rPr>
            </w:pPr>
            <w:r>
              <w:rPr>
                <w:rFonts w:ascii="Arial" w:cs="Arial" w:eastAsia="Arial" w:hAnsi="Arial"/>
                <w:sz w:val="16"/>
                <w:szCs w:val="16"/>
                <w:color w:val="auto"/>
                <w:w w:val="97"/>
              </w:rPr>
              <w:t>Brooklyn / Atlantic Ave</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12/11/2014</w:t>
            </w:r>
          </w:p>
        </w:tc>
        <w:tc>
          <w:tcPr>
            <w:tcW w:w="1640" w:type="dxa"/>
            <w:vAlign w:val="bottom"/>
          </w:tcPr>
          <w:p>
            <w:pPr>
              <w:ind w:left="60"/>
              <w:spacing w:after="0"/>
              <w:rPr>
                <w:sz w:val="20"/>
                <w:szCs w:val="20"/>
                <w:color w:val="auto"/>
              </w:rPr>
            </w:pPr>
            <w:r>
              <w:rPr>
                <w:rFonts w:ascii="Arial" w:cs="Arial" w:eastAsia="Arial" w:hAnsi="Arial"/>
                <w:sz w:val="16"/>
                <w:szCs w:val="16"/>
                <w:color w:val="auto"/>
              </w:rPr>
              <w:t>Brooklyn / Avenue M</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10/2/2008</w:t>
            </w:r>
          </w:p>
        </w:tc>
        <w:tc>
          <w:tcPr>
            <w:tcW w:w="1640" w:type="dxa"/>
            <w:vAlign w:val="bottom"/>
          </w:tcPr>
          <w:p>
            <w:pPr>
              <w:ind w:left="60"/>
              <w:spacing w:after="0"/>
              <w:rPr>
                <w:sz w:val="20"/>
                <w:szCs w:val="20"/>
                <w:color w:val="auto"/>
              </w:rPr>
            </w:pPr>
            <w:r>
              <w:rPr>
                <w:rFonts w:ascii="Arial" w:cs="Arial" w:eastAsia="Arial" w:hAnsi="Arial"/>
                <w:sz w:val="16"/>
                <w:szCs w:val="16"/>
                <w:color w:val="auto"/>
              </w:rPr>
              <w:t>Centereach</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8/10/2012</w:t>
            </w:r>
          </w:p>
        </w:tc>
        <w:tc>
          <w:tcPr>
            <w:tcW w:w="1640" w:type="dxa"/>
            <w:vAlign w:val="bottom"/>
          </w:tcPr>
          <w:p>
            <w:pPr>
              <w:ind w:left="60"/>
              <w:spacing w:after="0"/>
              <w:rPr>
                <w:sz w:val="20"/>
                <w:szCs w:val="20"/>
                <w:color w:val="auto"/>
              </w:rPr>
            </w:pPr>
            <w:r>
              <w:rPr>
                <w:rFonts w:ascii="Arial" w:cs="Arial" w:eastAsia="Arial" w:hAnsi="Arial"/>
                <w:sz w:val="16"/>
                <w:szCs w:val="16"/>
                <w:color w:val="auto"/>
              </w:rPr>
              <w:t>Central Valley</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11/23/2010</w:t>
            </w:r>
          </w:p>
        </w:tc>
        <w:tc>
          <w:tcPr>
            <w:tcW w:w="1640" w:type="dxa"/>
            <w:vAlign w:val="bottom"/>
          </w:tcPr>
          <w:p>
            <w:pPr>
              <w:ind w:left="60"/>
              <w:spacing w:after="0"/>
              <w:rPr>
                <w:sz w:val="20"/>
                <w:szCs w:val="20"/>
                <w:color w:val="auto"/>
              </w:rPr>
            </w:pPr>
            <w:r>
              <w:rPr>
                <w:rFonts w:ascii="Arial" w:cs="Arial" w:eastAsia="Arial" w:hAnsi="Arial"/>
                <w:sz w:val="16"/>
                <w:szCs w:val="16"/>
                <w:color w:val="auto"/>
              </w:rPr>
              <w:t>Freeport</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7/2/2012</w:t>
            </w:r>
          </w:p>
        </w:tc>
        <w:tc>
          <w:tcPr>
            <w:tcW w:w="1640" w:type="dxa"/>
            <w:vAlign w:val="bottom"/>
          </w:tcPr>
          <w:p>
            <w:pPr>
              <w:ind w:left="60"/>
              <w:spacing w:after="0"/>
              <w:rPr>
                <w:sz w:val="20"/>
                <w:szCs w:val="20"/>
                <w:color w:val="auto"/>
              </w:rPr>
            </w:pPr>
            <w:r>
              <w:rPr>
                <w:rFonts w:ascii="Arial" w:cs="Arial" w:eastAsia="Arial" w:hAnsi="Arial"/>
                <w:sz w:val="16"/>
                <w:szCs w:val="16"/>
                <w:color w:val="auto"/>
              </w:rPr>
              <w:t>Hauppauge</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7/2/2012</w:t>
            </w:r>
          </w:p>
        </w:tc>
        <w:tc>
          <w:tcPr>
            <w:tcW w:w="1640" w:type="dxa"/>
            <w:vAlign w:val="bottom"/>
          </w:tcPr>
          <w:p>
            <w:pPr>
              <w:ind w:left="60"/>
              <w:spacing w:after="0"/>
              <w:rPr>
                <w:sz w:val="20"/>
                <w:szCs w:val="20"/>
                <w:color w:val="auto"/>
              </w:rPr>
            </w:pPr>
            <w:r>
              <w:rPr>
                <w:rFonts w:ascii="Arial" w:cs="Arial" w:eastAsia="Arial" w:hAnsi="Arial"/>
                <w:sz w:val="16"/>
                <w:szCs w:val="16"/>
                <w:color w:val="auto"/>
              </w:rPr>
              <w:t>Hicksville</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7/2/2012</w:t>
            </w:r>
          </w:p>
        </w:tc>
        <w:tc>
          <w:tcPr>
            <w:tcW w:w="1640" w:type="dxa"/>
            <w:vAlign w:val="bottom"/>
          </w:tcPr>
          <w:p>
            <w:pPr>
              <w:ind w:left="60"/>
              <w:spacing w:after="0"/>
              <w:rPr>
                <w:sz w:val="20"/>
                <w:szCs w:val="20"/>
                <w:color w:val="auto"/>
              </w:rPr>
            </w:pPr>
            <w:r>
              <w:rPr>
                <w:rFonts w:ascii="Arial" w:cs="Arial" w:eastAsia="Arial" w:hAnsi="Arial"/>
                <w:sz w:val="16"/>
                <w:szCs w:val="16"/>
                <w:color w:val="auto"/>
              </w:rPr>
              <w:t>Kingston</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2/2/2016</w:t>
            </w:r>
          </w:p>
        </w:tc>
        <w:tc>
          <w:tcPr>
            <w:tcW w:w="1640" w:type="dxa"/>
            <w:vAlign w:val="bottom"/>
          </w:tcPr>
          <w:p>
            <w:pPr>
              <w:ind w:left="60"/>
              <w:spacing w:after="0"/>
              <w:rPr>
                <w:sz w:val="20"/>
                <w:szCs w:val="20"/>
                <w:color w:val="auto"/>
              </w:rPr>
            </w:pPr>
            <w:r>
              <w:rPr>
                <w:rFonts w:ascii="Arial" w:cs="Arial" w:eastAsia="Arial" w:hAnsi="Arial"/>
                <w:sz w:val="16"/>
                <w:szCs w:val="16"/>
                <w:color w:val="auto"/>
              </w:rPr>
              <w:t>Long Island City</w:t>
            </w:r>
          </w:p>
        </w:tc>
        <w:tc>
          <w:tcPr>
            <w:tcW w:w="0" w:type="dxa"/>
            <w:vAlign w:val="bottom"/>
          </w:tcPr>
          <w:p>
            <w:pPr>
              <w:spacing w:after="0"/>
              <w:rPr>
                <w:sz w:val="1"/>
                <w:szCs w:val="1"/>
                <w:color w:val="auto"/>
              </w:rPr>
            </w:pPr>
          </w:p>
        </w:tc>
      </w:tr>
      <w:tr>
        <w:trPr>
          <w:trHeight w:val="31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11/26/2002</w:t>
            </w:r>
          </w:p>
        </w:tc>
        <w:tc>
          <w:tcPr>
            <w:tcW w:w="1640" w:type="dxa"/>
            <w:vAlign w:val="bottom"/>
          </w:tcPr>
          <w:p>
            <w:pPr>
              <w:ind w:left="60"/>
              <w:spacing w:after="0"/>
              <w:rPr>
                <w:sz w:val="20"/>
                <w:szCs w:val="20"/>
                <w:color w:val="auto"/>
              </w:rPr>
            </w:pPr>
            <w:r>
              <w:rPr>
                <w:rFonts w:ascii="Arial" w:cs="Arial" w:eastAsia="Arial" w:hAnsi="Arial"/>
                <w:sz w:val="16"/>
                <w:szCs w:val="16"/>
                <w:color w:val="auto"/>
              </w:rPr>
              <w:t>Mt Vernon / N Mac</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1640" w:type="dxa"/>
            <w:vAlign w:val="bottom"/>
          </w:tcPr>
          <w:p>
            <w:pPr>
              <w:ind w:left="60"/>
              <w:spacing w:after="0"/>
              <w:rPr>
                <w:sz w:val="20"/>
                <w:szCs w:val="20"/>
                <w:color w:val="auto"/>
              </w:rPr>
            </w:pPr>
            <w:r>
              <w:rPr>
                <w:rFonts w:ascii="Arial" w:cs="Arial" w:eastAsia="Arial" w:hAnsi="Arial"/>
                <w:sz w:val="16"/>
                <w:szCs w:val="16"/>
                <w:color w:val="auto"/>
              </w:rPr>
              <w:t>Questen Pkwy</w:t>
            </w:r>
          </w:p>
        </w:tc>
        <w:tc>
          <w:tcPr>
            <w:tcW w:w="0" w:type="dxa"/>
            <w:vAlign w:val="bottom"/>
          </w:tcPr>
          <w:p>
            <w:pPr>
              <w:spacing w:after="0"/>
              <w:rPr>
                <w:sz w:val="1"/>
                <w:szCs w:val="1"/>
                <w:color w:val="auto"/>
              </w:rPr>
            </w:pPr>
          </w:p>
        </w:tc>
      </w:tr>
      <w:tr>
        <w:trPr>
          <w:trHeight w:val="202"/>
        </w:trPr>
        <w:tc>
          <w:tcPr>
            <w:tcW w:w="800" w:type="dxa"/>
            <w:vAlign w:val="bottom"/>
          </w:tcPr>
          <w:p>
            <w:pPr>
              <w:jc w:val="center"/>
              <w:spacing w:after="0"/>
              <w:rPr>
                <w:sz w:val="20"/>
                <w:szCs w:val="20"/>
                <w:color w:val="auto"/>
              </w:rPr>
            </w:pPr>
            <w:r>
              <w:rPr>
                <w:rFonts w:ascii="Arial" w:cs="Arial" w:eastAsia="Arial" w:hAnsi="Arial"/>
                <w:sz w:val="16"/>
                <w:szCs w:val="16"/>
                <w:color w:val="auto"/>
                <w:w w:val="89"/>
              </w:rPr>
              <w:t>7/1/2005</w:t>
            </w:r>
          </w:p>
        </w:tc>
        <w:tc>
          <w:tcPr>
            <w:tcW w:w="1640" w:type="dxa"/>
            <w:vAlign w:val="bottom"/>
          </w:tcPr>
          <w:p>
            <w:pPr>
              <w:ind w:left="60"/>
              <w:spacing w:after="0"/>
              <w:rPr>
                <w:sz w:val="20"/>
                <w:szCs w:val="20"/>
                <w:color w:val="auto"/>
              </w:rPr>
            </w:pPr>
            <w:r>
              <w:rPr>
                <w:rFonts w:ascii="Arial" w:cs="Arial" w:eastAsia="Arial" w:hAnsi="Arial"/>
                <w:sz w:val="16"/>
                <w:szCs w:val="16"/>
                <w:color w:val="auto"/>
                <w:w w:val="97"/>
              </w:rPr>
              <w:t>Mt Vernon / Northwest</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1640" w:type="dxa"/>
            <w:vAlign w:val="bottom"/>
          </w:tcPr>
          <w:p>
            <w:pPr>
              <w:ind w:left="60"/>
              <w:spacing w:after="0"/>
              <w:rPr>
                <w:sz w:val="20"/>
                <w:szCs w:val="20"/>
                <w:color w:val="auto"/>
              </w:rPr>
            </w:pPr>
            <w:r>
              <w:rPr>
                <w:rFonts w:ascii="Arial" w:cs="Arial" w:eastAsia="Arial" w:hAnsi="Arial"/>
                <w:sz w:val="16"/>
                <w:szCs w:val="16"/>
                <w:color w:val="auto"/>
              </w:rPr>
              <w:t>St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80" w:type="dxa"/>
            <w:vAlign w:val="bottom"/>
          </w:tcPr>
          <w:p>
            <w:pPr>
              <w:jc w:val="center"/>
              <w:ind w:right="39"/>
              <w:spacing w:after="0"/>
              <w:rPr>
                <w:sz w:val="20"/>
                <w:szCs w:val="20"/>
                <w:color w:val="auto"/>
              </w:rPr>
            </w:pPr>
            <w:r>
              <w:rPr>
                <w:rFonts w:ascii="Arial" w:cs="Arial" w:eastAsia="Arial" w:hAnsi="Arial"/>
                <w:sz w:val="16"/>
                <w:szCs w:val="16"/>
                <w:color w:val="auto"/>
                <w:w w:val="91"/>
              </w:rPr>
              <w:t>NJ</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6,678</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1,133</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7,239</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221</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1,133</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7,460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8,593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818</w:t>
            </w:r>
          </w:p>
        </w:tc>
      </w:tr>
      <w:tr>
        <w:trPr>
          <w:trHeight w:val="270"/>
        </w:trPr>
        <w:tc>
          <w:tcPr>
            <w:tcW w:w="380" w:type="dxa"/>
            <w:vAlign w:val="bottom"/>
          </w:tcPr>
          <w:p>
            <w:pPr>
              <w:jc w:val="center"/>
              <w:ind w:right="39"/>
              <w:spacing w:after="0"/>
              <w:rPr>
                <w:sz w:val="20"/>
                <w:szCs w:val="20"/>
                <w:color w:val="auto"/>
              </w:rPr>
            </w:pPr>
            <w:r>
              <w:rPr>
                <w:rFonts w:ascii="Arial" w:cs="Arial" w:eastAsia="Arial" w:hAnsi="Arial"/>
                <w:sz w:val="16"/>
                <w:szCs w:val="16"/>
                <w:color w:val="auto"/>
                <w:w w:val="91"/>
              </w:rPr>
              <w:t>NJ</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6,584</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1,843</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4,499</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262</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1,843</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4,761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6,604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556</w:t>
            </w:r>
          </w:p>
        </w:tc>
      </w:tr>
      <w:tr>
        <w:trPr>
          <w:trHeight w:val="364"/>
        </w:trPr>
        <w:tc>
          <w:tcPr>
            <w:tcW w:w="380" w:type="dxa"/>
            <w:vAlign w:val="bottom"/>
          </w:tcPr>
          <w:p>
            <w:pPr>
              <w:jc w:val="center"/>
              <w:ind w:right="39"/>
              <w:spacing w:after="0"/>
              <w:rPr>
                <w:sz w:val="20"/>
                <w:szCs w:val="20"/>
                <w:color w:val="auto"/>
              </w:rPr>
            </w:pPr>
            <w:r>
              <w:rPr>
                <w:rFonts w:ascii="Arial" w:cs="Arial" w:eastAsia="Arial" w:hAnsi="Arial"/>
                <w:sz w:val="16"/>
                <w:szCs w:val="16"/>
                <w:color w:val="auto"/>
              </w:rPr>
              <w:t>NM</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755</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1,797</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rPr>
              <w:t>84</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755</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1,881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2,636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219</w:t>
            </w:r>
          </w:p>
        </w:tc>
      </w:tr>
      <w:tr>
        <w:trPr>
          <w:trHeight w:val="459"/>
        </w:trPr>
        <w:tc>
          <w:tcPr>
            <w:tcW w:w="380" w:type="dxa"/>
            <w:vAlign w:val="bottom"/>
          </w:tcPr>
          <w:p>
            <w:pPr>
              <w:jc w:val="center"/>
              <w:ind w:right="39"/>
              <w:spacing w:after="0"/>
              <w:rPr>
                <w:sz w:val="20"/>
                <w:szCs w:val="20"/>
                <w:color w:val="auto"/>
              </w:rPr>
            </w:pPr>
            <w:r>
              <w:rPr>
                <w:rFonts w:ascii="Arial" w:cs="Arial" w:eastAsia="Arial" w:hAnsi="Arial"/>
                <w:sz w:val="16"/>
                <w:szCs w:val="16"/>
                <w:color w:val="auto"/>
              </w:rPr>
              <w:t>NM</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4,364</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1,298</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4,628</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753</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1,298</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5,381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6,679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1,458</w:t>
            </w:r>
          </w:p>
        </w:tc>
      </w:tr>
      <w:tr>
        <w:trPr>
          <w:trHeight w:val="459"/>
        </w:trPr>
        <w:tc>
          <w:tcPr>
            <w:tcW w:w="380" w:type="dxa"/>
            <w:vAlign w:val="bottom"/>
          </w:tcPr>
          <w:p>
            <w:pPr>
              <w:jc w:val="center"/>
              <w:ind w:right="39"/>
              <w:spacing w:after="0"/>
              <w:rPr>
                <w:sz w:val="20"/>
                <w:szCs w:val="20"/>
                <w:color w:val="auto"/>
              </w:rPr>
            </w:pPr>
            <w:r>
              <w:rPr>
                <w:rFonts w:ascii="Arial" w:cs="Arial" w:eastAsia="Arial" w:hAnsi="Arial"/>
                <w:sz w:val="16"/>
                <w:szCs w:val="16"/>
                <w:color w:val="auto"/>
              </w:rPr>
              <w:t>NM</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1,346</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5,558</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156</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1,346</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5,714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7,060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157</w:t>
            </w:r>
          </w:p>
        </w:tc>
      </w:tr>
      <w:tr>
        <w:trPr>
          <w:trHeight w:val="459"/>
        </w:trPr>
        <w:tc>
          <w:tcPr>
            <w:tcW w:w="380" w:type="dxa"/>
            <w:vAlign w:val="bottom"/>
          </w:tcPr>
          <w:p>
            <w:pPr>
              <w:jc w:val="center"/>
              <w:ind w:right="39"/>
              <w:spacing w:after="0"/>
              <w:rPr>
                <w:sz w:val="20"/>
                <w:szCs w:val="20"/>
                <w:color w:val="auto"/>
              </w:rPr>
            </w:pPr>
            <w:r>
              <w:rPr>
                <w:rFonts w:ascii="Arial" w:cs="Arial" w:eastAsia="Arial" w:hAnsi="Arial"/>
                <w:sz w:val="16"/>
                <w:szCs w:val="16"/>
                <w:color w:val="auto"/>
              </w:rPr>
              <w:t>NM</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1,182</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5,813</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rPr>
              <w:t>39</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1,182</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5,852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7,034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51</w:t>
            </w:r>
          </w:p>
        </w:tc>
      </w:tr>
      <w:tr>
        <w:trPr>
          <w:trHeight w:val="459"/>
        </w:trPr>
        <w:tc>
          <w:tcPr>
            <w:tcW w:w="380" w:type="dxa"/>
            <w:vAlign w:val="bottom"/>
          </w:tcPr>
          <w:p>
            <w:pPr>
              <w:jc w:val="center"/>
              <w:ind w:right="39"/>
              <w:spacing w:after="0"/>
              <w:rPr>
                <w:sz w:val="20"/>
                <w:szCs w:val="20"/>
                <w:color w:val="auto"/>
              </w:rPr>
            </w:pPr>
            <w:r>
              <w:rPr>
                <w:rFonts w:ascii="Arial" w:cs="Arial" w:eastAsia="Arial" w:hAnsi="Arial"/>
                <w:sz w:val="16"/>
                <w:szCs w:val="16"/>
                <w:color w:val="auto"/>
              </w:rPr>
              <w:t>NM</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1,446</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7,647</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rPr>
              <w:t>71</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1,446</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7,718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9,164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67</w:t>
            </w:r>
          </w:p>
        </w:tc>
      </w:tr>
      <w:tr>
        <w:trPr>
          <w:trHeight w:val="459"/>
        </w:trPr>
        <w:tc>
          <w:tcPr>
            <w:tcW w:w="380" w:type="dxa"/>
            <w:vAlign w:val="bottom"/>
          </w:tcPr>
          <w:p>
            <w:pPr>
              <w:jc w:val="center"/>
              <w:ind w:right="39"/>
              <w:spacing w:after="0"/>
              <w:rPr>
                <w:sz w:val="20"/>
                <w:szCs w:val="20"/>
                <w:color w:val="auto"/>
              </w:rPr>
            </w:pPr>
            <w:r>
              <w:rPr>
                <w:rFonts w:ascii="Arial" w:cs="Arial" w:eastAsia="Arial" w:hAnsi="Arial"/>
                <w:sz w:val="16"/>
                <w:szCs w:val="16"/>
                <w:color w:val="auto"/>
              </w:rPr>
              <w:t>NM</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4,861</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4,861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4,861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42</w:t>
            </w:r>
          </w:p>
        </w:tc>
      </w:tr>
      <w:tr>
        <w:trPr>
          <w:trHeight w:val="459"/>
        </w:trPr>
        <w:tc>
          <w:tcPr>
            <w:tcW w:w="380" w:type="dxa"/>
            <w:vAlign w:val="bottom"/>
          </w:tcPr>
          <w:p>
            <w:pPr>
              <w:jc w:val="center"/>
              <w:ind w:right="39"/>
              <w:spacing w:after="0"/>
              <w:rPr>
                <w:sz w:val="20"/>
                <w:szCs w:val="20"/>
                <w:color w:val="auto"/>
              </w:rPr>
            </w:pPr>
            <w:r>
              <w:rPr>
                <w:rFonts w:ascii="Arial" w:cs="Arial" w:eastAsia="Arial" w:hAnsi="Arial"/>
                <w:sz w:val="16"/>
                <w:szCs w:val="16"/>
                <w:color w:val="auto"/>
              </w:rPr>
              <w:t>NM</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544</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3,081</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544</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3,081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3,625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13</w:t>
            </w:r>
          </w:p>
        </w:tc>
      </w:tr>
      <w:tr>
        <w:trPr>
          <w:trHeight w:val="459"/>
        </w:trPr>
        <w:tc>
          <w:tcPr>
            <w:tcW w:w="380" w:type="dxa"/>
            <w:vAlign w:val="bottom"/>
          </w:tcPr>
          <w:p>
            <w:pPr>
              <w:jc w:val="center"/>
              <w:ind w:right="39"/>
              <w:spacing w:after="0"/>
              <w:rPr>
                <w:sz w:val="20"/>
                <w:szCs w:val="20"/>
                <w:color w:val="auto"/>
              </w:rPr>
            </w:pPr>
            <w:r>
              <w:rPr>
                <w:rFonts w:ascii="Arial" w:cs="Arial" w:eastAsia="Arial" w:hAnsi="Arial"/>
                <w:sz w:val="16"/>
                <w:szCs w:val="16"/>
                <w:color w:val="auto"/>
              </w:rPr>
              <w:t>NM</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1,601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5,013</w:t>
            </w:r>
          </w:p>
        </w:tc>
        <w:tc>
          <w:tcPr>
            <w:tcW w:w="1280" w:type="dxa"/>
            <w:vAlign w:val="bottom"/>
          </w:tcPr>
          <w:p>
            <w:pPr>
              <w:jc w:val="center"/>
              <w:ind w:right="119"/>
              <w:spacing w:after="0"/>
              <w:rPr>
                <w:sz w:val="20"/>
                <w:szCs w:val="20"/>
                <w:color w:val="auto"/>
              </w:rPr>
            </w:pPr>
            <w:r>
              <w:rPr>
                <w:rFonts w:ascii="Arial" w:cs="Arial" w:eastAsia="Arial" w:hAnsi="Arial"/>
                <w:sz w:val="16"/>
                <w:szCs w:val="16"/>
                <w:color w:val="auto"/>
                <w:w w:val="89"/>
              </w:rPr>
              <w:t>1</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1,601</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5,014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6,615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43</w:t>
            </w:r>
          </w:p>
        </w:tc>
      </w:tr>
      <w:tr>
        <w:trPr>
          <w:trHeight w:val="459"/>
        </w:trPr>
        <w:tc>
          <w:tcPr>
            <w:tcW w:w="380" w:type="dxa"/>
            <w:vAlign w:val="bottom"/>
          </w:tcPr>
          <w:p>
            <w:pPr>
              <w:jc w:val="center"/>
              <w:ind w:right="39"/>
              <w:spacing w:after="0"/>
              <w:rPr>
                <w:sz w:val="20"/>
                <w:szCs w:val="20"/>
                <w:color w:val="auto"/>
              </w:rPr>
            </w:pPr>
            <w:r>
              <w:rPr>
                <w:rFonts w:ascii="Arial" w:cs="Arial" w:eastAsia="Arial" w:hAnsi="Arial"/>
                <w:sz w:val="16"/>
                <w:szCs w:val="16"/>
                <w:color w:val="auto"/>
              </w:rPr>
              <w:t>NM</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2,842</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7,965</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153</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2,842</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8,118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10,960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176</w:t>
            </w:r>
          </w:p>
        </w:tc>
      </w:tr>
      <w:tr>
        <w:trPr>
          <w:trHeight w:val="459"/>
        </w:trPr>
        <w:tc>
          <w:tcPr>
            <w:tcW w:w="380" w:type="dxa"/>
            <w:vAlign w:val="bottom"/>
          </w:tcPr>
          <w:p>
            <w:pPr>
              <w:jc w:val="center"/>
              <w:ind w:right="39"/>
              <w:spacing w:after="0"/>
              <w:rPr>
                <w:sz w:val="20"/>
                <w:szCs w:val="20"/>
                <w:color w:val="auto"/>
              </w:rPr>
            </w:pPr>
            <w:r>
              <w:rPr>
                <w:rFonts w:ascii="Arial" w:cs="Arial" w:eastAsia="Arial" w:hAnsi="Arial"/>
                <w:sz w:val="16"/>
                <w:szCs w:val="16"/>
                <w:color w:val="auto"/>
              </w:rPr>
              <w:t>NM</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1,667</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6,836</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247</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1,667</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7,083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8,750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188</w:t>
            </w:r>
          </w:p>
        </w:tc>
      </w:tr>
      <w:tr>
        <w:trPr>
          <w:trHeight w:val="364"/>
        </w:trPr>
        <w:tc>
          <w:tcPr>
            <w:tcW w:w="380" w:type="dxa"/>
            <w:vAlign w:val="bottom"/>
          </w:tcPr>
          <w:p>
            <w:pPr>
              <w:jc w:val="center"/>
              <w:ind w:right="39"/>
              <w:spacing w:after="0"/>
              <w:rPr>
                <w:sz w:val="20"/>
                <w:szCs w:val="20"/>
                <w:color w:val="auto"/>
              </w:rPr>
            </w:pPr>
            <w:r>
              <w:rPr>
                <w:rFonts w:ascii="Arial" w:cs="Arial" w:eastAsia="Arial" w:hAnsi="Arial"/>
                <w:sz w:val="16"/>
                <w:szCs w:val="16"/>
                <w:color w:val="auto"/>
              </w:rPr>
              <w:t>NM</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9,079</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8,620</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289</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9,079</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8,909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17,988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194</w:t>
            </w:r>
          </w:p>
        </w:tc>
      </w:tr>
      <w:tr>
        <w:trPr>
          <w:trHeight w:val="364"/>
        </w:trPr>
        <w:tc>
          <w:tcPr>
            <w:tcW w:w="380" w:type="dxa"/>
            <w:vAlign w:val="bottom"/>
          </w:tcPr>
          <w:p>
            <w:pPr>
              <w:jc w:val="center"/>
              <w:ind w:right="39"/>
              <w:spacing w:after="0"/>
              <w:rPr>
                <w:sz w:val="20"/>
                <w:szCs w:val="20"/>
                <w:color w:val="auto"/>
              </w:rPr>
            </w:pPr>
            <w:r>
              <w:rPr>
                <w:rFonts w:ascii="Arial" w:cs="Arial" w:eastAsia="Arial" w:hAnsi="Arial"/>
                <w:sz w:val="16"/>
                <w:szCs w:val="16"/>
                <w:color w:val="auto"/>
              </w:rPr>
              <w:t>NM</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6,263</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3,066</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7,366</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558</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3,066</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7,924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10,990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949</w:t>
            </w:r>
          </w:p>
        </w:tc>
      </w:tr>
      <w:tr>
        <w:trPr>
          <w:trHeight w:val="459"/>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NV</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4,705</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1,470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6,348</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343</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1,470</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6,691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8,161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221</w:t>
            </w:r>
          </w:p>
        </w:tc>
      </w:tr>
      <w:tr>
        <w:trPr>
          <w:trHeight w:val="459"/>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NV</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2,934</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8,897</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293</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2,934</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9,190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12,124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1,026</w:t>
            </w:r>
          </w:p>
        </w:tc>
      </w:tr>
      <w:tr>
        <w:trPr>
          <w:trHeight w:val="364"/>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NV</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4,011</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820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6,716</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209</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820</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6,925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7,745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228</w:t>
            </w:r>
          </w:p>
        </w:tc>
      </w:tr>
      <w:tr>
        <w:trPr>
          <w:trHeight w:val="270"/>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NV</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1,140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4,384</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319</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1,140</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4,703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5,843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157</w:t>
            </w:r>
          </w:p>
        </w:tc>
      </w:tr>
      <w:tr>
        <w:trPr>
          <w:trHeight w:val="270"/>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NV</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2,373</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1,441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1,810</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176</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1,441</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1,986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3,427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340</w:t>
            </w:r>
          </w:p>
        </w:tc>
      </w:tr>
      <w:tr>
        <w:trPr>
          <w:trHeight w:val="364"/>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NV</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2,830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6,834</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369</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2,830</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7,203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10,033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238</w:t>
            </w:r>
          </w:p>
        </w:tc>
      </w:tr>
      <w:tr>
        <w:trPr>
          <w:trHeight w:val="459"/>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NV</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251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717</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553</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278</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1,243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1,521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653</w:t>
            </w:r>
          </w:p>
        </w:tc>
      </w:tr>
      <w:tr>
        <w:trPr>
          <w:trHeight w:val="459"/>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NV</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2,601</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279</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3,900</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199</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279</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4,099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4,378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764</w:t>
            </w:r>
          </w:p>
        </w:tc>
      </w:tr>
      <w:tr>
        <w:trPr>
          <w:trHeight w:val="364"/>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NV</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1,420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5,900</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82"/>
              </w:rPr>
              <w:t>411</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1,420</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6,311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7,731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209</w:t>
            </w:r>
          </w:p>
        </w:tc>
      </w:tr>
      <w:tr>
        <w:trPr>
          <w:trHeight w:val="270"/>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NV</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590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5,899</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159</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590</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6,058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6,648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198</w:t>
            </w:r>
          </w:p>
        </w:tc>
      </w:tr>
      <w:tr>
        <w:trPr>
          <w:trHeight w:val="364"/>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NV</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550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1,319</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109</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550</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1,428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1,978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50</w:t>
            </w:r>
          </w:p>
        </w:tc>
      </w:tr>
      <w:tr>
        <w:trPr>
          <w:trHeight w:val="459"/>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NV</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3,776</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645</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4,568</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645</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4,568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5,213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107</w:t>
            </w:r>
          </w:p>
        </w:tc>
      </w:tr>
      <w:tr>
        <w:trPr>
          <w:trHeight w:val="459"/>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NV</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4,226</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773</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6,006</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313</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773</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6,319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7,092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699</w:t>
            </w:r>
          </w:p>
        </w:tc>
      </w:tr>
      <w:tr>
        <w:trPr>
          <w:trHeight w:val="459"/>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NV</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4,110</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400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4,936</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109</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400</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5,045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5,445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568</w:t>
            </w:r>
          </w:p>
        </w:tc>
      </w:tr>
      <w:tr>
        <w:trPr>
          <w:trHeight w:val="364"/>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NV</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1,260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4,589</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184</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1,260</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4,773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6,033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157</w:t>
            </w:r>
          </w:p>
        </w:tc>
      </w:tr>
      <w:tr>
        <w:trPr>
          <w:trHeight w:val="270"/>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NY</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890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9,941</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rPr>
              <w:t>59</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890</w:t>
            </w: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10,000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10,890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321</w:t>
            </w:r>
          </w:p>
        </w:tc>
      </w:tr>
      <w:tr>
        <w:trPr>
          <w:trHeight w:val="270"/>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NY</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1,456</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1,398</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408</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1,456</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1,806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3,262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495</w:t>
            </w:r>
          </w:p>
        </w:tc>
      </w:tr>
      <w:tr>
        <w:trPr>
          <w:trHeight w:val="270"/>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NY</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16,840</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3,450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21,210</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453</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3,450</w:t>
            </w: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21,663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25,113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2,918</w:t>
            </w:r>
          </w:p>
        </w:tc>
      </w:tr>
      <w:tr>
        <w:trPr>
          <w:trHeight w:val="270"/>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NY</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3,995</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11,870</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4"/>
              </w:rPr>
              <w:t>3,140</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3,995</w:t>
            </w: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15,010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19,005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4,324</w:t>
            </w:r>
          </w:p>
        </w:tc>
      </w:tr>
      <w:tr>
        <w:trPr>
          <w:trHeight w:val="270"/>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NY</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18,550</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12,993</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10,405</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405</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12,993</w:t>
            </w: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10,810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23,803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2,422</w:t>
            </w:r>
          </w:p>
        </w:tc>
      </w:tr>
      <w:tr>
        <w:trPr>
          <w:trHeight w:val="270"/>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NY</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20,805</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16,188</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23,309</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471</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16,257</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23,711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39,968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2,780</w:t>
            </w:r>
          </w:p>
        </w:tc>
      </w:tr>
      <w:tr>
        <w:trPr>
          <w:trHeight w:val="270"/>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NY</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7,598</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2,802</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6,536</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351</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2,802</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6,887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9,689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1,269</w:t>
            </w:r>
          </w:p>
        </w:tc>
      </w:tr>
      <w:tr>
        <w:trPr>
          <w:trHeight w:val="270"/>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NY</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12,085</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7,665</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12,085</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7,665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19,750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99"/>
              </w:rPr>
              <w:t>—</w:t>
            </w:r>
          </w:p>
        </w:tc>
      </w:tr>
      <w:tr>
        <w:trPr>
          <w:trHeight w:val="270"/>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NY</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4,014</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2,226</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1,657</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236</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2,226</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1,893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4,119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496</w:t>
            </w:r>
          </w:p>
        </w:tc>
      </w:tr>
      <w:tr>
        <w:trPr>
          <w:trHeight w:val="270"/>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NY</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2,800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12,173</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596</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2,800</w:t>
            </w: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12,769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15,569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1,564</w:t>
            </w:r>
          </w:p>
        </w:tc>
      </w:tr>
      <w:tr>
        <w:trPr>
          <w:trHeight w:val="270"/>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NY</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5,676</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3,784</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908</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5,676</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4,692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10,368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1,063</w:t>
            </w:r>
          </w:p>
        </w:tc>
      </w:tr>
      <w:tr>
        <w:trPr>
          <w:trHeight w:val="270"/>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NY</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5,383</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1,238</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7,095</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364</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1,238</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7,459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8,697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905</w:t>
            </w:r>
          </w:p>
        </w:tc>
      </w:tr>
      <w:tr>
        <w:trPr>
          <w:trHeight w:val="270"/>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NY</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8,477</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2,581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10,677</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132</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2,581</w:t>
            </w: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10,809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13,390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1,252</w:t>
            </w:r>
          </w:p>
        </w:tc>
      </w:tr>
      <w:tr>
        <w:trPr>
          <w:trHeight w:val="270"/>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NY</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4,703</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837</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6,199</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7"/>
              </w:rPr>
              <w:t>182</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837</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6,381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7,218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766</w:t>
            </w:r>
          </w:p>
        </w:tc>
      </w:tr>
      <w:tr>
        <w:trPr>
          <w:trHeight w:val="270"/>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NY</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32,361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24,017</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rPr>
              <w:t>40</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32,362</w:t>
            </w: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24,056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56,418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566</w:t>
            </w:r>
          </w:p>
        </w:tc>
      </w:tr>
      <w:tr>
        <w:trPr>
          <w:trHeight w:val="364"/>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NY</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7,726</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1,926</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7,622</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4"/>
              </w:rPr>
              <w:t>1,075</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1,926</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8,697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10,623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3,199</w:t>
            </w:r>
          </w:p>
        </w:tc>
      </w:tr>
      <w:tr>
        <w:trPr>
          <w:trHeight w:val="364"/>
        </w:trPr>
        <w:tc>
          <w:tcPr>
            <w:tcW w:w="380" w:type="dxa"/>
            <w:vAlign w:val="bottom"/>
          </w:tcPr>
          <w:p>
            <w:pPr>
              <w:jc w:val="center"/>
              <w:ind w:right="59"/>
              <w:spacing w:after="0"/>
              <w:rPr>
                <w:sz w:val="20"/>
                <w:szCs w:val="20"/>
                <w:color w:val="auto"/>
              </w:rPr>
            </w:pPr>
            <w:r>
              <w:rPr>
                <w:rFonts w:ascii="Arial" w:cs="Arial" w:eastAsia="Arial" w:hAnsi="Arial"/>
                <w:sz w:val="16"/>
                <w:szCs w:val="16"/>
                <w:color w:val="auto"/>
              </w:rPr>
              <w:t>NY</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9"/>
              </w:rPr>
              <w:t>1,585</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6,025</w:t>
            </w: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4"/>
              </w:rPr>
              <w:t>2,850</w:t>
            </w:r>
          </w:p>
        </w:tc>
        <w:tc>
          <w:tcPr>
            <w:tcW w:w="1280" w:type="dxa"/>
            <w:vAlign w:val="bottom"/>
          </w:tcPr>
          <w:p>
            <w:pPr>
              <w:jc w:val="center"/>
              <w:ind w:left="159"/>
              <w:spacing w:after="0"/>
              <w:rPr>
                <w:sz w:val="20"/>
                <w:szCs w:val="20"/>
                <w:color w:val="auto"/>
              </w:rPr>
            </w:pPr>
            <w:r>
              <w:rPr>
                <w:rFonts w:ascii="Arial" w:cs="Arial" w:eastAsia="Arial" w:hAnsi="Arial"/>
                <w:sz w:val="16"/>
                <w:szCs w:val="16"/>
                <w:color w:val="auto"/>
                <w:w w:val="89"/>
              </w:rPr>
              <w:t>1,585</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8,875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10,460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3,065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-10386060</wp:posOffset>
            </wp:positionV>
            <wp:extent cx="72466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-10197465</wp:posOffset>
            </wp:positionV>
            <wp:extent cx="7246620" cy="1714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-9735185</wp:posOffset>
            </wp:positionV>
            <wp:extent cx="7246620" cy="291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-9152255</wp:posOffset>
            </wp:positionV>
            <wp:extent cx="7246620" cy="2914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-8569960</wp:posOffset>
            </wp:positionV>
            <wp:extent cx="7246620" cy="291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-7987665</wp:posOffset>
            </wp:positionV>
            <wp:extent cx="7246620" cy="2914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-7405370</wp:posOffset>
            </wp:positionV>
            <wp:extent cx="7246620" cy="291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-6942455</wp:posOffset>
            </wp:positionV>
            <wp:extent cx="7246620" cy="2914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-6360160</wp:posOffset>
            </wp:positionV>
            <wp:extent cx="7246620" cy="2914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-5897245</wp:posOffset>
            </wp:positionV>
            <wp:extent cx="7246620" cy="1714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-5554980</wp:posOffset>
            </wp:positionV>
            <wp:extent cx="7246620" cy="2914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-4972050</wp:posOffset>
            </wp:positionV>
            <wp:extent cx="7246620" cy="2914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-4509770</wp:posOffset>
            </wp:positionV>
            <wp:extent cx="7246620" cy="1714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-4047490</wp:posOffset>
            </wp:positionV>
            <wp:extent cx="7246620" cy="2914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-3464560</wp:posOffset>
            </wp:positionV>
            <wp:extent cx="7246620" cy="2914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-3002280</wp:posOffset>
            </wp:positionV>
            <wp:extent cx="7246620" cy="1714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-2659380</wp:posOffset>
            </wp:positionV>
            <wp:extent cx="7246620" cy="1714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-2317115</wp:posOffset>
            </wp:positionV>
            <wp:extent cx="7246620" cy="1714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-1974215</wp:posOffset>
            </wp:positionV>
            <wp:extent cx="7246620" cy="1714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-1631950</wp:posOffset>
            </wp:positionV>
            <wp:extent cx="7246620" cy="1714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-1289050</wp:posOffset>
            </wp:positionV>
            <wp:extent cx="7246620" cy="1714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-946150</wp:posOffset>
            </wp:positionV>
            <wp:extent cx="7246620" cy="1714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-603885</wp:posOffset>
            </wp:positionV>
            <wp:extent cx="7246620" cy="1714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-140970</wp:posOffset>
            </wp:positionV>
            <wp:extent cx="7246620" cy="2705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270510"/>
                    </a:xfrm>
                    <a:prstGeom prst="rect">
                      <a:avLst/>
                    </a:prstGeom>
                    <a:noFill/>
                  </pic:spPr>
                </pic:pic>
              </a:graphicData>
            </a:graphic>
          </wp:anchor>
        </w:drawing>
      </w:r>
    </w:p>
    <w:p>
      <w:pPr>
        <w:sectPr>
          <w:pgSz w:w="11900" w:h="16899" w:orient="portrait"/>
          <w:cols w:equalWidth="0" w:num="2">
            <w:col w:w="2440" w:space="240"/>
            <w:col w:w="8320"/>
          </w:cols>
          <w:pgMar w:left="360" w:top="184" w:right="539" w:bottom="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6"/>
        </w:trPr>
        <w:tc>
          <w:tcPr>
            <w:tcW w:w="900" w:type="dxa"/>
            <w:vAlign w:val="bottom"/>
          </w:tcPr>
          <w:p>
            <w:pPr>
              <w:jc w:val="center"/>
              <w:spacing w:after="0"/>
              <w:rPr>
                <w:sz w:val="20"/>
                <w:szCs w:val="20"/>
                <w:color w:val="auto"/>
              </w:rPr>
            </w:pPr>
            <w:r>
              <w:rPr>
                <w:rFonts w:ascii="Arial" w:cs="Arial" w:eastAsia="Arial" w:hAnsi="Arial"/>
                <w:sz w:val="16"/>
                <w:szCs w:val="16"/>
                <w:color w:val="auto"/>
                <w:w w:val="89"/>
              </w:rPr>
              <w:t>2/7/2002</w:t>
            </w:r>
          </w:p>
        </w:tc>
        <w:tc>
          <w:tcPr>
            <w:tcW w:w="1440" w:type="dxa"/>
            <w:vAlign w:val="bottom"/>
          </w:tcPr>
          <w:p>
            <w:pPr>
              <w:ind w:left="80"/>
              <w:spacing w:after="0"/>
              <w:rPr>
                <w:sz w:val="20"/>
                <w:szCs w:val="20"/>
                <w:color w:val="auto"/>
              </w:rPr>
            </w:pPr>
            <w:r>
              <w:rPr>
                <w:rFonts w:ascii="Arial" w:cs="Arial" w:eastAsia="Arial" w:hAnsi="Arial"/>
                <w:sz w:val="16"/>
                <w:szCs w:val="16"/>
                <w:color w:val="auto"/>
              </w:rPr>
              <w:t>Nanuet</w:t>
            </w:r>
          </w:p>
        </w:tc>
        <w:tc>
          <w:tcPr>
            <w:tcW w:w="820" w:type="dxa"/>
            <w:vAlign w:val="bottom"/>
          </w:tcPr>
          <w:p>
            <w:pPr>
              <w:ind w:left="460"/>
              <w:spacing w:after="0"/>
              <w:rPr>
                <w:sz w:val="20"/>
                <w:szCs w:val="20"/>
                <w:color w:val="auto"/>
              </w:rPr>
            </w:pPr>
            <w:r>
              <w:rPr>
                <w:rFonts w:ascii="Arial" w:cs="Arial" w:eastAsia="Arial" w:hAnsi="Arial"/>
                <w:sz w:val="16"/>
                <w:szCs w:val="16"/>
                <w:color w:val="auto"/>
              </w:rPr>
              <w:t>NY</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9,581</w:t>
            </w:r>
          </w:p>
        </w:tc>
        <w:tc>
          <w:tcPr>
            <w:tcW w:w="860" w:type="dxa"/>
            <w:vAlign w:val="bottom"/>
          </w:tcPr>
          <w:p>
            <w:pPr>
              <w:jc w:val="right"/>
              <w:ind w:right="239"/>
              <w:spacing w:after="0"/>
              <w:rPr>
                <w:sz w:val="20"/>
                <w:szCs w:val="20"/>
                <w:color w:val="auto"/>
              </w:rPr>
            </w:pPr>
            <w:r>
              <w:rPr>
                <w:rFonts w:ascii="Arial" w:cs="Arial" w:eastAsia="Arial" w:hAnsi="Arial"/>
                <w:sz w:val="16"/>
                <w:szCs w:val="16"/>
                <w:color w:val="auto"/>
              </w:rPr>
              <w:t>2,072</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4,644</w:t>
            </w:r>
          </w:p>
        </w:tc>
        <w:tc>
          <w:tcPr>
            <w:tcW w:w="1300" w:type="dxa"/>
            <w:vAlign w:val="bottom"/>
          </w:tcPr>
          <w:p>
            <w:pPr>
              <w:jc w:val="center"/>
              <w:ind w:right="119"/>
              <w:spacing w:after="0"/>
              <w:rPr>
                <w:sz w:val="20"/>
                <w:szCs w:val="20"/>
                <w:color w:val="auto"/>
              </w:rPr>
            </w:pPr>
            <w:r>
              <w:rPr>
                <w:rFonts w:ascii="Arial" w:cs="Arial" w:eastAsia="Arial" w:hAnsi="Arial"/>
                <w:sz w:val="16"/>
                <w:szCs w:val="16"/>
                <w:color w:val="auto"/>
                <w:w w:val="94"/>
              </w:rPr>
              <w:t>1,779</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2,738</w:t>
            </w:r>
          </w:p>
        </w:tc>
        <w:tc>
          <w:tcPr>
            <w:tcW w:w="1040" w:type="dxa"/>
            <w:vAlign w:val="bottom"/>
          </w:tcPr>
          <w:p>
            <w:pPr>
              <w:jc w:val="center"/>
              <w:spacing w:after="0"/>
              <w:rPr>
                <w:sz w:val="20"/>
                <w:szCs w:val="20"/>
                <w:color w:val="auto"/>
              </w:rPr>
            </w:pPr>
            <w:r>
              <w:rPr>
                <w:rFonts w:ascii="Arial" w:cs="Arial" w:eastAsia="Arial" w:hAnsi="Arial"/>
                <w:sz w:val="16"/>
                <w:szCs w:val="16"/>
                <w:color w:val="auto"/>
                <w:w w:val="94"/>
              </w:rPr>
              <w:t>5,757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8,495</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2,261</w:t>
            </w:r>
          </w:p>
        </w:tc>
      </w:tr>
      <w:tr>
        <w:trPr>
          <w:trHeight w:val="46"/>
        </w:trPr>
        <w:tc>
          <w:tcPr>
            <w:tcW w:w="9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7/1/2005</w:t>
            </w:r>
          </w:p>
        </w:tc>
        <w:tc>
          <w:tcPr>
            <w:tcW w:w="1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New Paltz</w:t>
            </w:r>
          </w:p>
        </w:tc>
        <w:tc>
          <w:tcPr>
            <w:tcW w:w="8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NY</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4,215</w:t>
            </w:r>
          </w:p>
        </w:tc>
        <w:tc>
          <w:tcPr>
            <w:tcW w:w="8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2,059</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3,715</w:t>
            </w:r>
          </w:p>
        </w:tc>
        <w:tc>
          <w:tcPr>
            <w:tcW w:w="130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w w:val="97"/>
              </w:rPr>
              <w:t>700</w:t>
            </w:r>
          </w:p>
        </w:tc>
        <w:tc>
          <w:tcPr>
            <w:tcW w:w="12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2,059</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4,415</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6,474</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1,499</w:t>
            </w:r>
          </w:p>
        </w:tc>
      </w:tr>
      <w:tr>
        <w:trPr>
          <w:trHeight w:val="223"/>
        </w:trPr>
        <w:tc>
          <w:tcPr>
            <w:tcW w:w="900" w:type="dxa"/>
            <w:vAlign w:val="bottom"/>
          </w:tcPr>
          <w:p>
            <w:pPr>
              <w:jc w:val="center"/>
              <w:spacing w:after="0"/>
              <w:rPr>
                <w:sz w:val="20"/>
                <w:szCs w:val="20"/>
                <w:color w:val="auto"/>
              </w:rPr>
            </w:pPr>
            <w:r>
              <w:rPr>
                <w:rFonts w:ascii="Arial" w:cs="Arial" w:eastAsia="Arial" w:hAnsi="Arial"/>
                <w:sz w:val="16"/>
                <w:szCs w:val="16"/>
                <w:color w:val="auto"/>
                <w:w w:val="89"/>
              </w:rPr>
              <w:t>7/1/2005</w:t>
            </w:r>
          </w:p>
        </w:tc>
        <w:tc>
          <w:tcPr>
            <w:tcW w:w="1440" w:type="dxa"/>
            <w:vAlign w:val="bottom"/>
          </w:tcPr>
          <w:p>
            <w:pPr>
              <w:ind w:left="80"/>
              <w:spacing w:after="0"/>
              <w:rPr>
                <w:sz w:val="20"/>
                <w:szCs w:val="20"/>
                <w:color w:val="auto"/>
              </w:rPr>
            </w:pPr>
            <w:r>
              <w:rPr>
                <w:rFonts w:ascii="Arial" w:cs="Arial" w:eastAsia="Arial" w:hAnsi="Arial"/>
                <w:sz w:val="16"/>
                <w:szCs w:val="16"/>
                <w:color w:val="auto"/>
              </w:rPr>
              <w:t>New York</w:t>
            </w:r>
          </w:p>
        </w:tc>
        <w:tc>
          <w:tcPr>
            <w:tcW w:w="820" w:type="dxa"/>
            <w:vAlign w:val="bottom"/>
          </w:tcPr>
          <w:p>
            <w:pPr>
              <w:ind w:left="460"/>
              <w:spacing w:after="0"/>
              <w:rPr>
                <w:sz w:val="20"/>
                <w:szCs w:val="20"/>
                <w:color w:val="auto"/>
              </w:rPr>
            </w:pPr>
            <w:r>
              <w:rPr>
                <w:rFonts w:ascii="Arial" w:cs="Arial" w:eastAsia="Arial" w:hAnsi="Arial"/>
                <w:sz w:val="16"/>
                <w:szCs w:val="16"/>
                <w:color w:val="auto"/>
              </w:rPr>
              <w:t>NY</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17,825</w:t>
            </w:r>
          </w:p>
        </w:tc>
        <w:tc>
          <w:tcPr>
            <w:tcW w:w="860" w:type="dxa"/>
            <w:vAlign w:val="bottom"/>
          </w:tcPr>
          <w:p>
            <w:pPr>
              <w:jc w:val="right"/>
              <w:ind w:right="239"/>
              <w:spacing w:after="0"/>
              <w:rPr>
                <w:sz w:val="20"/>
                <w:szCs w:val="20"/>
                <w:color w:val="auto"/>
              </w:rPr>
            </w:pPr>
            <w:r>
              <w:rPr>
                <w:rFonts w:ascii="Arial" w:cs="Arial" w:eastAsia="Arial" w:hAnsi="Arial"/>
                <w:sz w:val="16"/>
                <w:szCs w:val="16"/>
                <w:color w:val="auto"/>
              </w:rPr>
              <w:t>3,060</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16,978</w:t>
            </w:r>
          </w:p>
        </w:tc>
        <w:tc>
          <w:tcPr>
            <w:tcW w:w="1300" w:type="dxa"/>
            <w:vAlign w:val="bottom"/>
          </w:tcPr>
          <w:p>
            <w:pPr>
              <w:jc w:val="center"/>
              <w:ind w:right="119"/>
              <w:spacing w:after="0"/>
              <w:rPr>
                <w:sz w:val="20"/>
                <w:szCs w:val="20"/>
                <w:color w:val="auto"/>
              </w:rPr>
            </w:pPr>
            <w:r>
              <w:rPr>
                <w:rFonts w:ascii="Arial" w:cs="Arial" w:eastAsia="Arial" w:hAnsi="Arial"/>
                <w:sz w:val="16"/>
                <w:szCs w:val="16"/>
                <w:color w:val="auto"/>
                <w:w w:val="97"/>
              </w:rPr>
              <w:t>795</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3,060</w:t>
            </w: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17,773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20,833</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5,579</w:t>
            </w:r>
          </w:p>
        </w:tc>
      </w:tr>
      <w:tr>
        <w:trPr>
          <w:trHeight w:val="46"/>
        </w:trPr>
        <w:tc>
          <w:tcPr>
            <w:tcW w:w="9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12/4/2000</w:t>
            </w:r>
          </w:p>
        </w:tc>
        <w:tc>
          <w:tcPr>
            <w:tcW w:w="1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Plainview</w:t>
            </w:r>
          </w:p>
        </w:tc>
        <w:tc>
          <w:tcPr>
            <w:tcW w:w="8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NY</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7,367</w:t>
            </w:r>
          </w:p>
        </w:tc>
        <w:tc>
          <w:tcPr>
            <w:tcW w:w="8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4,287</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3,710</w:t>
            </w:r>
          </w:p>
        </w:tc>
        <w:tc>
          <w:tcPr>
            <w:tcW w:w="130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w w:val="97"/>
              </w:rPr>
              <w:t>751</w:t>
            </w:r>
          </w:p>
        </w:tc>
        <w:tc>
          <w:tcPr>
            <w:tcW w:w="12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4,287</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4,461</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8,748</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2,037</w:t>
            </w:r>
          </w:p>
        </w:tc>
      </w:tr>
      <w:tr>
        <w:trPr>
          <w:trHeight w:val="223"/>
        </w:trPr>
        <w:tc>
          <w:tcPr>
            <w:tcW w:w="900" w:type="dxa"/>
            <w:vAlign w:val="bottom"/>
          </w:tcPr>
          <w:p>
            <w:pPr>
              <w:jc w:val="center"/>
              <w:spacing w:after="0"/>
              <w:rPr>
                <w:sz w:val="20"/>
                <w:szCs w:val="20"/>
                <w:color w:val="auto"/>
              </w:rPr>
            </w:pPr>
            <w:r>
              <w:rPr>
                <w:rFonts w:ascii="Arial" w:cs="Arial" w:eastAsia="Arial" w:hAnsi="Arial"/>
                <w:sz w:val="16"/>
                <w:szCs w:val="16"/>
                <w:color w:val="auto"/>
                <w:w w:val="89"/>
              </w:rPr>
              <w:t>7/18/2012</w:t>
            </w:r>
          </w:p>
        </w:tc>
        <w:tc>
          <w:tcPr>
            <w:tcW w:w="1440" w:type="dxa"/>
            <w:vAlign w:val="bottom"/>
          </w:tcPr>
          <w:p>
            <w:pPr>
              <w:ind w:left="80"/>
              <w:spacing w:after="0"/>
              <w:rPr>
                <w:sz w:val="20"/>
                <w:szCs w:val="20"/>
                <w:color w:val="auto"/>
              </w:rPr>
            </w:pPr>
            <w:r>
              <w:rPr>
                <w:rFonts w:ascii="Arial" w:cs="Arial" w:eastAsia="Arial" w:hAnsi="Arial"/>
                <w:sz w:val="16"/>
                <w:szCs w:val="16"/>
                <w:color w:val="auto"/>
              </w:rPr>
              <w:t>Poughkeepsie</w:t>
            </w:r>
          </w:p>
        </w:tc>
        <w:tc>
          <w:tcPr>
            <w:tcW w:w="820" w:type="dxa"/>
            <w:vAlign w:val="bottom"/>
          </w:tcPr>
          <w:p>
            <w:pPr>
              <w:ind w:left="460"/>
              <w:spacing w:after="0"/>
              <w:rPr>
                <w:sz w:val="20"/>
                <w:szCs w:val="20"/>
                <w:color w:val="auto"/>
              </w:rPr>
            </w:pPr>
            <w:r>
              <w:rPr>
                <w:rFonts w:ascii="Arial" w:cs="Arial" w:eastAsia="Arial" w:hAnsi="Arial"/>
                <w:sz w:val="16"/>
                <w:szCs w:val="16"/>
                <w:color w:val="auto"/>
              </w:rPr>
              <w:t>NY</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5,799</w:t>
            </w:r>
          </w:p>
        </w:tc>
        <w:tc>
          <w:tcPr>
            <w:tcW w:w="860" w:type="dxa"/>
            <w:vAlign w:val="bottom"/>
          </w:tcPr>
          <w:p>
            <w:pPr>
              <w:jc w:val="right"/>
              <w:ind w:right="239"/>
              <w:spacing w:after="0"/>
              <w:rPr>
                <w:sz w:val="20"/>
                <w:szCs w:val="20"/>
                <w:color w:val="auto"/>
              </w:rPr>
            </w:pPr>
            <w:r>
              <w:rPr>
                <w:rFonts w:ascii="Arial" w:cs="Arial" w:eastAsia="Arial" w:hAnsi="Arial"/>
                <w:sz w:val="16"/>
                <w:szCs w:val="16"/>
                <w:color w:val="auto"/>
              </w:rPr>
              <w:t>1,038</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7,862</w:t>
            </w:r>
          </w:p>
        </w:tc>
        <w:tc>
          <w:tcPr>
            <w:tcW w:w="1300" w:type="dxa"/>
            <w:vAlign w:val="bottom"/>
          </w:tcPr>
          <w:p>
            <w:pPr>
              <w:jc w:val="center"/>
              <w:ind w:right="119"/>
              <w:spacing w:after="0"/>
              <w:rPr>
                <w:sz w:val="20"/>
                <w:szCs w:val="20"/>
                <w:color w:val="auto"/>
              </w:rPr>
            </w:pPr>
            <w:r>
              <w:rPr>
                <w:rFonts w:ascii="Arial" w:cs="Arial" w:eastAsia="Arial" w:hAnsi="Arial"/>
                <w:sz w:val="16"/>
                <w:szCs w:val="16"/>
                <w:color w:val="auto"/>
                <w:w w:val="97"/>
              </w:rPr>
              <w:t>281</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1,038</w:t>
            </w:r>
          </w:p>
        </w:tc>
        <w:tc>
          <w:tcPr>
            <w:tcW w:w="1040" w:type="dxa"/>
            <w:vAlign w:val="bottom"/>
          </w:tcPr>
          <w:p>
            <w:pPr>
              <w:jc w:val="center"/>
              <w:spacing w:after="0"/>
              <w:rPr>
                <w:sz w:val="20"/>
                <w:szCs w:val="20"/>
                <w:color w:val="auto"/>
              </w:rPr>
            </w:pPr>
            <w:r>
              <w:rPr>
                <w:rFonts w:ascii="Arial" w:cs="Arial" w:eastAsia="Arial" w:hAnsi="Arial"/>
                <w:sz w:val="16"/>
                <w:szCs w:val="16"/>
                <w:color w:val="auto"/>
                <w:w w:val="94"/>
              </w:rPr>
              <w:t>8,143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9,181</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959</w:t>
            </w:r>
          </w:p>
        </w:tc>
      </w:tr>
      <w:tr>
        <w:trPr>
          <w:trHeight w:val="46"/>
        </w:trPr>
        <w:tc>
          <w:tcPr>
            <w:tcW w:w="9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23"/>
        </w:trPr>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7/2/2012</w:t>
            </w:r>
          </w:p>
        </w:tc>
        <w:tc>
          <w:tcPr>
            <w:tcW w:w="1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Ridge</w:t>
            </w:r>
          </w:p>
        </w:tc>
        <w:tc>
          <w:tcPr>
            <w:tcW w:w="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5,940</w:t>
            </w:r>
          </w:p>
        </w:tc>
        <w:tc>
          <w:tcPr>
            <w:tcW w:w="8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1,762</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6,934</w:t>
            </w:r>
          </w:p>
        </w:tc>
        <w:tc>
          <w:tcPr>
            <w:tcW w:w="130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w w:val="97"/>
              </w:rPr>
              <w:t>243</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1,762</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7,177</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8,939</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822</w:t>
            </w:r>
          </w:p>
        </w:tc>
      </w:tr>
      <w:tr>
        <w:trPr>
          <w:trHeight w:val="46"/>
        </w:trPr>
        <w:tc>
          <w:tcPr>
            <w:tcW w:w="900" w:type="dxa"/>
            <w:vAlign w:val="bottom"/>
            <w:shd w:val="clear" w:color="auto" w:fill="CCEEFF"/>
          </w:tcPr>
          <w:p>
            <w:pPr>
              <w:spacing w:after="0"/>
              <w:rPr>
                <w:sz w:val="4"/>
                <w:szCs w:val="4"/>
                <w:color w:val="auto"/>
              </w:rPr>
            </w:pPr>
          </w:p>
        </w:tc>
        <w:tc>
          <w:tcPr>
            <w:tcW w:w="144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r>
    </w:tbl>
    <w:p>
      <w:pPr>
        <w:spacing w:after="0" w:line="2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84"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02"/>
        </w:trPr>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acquired</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9"/>
              </w:rPr>
              <w:t>or</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development</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completed</w:t>
            </w:r>
          </w:p>
        </w:tc>
        <w:tc>
          <w:tcPr>
            <w:tcW w:w="1400" w:type="dxa"/>
            <w:vAlign w:val="bottom"/>
          </w:tcPr>
          <w:p>
            <w:pPr>
              <w:ind w:left="300"/>
              <w:spacing w:after="0"/>
              <w:rPr>
                <w:sz w:val="20"/>
                <w:szCs w:val="20"/>
                <w:color w:val="auto"/>
              </w:rPr>
            </w:pPr>
            <w:r>
              <w:rPr>
                <w:rFonts w:ascii="Arial" w:cs="Arial" w:eastAsia="Arial" w:hAnsi="Arial"/>
                <w:sz w:val="16"/>
                <w:szCs w:val="16"/>
                <w:b w:val="1"/>
                <w:bCs w:val="1"/>
                <w:color w:val="auto"/>
              </w:rPr>
              <w:t>Store Name</w:t>
            </w:r>
          </w:p>
        </w:tc>
        <w:tc>
          <w:tcPr>
            <w:tcW w:w="0" w:type="dxa"/>
            <w:vAlign w:val="bottom"/>
          </w:tcPr>
          <w:p>
            <w:pPr>
              <w:spacing w:after="0"/>
              <w:rPr>
                <w:sz w:val="1"/>
                <w:szCs w:val="1"/>
                <w:color w:val="auto"/>
              </w:rPr>
            </w:pPr>
          </w:p>
        </w:tc>
      </w:tr>
      <w:tr>
        <w:trPr>
          <w:trHeight w:val="33"/>
        </w:trPr>
        <w:tc>
          <w:tcPr>
            <w:tcW w:w="9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6/27/2011</w:t>
            </w:r>
          </w:p>
        </w:tc>
        <w:tc>
          <w:tcPr>
            <w:tcW w:w="1400" w:type="dxa"/>
            <w:vAlign w:val="bottom"/>
          </w:tcPr>
          <w:p>
            <w:pPr>
              <w:ind w:left="20"/>
              <w:spacing w:after="0"/>
              <w:rPr>
                <w:sz w:val="20"/>
                <w:szCs w:val="20"/>
                <w:color w:val="auto"/>
              </w:rPr>
            </w:pPr>
            <w:r>
              <w:rPr>
                <w:rFonts w:ascii="Arial" w:cs="Arial" w:eastAsia="Arial" w:hAnsi="Arial"/>
                <w:sz w:val="16"/>
                <w:szCs w:val="16"/>
                <w:color w:val="auto"/>
              </w:rPr>
              <w:t>Cincinnati /</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Glencrossing Way</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6/27/2011</w:t>
            </w:r>
          </w:p>
        </w:tc>
        <w:tc>
          <w:tcPr>
            <w:tcW w:w="1400" w:type="dxa"/>
            <w:vAlign w:val="bottom"/>
          </w:tcPr>
          <w:p>
            <w:pPr>
              <w:ind w:left="20"/>
              <w:spacing w:after="0"/>
              <w:rPr>
                <w:sz w:val="20"/>
                <w:szCs w:val="20"/>
                <w:color w:val="auto"/>
              </w:rPr>
            </w:pPr>
            <w:r>
              <w:rPr>
                <w:rFonts w:ascii="Arial" w:cs="Arial" w:eastAsia="Arial" w:hAnsi="Arial"/>
                <w:sz w:val="16"/>
                <w:szCs w:val="16"/>
                <w:color w:val="auto"/>
              </w:rPr>
              <w:t>Cincinnati /</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w w:val="96"/>
              </w:rPr>
              <w:t>Glendale/Milford Rd</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6/27/2011</w:t>
            </w:r>
          </w:p>
        </w:tc>
        <w:tc>
          <w:tcPr>
            <w:tcW w:w="1400" w:type="dxa"/>
            <w:vAlign w:val="bottom"/>
          </w:tcPr>
          <w:p>
            <w:pPr>
              <w:ind w:left="20"/>
              <w:spacing w:after="0"/>
              <w:rPr>
                <w:sz w:val="20"/>
                <w:szCs w:val="20"/>
                <w:color w:val="auto"/>
              </w:rPr>
            </w:pPr>
            <w:r>
              <w:rPr>
                <w:rFonts w:ascii="Arial" w:cs="Arial" w:eastAsia="Arial" w:hAnsi="Arial"/>
                <w:sz w:val="16"/>
                <w:szCs w:val="16"/>
                <w:color w:val="auto"/>
              </w:rPr>
              <w:t>Cincinnati /</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Hamilton Ave</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6/27/2011</w:t>
            </w:r>
          </w:p>
        </w:tc>
        <w:tc>
          <w:tcPr>
            <w:tcW w:w="1400" w:type="dxa"/>
            <w:vAlign w:val="bottom"/>
          </w:tcPr>
          <w:p>
            <w:pPr>
              <w:ind w:left="20"/>
              <w:spacing w:after="0"/>
              <w:rPr>
                <w:sz w:val="20"/>
                <w:szCs w:val="20"/>
                <w:color w:val="auto"/>
              </w:rPr>
            </w:pPr>
            <w:r>
              <w:rPr>
                <w:rFonts w:ascii="Arial" w:cs="Arial" w:eastAsia="Arial" w:hAnsi="Arial"/>
                <w:sz w:val="16"/>
                <w:szCs w:val="16"/>
                <w:color w:val="auto"/>
                <w:w w:val="94"/>
              </w:rPr>
              <w:t>Cincinnati / Wooster</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Pk</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9/16/2016</w:t>
            </w:r>
          </w:p>
        </w:tc>
        <w:tc>
          <w:tcPr>
            <w:tcW w:w="1400" w:type="dxa"/>
            <w:vAlign w:val="bottom"/>
          </w:tcPr>
          <w:p>
            <w:pPr>
              <w:ind w:left="20"/>
              <w:spacing w:after="0"/>
              <w:rPr>
                <w:sz w:val="20"/>
                <w:szCs w:val="20"/>
                <w:color w:val="auto"/>
              </w:rPr>
            </w:pPr>
            <w:r>
              <w:rPr>
                <w:rFonts w:ascii="Arial" w:cs="Arial" w:eastAsia="Arial" w:hAnsi="Arial"/>
                <w:sz w:val="16"/>
                <w:szCs w:val="16"/>
                <w:color w:val="auto"/>
              </w:rPr>
              <w:t>Columbus / E Main</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St</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7/1/2005</w:t>
            </w:r>
          </w:p>
        </w:tc>
        <w:tc>
          <w:tcPr>
            <w:tcW w:w="1400" w:type="dxa"/>
            <w:vAlign w:val="bottom"/>
          </w:tcPr>
          <w:p>
            <w:pPr>
              <w:ind w:left="20"/>
              <w:spacing w:after="0"/>
              <w:rPr>
                <w:sz w:val="20"/>
                <w:szCs w:val="20"/>
                <w:color w:val="auto"/>
              </w:rPr>
            </w:pPr>
            <w:r>
              <w:rPr>
                <w:rFonts w:ascii="Arial" w:cs="Arial" w:eastAsia="Arial" w:hAnsi="Arial"/>
                <w:sz w:val="16"/>
                <w:szCs w:val="16"/>
                <w:color w:val="auto"/>
                <w:w w:val="94"/>
              </w:rPr>
              <w:t>Columbus / Innis Rd</w:t>
            </w: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11/1/2013</w:t>
            </w:r>
          </w:p>
        </w:tc>
        <w:tc>
          <w:tcPr>
            <w:tcW w:w="1400" w:type="dxa"/>
            <w:vAlign w:val="bottom"/>
          </w:tcPr>
          <w:p>
            <w:pPr>
              <w:ind w:left="20"/>
              <w:spacing w:after="0"/>
              <w:rPr>
                <w:sz w:val="20"/>
                <w:szCs w:val="20"/>
                <w:color w:val="auto"/>
              </w:rPr>
            </w:pPr>
            <w:r>
              <w:rPr>
                <w:rFonts w:ascii="Arial" w:cs="Arial" w:eastAsia="Arial" w:hAnsi="Arial"/>
                <w:sz w:val="16"/>
                <w:szCs w:val="16"/>
                <w:color w:val="auto"/>
              </w:rPr>
              <w:t>Columbus / Kenny</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Rd</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11/4/2013</w:t>
            </w:r>
          </w:p>
        </w:tc>
        <w:tc>
          <w:tcPr>
            <w:tcW w:w="1400" w:type="dxa"/>
            <w:vAlign w:val="bottom"/>
          </w:tcPr>
          <w:p>
            <w:pPr>
              <w:ind w:left="20"/>
              <w:spacing w:after="0"/>
              <w:rPr>
                <w:sz w:val="20"/>
                <w:szCs w:val="20"/>
                <w:color w:val="auto"/>
              </w:rPr>
            </w:pPr>
            <w:r>
              <w:rPr>
                <w:rFonts w:ascii="Arial" w:cs="Arial" w:eastAsia="Arial" w:hAnsi="Arial"/>
                <w:sz w:val="16"/>
                <w:szCs w:val="16"/>
                <w:color w:val="auto"/>
              </w:rPr>
              <w:t>Fairfield</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6/27/2011</w:t>
            </w:r>
          </w:p>
        </w:tc>
        <w:tc>
          <w:tcPr>
            <w:tcW w:w="1400" w:type="dxa"/>
            <w:vAlign w:val="bottom"/>
          </w:tcPr>
          <w:p>
            <w:pPr>
              <w:ind w:left="20"/>
              <w:spacing w:after="0"/>
              <w:rPr>
                <w:sz w:val="20"/>
                <w:szCs w:val="20"/>
                <w:color w:val="auto"/>
              </w:rPr>
            </w:pPr>
            <w:r>
              <w:rPr>
                <w:rFonts w:ascii="Arial" w:cs="Arial" w:eastAsia="Arial" w:hAnsi="Arial"/>
                <w:sz w:val="16"/>
                <w:szCs w:val="16"/>
                <w:color w:val="auto"/>
              </w:rPr>
              <w:t>Hamilton</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11/30/2012</w:t>
            </w:r>
          </w:p>
        </w:tc>
        <w:tc>
          <w:tcPr>
            <w:tcW w:w="1400" w:type="dxa"/>
            <w:vAlign w:val="bottom"/>
          </w:tcPr>
          <w:p>
            <w:pPr>
              <w:ind w:left="20"/>
              <w:spacing w:after="0"/>
              <w:rPr>
                <w:sz w:val="20"/>
                <w:szCs w:val="20"/>
                <w:color w:val="auto"/>
              </w:rPr>
            </w:pPr>
            <w:r>
              <w:rPr>
                <w:rFonts w:ascii="Arial" w:cs="Arial" w:eastAsia="Arial" w:hAnsi="Arial"/>
                <w:sz w:val="16"/>
                <w:szCs w:val="16"/>
                <w:color w:val="auto"/>
              </w:rPr>
              <w:t>Hilliard</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7/1/2005</w:t>
            </w:r>
          </w:p>
        </w:tc>
        <w:tc>
          <w:tcPr>
            <w:tcW w:w="1400" w:type="dxa"/>
            <w:vAlign w:val="bottom"/>
          </w:tcPr>
          <w:p>
            <w:pPr>
              <w:ind w:left="20"/>
              <w:spacing w:after="0"/>
              <w:rPr>
                <w:sz w:val="20"/>
                <w:szCs w:val="20"/>
                <w:color w:val="auto"/>
              </w:rPr>
            </w:pPr>
            <w:r>
              <w:rPr>
                <w:rFonts w:ascii="Arial" w:cs="Arial" w:eastAsia="Arial" w:hAnsi="Arial"/>
                <w:sz w:val="16"/>
                <w:szCs w:val="16"/>
                <w:color w:val="auto"/>
              </w:rPr>
              <w:t>Kent</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6/27/2011</w:t>
            </w:r>
          </w:p>
        </w:tc>
        <w:tc>
          <w:tcPr>
            <w:tcW w:w="1400" w:type="dxa"/>
            <w:vAlign w:val="bottom"/>
          </w:tcPr>
          <w:p>
            <w:pPr>
              <w:ind w:left="20"/>
              <w:spacing w:after="0"/>
              <w:rPr>
                <w:sz w:val="20"/>
                <w:szCs w:val="20"/>
                <w:color w:val="auto"/>
              </w:rPr>
            </w:pPr>
            <w:r>
              <w:rPr>
                <w:rFonts w:ascii="Arial" w:cs="Arial" w:eastAsia="Arial" w:hAnsi="Arial"/>
                <w:sz w:val="16"/>
                <w:szCs w:val="16"/>
                <w:color w:val="auto"/>
              </w:rPr>
              <w:t>Lebanon</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11/30/2012</w:t>
            </w:r>
          </w:p>
        </w:tc>
        <w:tc>
          <w:tcPr>
            <w:tcW w:w="1400" w:type="dxa"/>
            <w:vAlign w:val="bottom"/>
          </w:tcPr>
          <w:p>
            <w:pPr>
              <w:ind w:left="20"/>
              <w:spacing w:after="0"/>
              <w:rPr>
                <w:sz w:val="20"/>
                <w:szCs w:val="20"/>
                <w:color w:val="auto"/>
              </w:rPr>
            </w:pPr>
            <w:r>
              <w:rPr>
                <w:rFonts w:ascii="Arial" w:cs="Arial" w:eastAsia="Arial" w:hAnsi="Arial"/>
                <w:sz w:val="16"/>
                <w:szCs w:val="16"/>
                <w:color w:val="auto"/>
                <w:w w:val="96"/>
              </w:rPr>
              <w:t>Mentor / Heisley Rd</w:t>
            </w: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7/2/2012</w:t>
            </w:r>
          </w:p>
        </w:tc>
        <w:tc>
          <w:tcPr>
            <w:tcW w:w="1400" w:type="dxa"/>
            <w:vAlign w:val="bottom"/>
          </w:tcPr>
          <w:p>
            <w:pPr>
              <w:ind w:left="20"/>
              <w:spacing w:after="0"/>
              <w:rPr>
                <w:sz w:val="20"/>
                <w:szCs w:val="20"/>
                <w:color w:val="auto"/>
              </w:rPr>
            </w:pPr>
            <w:r>
              <w:rPr>
                <w:rFonts w:ascii="Arial" w:cs="Arial" w:eastAsia="Arial" w:hAnsi="Arial"/>
                <w:sz w:val="16"/>
                <w:szCs w:val="16"/>
                <w:color w:val="auto"/>
              </w:rPr>
              <w:t>Mentor / Mentor</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Ave</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6/27/2011</w:t>
            </w:r>
          </w:p>
        </w:tc>
        <w:tc>
          <w:tcPr>
            <w:tcW w:w="1400" w:type="dxa"/>
            <w:vAlign w:val="bottom"/>
          </w:tcPr>
          <w:p>
            <w:pPr>
              <w:ind w:left="20"/>
              <w:spacing w:after="0"/>
              <w:rPr>
                <w:sz w:val="20"/>
                <w:szCs w:val="20"/>
                <w:color w:val="auto"/>
              </w:rPr>
            </w:pPr>
            <w:r>
              <w:rPr>
                <w:rFonts w:ascii="Arial" w:cs="Arial" w:eastAsia="Arial" w:hAnsi="Arial"/>
                <w:sz w:val="16"/>
                <w:szCs w:val="16"/>
                <w:color w:val="auto"/>
              </w:rPr>
              <w:t>Middletown</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11/1/2013</w:t>
            </w:r>
          </w:p>
        </w:tc>
        <w:tc>
          <w:tcPr>
            <w:tcW w:w="1400" w:type="dxa"/>
            <w:vAlign w:val="bottom"/>
          </w:tcPr>
          <w:p>
            <w:pPr>
              <w:ind w:left="20"/>
              <w:spacing w:after="0"/>
              <w:rPr>
                <w:sz w:val="20"/>
                <w:szCs w:val="20"/>
                <w:color w:val="auto"/>
              </w:rPr>
            </w:pPr>
            <w:r>
              <w:rPr>
                <w:rFonts w:ascii="Arial" w:cs="Arial" w:eastAsia="Arial" w:hAnsi="Arial"/>
                <w:sz w:val="16"/>
                <w:szCs w:val="16"/>
                <w:color w:val="auto"/>
              </w:rPr>
              <w:t>Whitehall</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7/2/2012</w:t>
            </w:r>
          </w:p>
        </w:tc>
        <w:tc>
          <w:tcPr>
            <w:tcW w:w="1400" w:type="dxa"/>
            <w:vAlign w:val="bottom"/>
          </w:tcPr>
          <w:p>
            <w:pPr>
              <w:ind w:left="20"/>
              <w:spacing w:after="0"/>
              <w:rPr>
                <w:sz w:val="20"/>
                <w:szCs w:val="20"/>
                <w:color w:val="auto"/>
              </w:rPr>
            </w:pPr>
            <w:r>
              <w:rPr>
                <w:rFonts w:ascii="Arial" w:cs="Arial" w:eastAsia="Arial" w:hAnsi="Arial"/>
                <w:sz w:val="16"/>
                <w:szCs w:val="16"/>
                <w:color w:val="auto"/>
              </w:rPr>
              <w:t>Willoughby</w:t>
            </w: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7/1/2005</w:t>
            </w:r>
          </w:p>
        </w:tc>
        <w:tc>
          <w:tcPr>
            <w:tcW w:w="1400" w:type="dxa"/>
            <w:vAlign w:val="bottom"/>
          </w:tcPr>
          <w:p>
            <w:pPr>
              <w:ind w:left="20"/>
              <w:spacing w:after="0"/>
              <w:rPr>
                <w:sz w:val="20"/>
                <w:szCs w:val="20"/>
                <w:color w:val="auto"/>
              </w:rPr>
            </w:pPr>
            <w:r>
              <w:rPr>
                <w:rFonts w:ascii="Arial" w:cs="Arial" w:eastAsia="Arial" w:hAnsi="Arial"/>
                <w:sz w:val="16"/>
                <w:szCs w:val="16"/>
                <w:color w:val="auto"/>
              </w:rPr>
              <w:t>Aloha / NW 185th</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Ave</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7/2/2012</w:t>
            </w:r>
          </w:p>
        </w:tc>
        <w:tc>
          <w:tcPr>
            <w:tcW w:w="1400" w:type="dxa"/>
            <w:vAlign w:val="bottom"/>
          </w:tcPr>
          <w:p>
            <w:pPr>
              <w:ind w:left="20"/>
              <w:spacing w:after="0"/>
              <w:rPr>
                <w:sz w:val="20"/>
                <w:szCs w:val="20"/>
                <w:color w:val="auto"/>
              </w:rPr>
            </w:pPr>
            <w:r>
              <w:rPr>
                <w:rFonts w:ascii="Arial" w:cs="Arial" w:eastAsia="Arial" w:hAnsi="Arial"/>
                <w:sz w:val="16"/>
                <w:szCs w:val="16"/>
                <w:color w:val="auto"/>
              </w:rPr>
              <w:t>Aloha / SW 229th</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Ave</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11/24/2015</w:t>
            </w:r>
          </w:p>
        </w:tc>
        <w:tc>
          <w:tcPr>
            <w:tcW w:w="1400" w:type="dxa"/>
            <w:vAlign w:val="bottom"/>
          </w:tcPr>
          <w:p>
            <w:pPr>
              <w:ind w:left="20"/>
              <w:spacing w:after="0"/>
              <w:rPr>
                <w:sz w:val="20"/>
                <w:szCs w:val="20"/>
                <w:color w:val="auto"/>
              </w:rPr>
            </w:pPr>
            <w:r>
              <w:rPr>
                <w:rFonts w:ascii="Arial" w:cs="Arial" w:eastAsia="Arial" w:hAnsi="Arial"/>
                <w:sz w:val="16"/>
                <w:szCs w:val="16"/>
                <w:color w:val="auto"/>
              </w:rPr>
              <w:t>Hillsboro</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9/15/2009</w:t>
            </w:r>
          </w:p>
        </w:tc>
        <w:tc>
          <w:tcPr>
            <w:tcW w:w="1400" w:type="dxa"/>
            <w:vAlign w:val="bottom"/>
          </w:tcPr>
          <w:p>
            <w:pPr>
              <w:ind w:left="20"/>
              <w:spacing w:after="0"/>
              <w:rPr>
                <w:sz w:val="20"/>
                <w:szCs w:val="20"/>
                <w:color w:val="auto"/>
              </w:rPr>
            </w:pPr>
            <w:r>
              <w:rPr>
                <w:rFonts w:ascii="Arial" w:cs="Arial" w:eastAsia="Arial" w:hAnsi="Arial"/>
                <w:sz w:val="16"/>
                <w:szCs w:val="16"/>
                <w:color w:val="auto"/>
              </w:rPr>
              <w:t>King City</w:t>
            </w:r>
          </w:p>
        </w:tc>
        <w:tc>
          <w:tcPr>
            <w:tcW w:w="0" w:type="dxa"/>
            <w:vAlign w:val="bottom"/>
          </w:tcPr>
          <w:p>
            <w:pPr>
              <w:spacing w:after="0"/>
              <w:rPr>
                <w:sz w:val="1"/>
                <w:szCs w:val="1"/>
                <w:color w:val="auto"/>
              </w:rPr>
            </w:pPr>
          </w:p>
        </w:tc>
      </w:tr>
      <w:tr>
        <w:trPr>
          <w:trHeight w:val="31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12/28/2004</w:t>
            </w:r>
          </w:p>
        </w:tc>
        <w:tc>
          <w:tcPr>
            <w:tcW w:w="1400" w:type="dxa"/>
            <w:vAlign w:val="bottom"/>
          </w:tcPr>
          <w:p>
            <w:pPr>
              <w:ind w:left="20"/>
              <w:spacing w:after="0"/>
              <w:rPr>
                <w:sz w:val="20"/>
                <w:szCs w:val="20"/>
                <w:color w:val="auto"/>
              </w:rPr>
            </w:pPr>
            <w:r>
              <w:rPr>
                <w:rFonts w:ascii="Arial" w:cs="Arial" w:eastAsia="Arial" w:hAnsi="Arial"/>
                <w:sz w:val="16"/>
                <w:szCs w:val="16"/>
                <w:color w:val="auto"/>
              </w:rPr>
              <w:t>Bensalem / Bristol</w:t>
            </w:r>
          </w:p>
        </w:tc>
        <w:tc>
          <w:tcPr>
            <w:tcW w:w="0" w:type="dxa"/>
            <w:vAlign w:val="bottom"/>
          </w:tcPr>
          <w:p>
            <w:pPr>
              <w:spacing w:after="0"/>
              <w:rPr>
                <w:sz w:val="1"/>
                <w:szCs w:val="1"/>
                <w:color w:val="auto"/>
              </w:rPr>
            </w:pPr>
          </w:p>
        </w:tc>
      </w:tr>
      <w:tr>
        <w:trPr>
          <w:trHeight w:val="206"/>
        </w:trPr>
        <w:tc>
          <w:tcPr>
            <w:tcW w:w="960" w:type="dxa"/>
            <w:vAlign w:val="bottom"/>
          </w:tcPr>
          <w:p>
            <w:pPr>
              <w:spacing w:after="0"/>
              <w:rPr>
                <w:sz w:val="17"/>
                <w:szCs w:val="17"/>
                <w:color w:val="auto"/>
              </w:rPr>
            </w:pPr>
          </w:p>
        </w:tc>
        <w:tc>
          <w:tcPr>
            <w:tcW w:w="1400" w:type="dxa"/>
            <w:vAlign w:val="bottom"/>
          </w:tcPr>
          <w:p>
            <w:pPr>
              <w:ind w:left="20"/>
              <w:spacing w:after="0"/>
              <w:rPr>
                <w:sz w:val="20"/>
                <w:szCs w:val="20"/>
                <w:color w:val="auto"/>
              </w:rPr>
            </w:pPr>
            <w:r>
              <w:rPr>
                <w:rFonts w:ascii="Arial" w:cs="Arial" w:eastAsia="Arial" w:hAnsi="Arial"/>
                <w:sz w:val="16"/>
                <w:szCs w:val="16"/>
                <w:color w:val="auto"/>
              </w:rPr>
              <w:t>Pike</w:t>
            </w:r>
          </w:p>
        </w:tc>
        <w:tc>
          <w:tcPr>
            <w:tcW w:w="0" w:type="dxa"/>
            <w:vAlign w:val="bottom"/>
          </w:tcPr>
          <w:p>
            <w:pPr>
              <w:spacing w:after="0"/>
              <w:rPr>
                <w:sz w:val="1"/>
                <w:szCs w:val="1"/>
                <w:color w:val="auto"/>
              </w:rPr>
            </w:pPr>
          </w:p>
        </w:tc>
      </w:tr>
      <w:tr>
        <w:trPr>
          <w:trHeight w:val="20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3/30/2006</w:t>
            </w:r>
          </w:p>
        </w:tc>
        <w:tc>
          <w:tcPr>
            <w:tcW w:w="1400" w:type="dxa"/>
            <w:vAlign w:val="bottom"/>
          </w:tcPr>
          <w:p>
            <w:pPr>
              <w:ind w:left="20"/>
              <w:spacing w:after="0"/>
              <w:rPr>
                <w:sz w:val="20"/>
                <w:szCs w:val="20"/>
                <w:color w:val="auto"/>
              </w:rPr>
            </w:pPr>
            <w:r>
              <w:rPr>
                <w:rFonts w:ascii="Arial" w:cs="Arial" w:eastAsia="Arial" w:hAnsi="Arial"/>
                <w:sz w:val="16"/>
                <w:szCs w:val="16"/>
                <w:color w:val="auto"/>
                <w:w w:val="98"/>
              </w:rPr>
              <w:t>Bensalem / Knights</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Rd.</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400" w:type="dxa"/>
            <w:vAlign w:val="bottom"/>
          </w:tcPr>
          <w:p>
            <w:pPr>
              <w:ind w:left="20"/>
              <w:spacing w:after="0"/>
              <w:rPr>
                <w:sz w:val="20"/>
                <w:szCs w:val="20"/>
                <w:color w:val="auto"/>
              </w:rPr>
            </w:pPr>
            <w:r>
              <w:rPr>
                <w:rFonts w:ascii="Arial" w:cs="Arial" w:eastAsia="Arial" w:hAnsi="Arial"/>
                <w:sz w:val="16"/>
                <w:szCs w:val="16"/>
                <w:color w:val="auto"/>
              </w:rPr>
              <w:t>Collegeville</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11/15/1999</w:t>
            </w:r>
          </w:p>
        </w:tc>
        <w:tc>
          <w:tcPr>
            <w:tcW w:w="1400" w:type="dxa"/>
            <w:vAlign w:val="bottom"/>
          </w:tcPr>
          <w:p>
            <w:pPr>
              <w:ind w:left="20"/>
              <w:spacing w:after="0"/>
              <w:rPr>
                <w:sz w:val="20"/>
                <w:szCs w:val="20"/>
                <w:color w:val="auto"/>
              </w:rPr>
            </w:pPr>
            <w:r>
              <w:rPr>
                <w:rFonts w:ascii="Arial" w:cs="Arial" w:eastAsia="Arial" w:hAnsi="Arial"/>
                <w:sz w:val="16"/>
                <w:szCs w:val="16"/>
                <w:color w:val="auto"/>
              </w:rPr>
              <w:t>Doylestown</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5/1/2004</w:t>
            </w:r>
          </w:p>
        </w:tc>
        <w:tc>
          <w:tcPr>
            <w:tcW w:w="1400" w:type="dxa"/>
            <w:vAlign w:val="bottom"/>
          </w:tcPr>
          <w:p>
            <w:pPr>
              <w:ind w:left="20"/>
              <w:spacing w:after="0"/>
              <w:rPr>
                <w:sz w:val="20"/>
                <w:szCs w:val="20"/>
                <w:color w:val="auto"/>
              </w:rPr>
            </w:pPr>
            <w:r>
              <w:rPr>
                <w:rFonts w:ascii="Arial" w:cs="Arial" w:eastAsia="Arial" w:hAnsi="Arial"/>
                <w:sz w:val="16"/>
                <w:szCs w:val="16"/>
                <w:color w:val="auto"/>
                <w:w w:val="99"/>
              </w:rPr>
              <w:t>Kennedy Township</w:t>
            </w: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2/6/2004</w:t>
            </w:r>
          </w:p>
        </w:tc>
        <w:tc>
          <w:tcPr>
            <w:tcW w:w="1400" w:type="dxa"/>
            <w:vAlign w:val="bottom"/>
          </w:tcPr>
          <w:p>
            <w:pPr>
              <w:ind w:left="20"/>
              <w:spacing w:after="0"/>
              <w:rPr>
                <w:sz w:val="20"/>
                <w:szCs w:val="20"/>
                <w:color w:val="auto"/>
              </w:rPr>
            </w:pPr>
            <w:r>
              <w:rPr>
                <w:rFonts w:ascii="Arial" w:cs="Arial" w:eastAsia="Arial" w:hAnsi="Arial"/>
                <w:sz w:val="16"/>
                <w:szCs w:val="16"/>
                <w:color w:val="auto"/>
              </w:rPr>
              <w:t>Philadelphia /</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Roosevelt Bl</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11/1/2013</w:t>
            </w:r>
          </w:p>
        </w:tc>
        <w:tc>
          <w:tcPr>
            <w:tcW w:w="1400" w:type="dxa"/>
            <w:vAlign w:val="bottom"/>
          </w:tcPr>
          <w:p>
            <w:pPr>
              <w:ind w:left="20"/>
              <w:spacing w:after="0"/>
              <w:rPr>
                <w:sz w:val="20"/>
                <w:szCs w:val="20"/>
                <w:color w:val="auto"/>
              </w:rPr>
            </w:pPr>
            <w:r>
              <w:rPr>
                <w:rFonts w:ascii="Arial" w:cs="Arial" w:eastAsia="Arial" w:hAnsi="Arial"/>
                <w:sz w:val="16"/>
                <w:szCs w:val="16"/>
                <w:color w:val="auto"/>
              </w:rPr>
              <w:t>Philadelphia /</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Wayne Ave</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8/3/2000</w:t>
            </w:r>
          </w:p>
        </w:tc>
        <w:tc>
          <w:tcPr>
            <w:tcW w:w="1400" w:type="dxa"/>
            <w:vAlign w:val="bottom"/>
          </w:tcPr>
          <w:p>
            <w:pPr>
              <w:ind w:left="20"/>
              <w:spacing w:after="0"/>
              <w:rPr>
                <w:sz w:val="20"/>
                <w:szCs w:val="20"/>
                <w:color w:val="auto"/>
              </w:rPr>
            </w:pPr>
            <w:r>
              <w:rPr>
                <w:rFonts w:ascii="Arial" w:cs="Arial" w:eastAsia="Arial" w:hAnsi="Arial"/>
                <w:sz w:val="16"/>
                <w:szCs w:val="16"/>
                <w:color w:val="auto"/>
                <w:w w:val="98"/>
              </w:rPr>
              <w:t>Pittsburgh / E Entry</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Dr</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400" w:type="dxa"/>
            <w:vAlign w:val="bottom"/>
          </w:tcPr>
          <w:p>
            <w:pPr>
              <w:ind w:left="20"/>
              <w:spacing w:after="0"/>
              <w:rPr>
                <w:sz w:val="20"/>
                <w:szCs w:val="20"/>
                <w:color w:val="auto"/>
              </w:rPr>
            </w:pPr>
            <w:r>
              <w:rPr>
                <w:rFonts w:ascii="Arial" w:cs="Arial" w:eastAsia="Arial" w:hAnsi="Arial"/>
                <w:sz w:val="16"/>
                <w:szCs w:val="16"/>
                <w:color w:val="auto"/>
              </w:rPr>
              <w:t>Pittsburgh /</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Landings Dr</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5/1/2004</w:t>
            </w:r>
          </w:p>
        </w:tc>
        <w:tc>
          <w:tcPr>
            <w:tcW w:w="1400" w:type="dxa"/>
            <w:vAlign w:val="bottom"/>
          </w:tcPr>
          <w:p>
            <w:pPr>
              <w:ind w:left="20"/>
              <w:spacing w:after="0"/>
              <w:rPr>
                <w:sz w:val="20"/>
                <w:szCs w:val="20"/>
                <w:color w:val="auto"/>
              </w:rPr>
            </w:pPr>
            <w:r>
              <w:rPr>
                <w:rFonts w:ascii="Arial" w:cs="Arial" w:eastAsia="Arial" w:hAnsi="Arial"/>
                <w:sz w:val="16"/>
                <w:szCs w:val="16"/>
                <w:color w:val="auto"/>
              </w:rPr>
              <w:t>Pittsburgh / Penn</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Ave</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400" w:type="dxa"/>
            <w:vAlign w:val="bottom"/>
          </w:tcPr>
          <w:p>
            <w:pPr>
              <w:ind w:left="20"/>
              <w:spacing w:after="0"/>
              <w:rPr>
                <w:sz w:val="20"/>
                <w:szCs w:val="20"/>
                <w:color w:val="auto"/>
              </w:rPr>
            </w:pPr>
            <w:r>
              <w:rPr>
                <w:rFonts w:ascii="Arial" w:cs="Arial" w:eastAsia="Arial" w:hAnsi="Arial"/>
                <w:sz w:val="16"/>
                <w:szCs w:val="16"/>
                <w:color w:val="auto"/>
              </w:rPr>
              <w:t>Skippack</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400" w:type="dxa"/>
            <w:vAlign w:val="bottom"/>
          </w:tcPr>
          <w:p>
            <w:pPr>
              <w:ind w:left="20"/>
              <w:spacing w:after="0"/>
              <w:rPr>
                <w:sz w:val="20"/>
                <w:szCs w:val="20"/>
                <w:color w:val="auto"/>
              </w:rPr>
            </w:pPr>
            <w:r>
              <w:rPr>
                <w:rFonts w:ascii="Arial" w:cs="Arial" w:eastAsia="Arial" w:hAnsi="Arial"/>
                <w:sz w:val="16"/>
                <w:szCs w:val="16"/>
                <w:color w:val="auto"/>
              </w:rPr>
              <w:t>West Mifflin</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1/1/2011</w:t>
            </w:r>
          </w:p>
        </w:tc>
        <w:tc>
          <w:tcPr>
            <w:tcW w:w="1400" w:type="dxa"/>
            <w:vAlign w:val="bottom"/>
          </w:tcPr>
          <w:p>
            <w:pPr>
              <w:ind w:left="20"/>
              <w:spacing w:after="0"/>
              <w:rPr>
                <w:sz w:val="20"/>
                <w:szCs w:val="20"/>
                <w:color w:val="auto"/>
              </w:rPr>
            </w:pPr>
            <w:r>
              <w:rPr>
                <w:rFonts w:ascii="Arial" w:cs="Arial" w:eastAsia="Arial" w:hAnsi="Arial"/>
                <w:sz w:val="16"/>
                <w:szCs w:val="16"/>
                <w:color w:val="auto"/>
              </w:rPr>
              <w:t>Willow Grove</w:t>
            </w: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7/1/2005</w:t>
            </w:r>
          </w:p>
        </w:tc>
        <w:tc>
          <w:tcPr>
            <w:tcW w:w="1400" w:type="dxa"/>
            <w:vAlign w:val="bottom"/>
          </w:tcPr>
          <w:p>
            <w:pPr>
              <w:ind w:left="20"/>
              <w:spacing w:after="0"/>
              <w:rPr>
                <w:sz w:val="20"/>
                <w:szCs w:val="20"/>
                <w:color w:val="auto"/>
              </w:rPr>
            </w:pPr>
            <w:r>
              <w:rPr>
                <w:rFonts w:ascii="Arial" w:cs="Arial" w:eastAsia="Arial" w:hAnsi="Arial"/>
                <w:sz w:val="16"/>
                <w:szCs w:val="16"/>
                <w:color w:val="auto"/>
                <w:w w:val="99"/>
              </w:rPr>
              <w:t>Johnston / Hartford</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Ave</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12/1/2011</w:t>
            </w:r>
          </w:p>
        </w:tc>
        <w:tc>
          <w:tcPr>
            <w:tcW w:w="1400" w:type="dxa"/>
            <w:vAlign w:val="bottom"/>
          </w:tcPr>
          <w:p>
            <w:pPr>
              <w:ind w:left="20"/>
              <w:spacing w:after="0"/>
              <w:rPr>
                <w:sz w:val="20"/>
                <w:szCs w:val="20"/>
                <w:color w:val="auto"/>
              </w:rPr>
            </w:pPr>
            <w:r>
              <w:rPr>
                <w:rFonts w:ascii="Arial" w:cs="Arial" w:eastAsia="Arial" w:hAnsi="Arial"/>
                <w:sz w:val="16"/>
                <w:szCs w:val="16"/>
                <w:color w:val="auto"/>
                <w:w w:val="94"/>
              </w:rPr>
              <w:t>Johnston / Plainfield</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400" w:type="dxa"/>
            <w:vAlign w:val="bottom"/>
          </w:tcPr>
          <w:p>
            <w:pPr>
              <w:ind w:left="20"/>
              <w:spacing w:after="0"/>
              <w:rPr>
                <w:sz w:val="20"/>
                <w:szCs w:val="20"/>
                <w:color w:val="auto"/>
              </w:rPr>
            </w:pPr>
            <w:r>
              <w:rPr>
                <w:rFonts w:ascii="Arial" w:cs="Arial" w:eastAsia="Arial" w:hAnsi="Arial"/>
                <w:sz w:val="16"/>
                <w:szCs w:val="16"/>
                <w:color w:val="auto"/>
              </w:rPr>
              <w:t>Bluffton</w:t>
            </w: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400" w:type="dxa"/>
            <w:vAlign w:val="bottom"/>
          </w:tcPr>
          <w:p>
            <w:pPr>
              <w:ind w:left="20"/>
              <w:spacing w:after="0"/>
              <w:rPr>
                <w:sz w:val="20"/>
                <w:szCs w:val="20"/>
                <w:color w:val="auto"/>
              </w:rPr>
            </w:pPr>
            <w:r>
              <w:rPr>
                <w:rFonts w:ascii="Arial" w:cs="Arial" w:eastAsia="Arial" w:hAnsi="Arial"/>
                <w:sz w:val="16"/>
                <w:szCs w:val="16"/>
                <w:color w:val="auto"/>
                <w:w w:val="98"/>
              </w:rPr>
              <w:t>Charleston / Ashley</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River Rd</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tbl>
      <w:tblPr>
        <w:tblLayout w:type="fixed"/>
        <w:tblInd w:w="160" w:type="dxa"/>
        <w:tblCellMar>
          <w:top w:w="0" w:type="dxa"/>
          <w:left w:w="0" w:type="dxa"/>
          <w:bottom w:w="0" w:type="dxa"/>
          <w:right w:w="0" w:type="dxa"/>
        </w:tblCellMar>
      </w:tblPr>
      <w:tr>
        <w:trPr>
          <w:trHeight w:val="202"/>
        </w:trPr>
        <w:tc>
          <w:tcPr>
            <w:tcW w:w="740" w:type="dxa"/>
            <w:vAlign w:val="bottom"/>
            <w:vMerge w:val="restart"/>
          </w:tcPr>
          <w:p>
            <w:pPr>
              <w:jc w:val="right"/>
              <w:ind w:right="19"/>
              <w:spacing w:after="0"/>
              <w:rPr>
                <w:sz w:val="20"/>
                <w:szCs w:val="20"/>
                <w:color w:val="auto"/>
              </w:rPr>
            </w:pPr>
            <w:r>
              <w:rPr>
                <w:rFonts w:ascii="Arial" w:cs="Arial" w:eastAsia="Arial" w:hAnsi="Arial"/>
                <w:sz w:val="16"/>
                <w:szCs w:val="16"/>
                <w:color w:val="auto"/>
                <w:w w:val="87"/>
              </w:rPr>
              <w:t>8/26/2004</w:t>
            </w:r>
          </w:p>
        </w:tc>
        <w:tc>
          <w:tcPr>
            <w:tcW w:w="1300" w:type="dxa"/>
            <w:vAlign w:val="bottom"/>
          </w:tcPr>
          <w:p>
            <w:pPr>
              <w:ind w:left="80"/>
              <w:spacing w:after="0"/>
              <w:rPr>
                <w:sz w:val="20"/>
                <w:szCs w:val="20"/>
                <w:color w:val="auto"/>
              </w:rPr>
            </w:pPr>
            <w:r>
              <w:rPr>
                <w:rFonts w:ascii="Arial" w:cs="Arial" w:eastAsia="Arial" w:hAnsi="Arial"/>
                <w:sz w:val="16"/>
                <w:szCs w:val="16"/>
                <w:color w:val="auto"/>
                <w:w w:val="89"/>
              </w:rPr>
              <w:t>Charleston / Glenn</w:t>
            </w:r>
          </w:p>
        </w:tc>
        <w:tc>
          <w:tcPr>
            <w:tcW w:w="0" w:type="dxa"/>
            <w:vAlign w:val="bottom"/>
          </w:tcPr>
          <w:p>
            <w:pPr>
              <w:spacing w:after="0"/>
              <w:rPr>
                <w:sz w:val="1"/>
                <w:szCs w:val="1"/>
                <w:color w:val="auto"/>
              </w:rPr>
            </w:pPr>
          </w:p>
        </w:tc>
      </w:tr>
      <w:tr>
        <w:trPr>
          <w:trHeight w:val="98"/>
        </w:trPr>
        <w:tc>
          <w:tcPr>
            <w:tcW w:w="740" w:type="dxa"/>
            <w:vAlign w:val="bottom"/>
            <w:vMerge w:val="continue"/>
          </w:tcPr>
          <w:p>
            <w:pPr>
              <w:spacing w:after="0"/>
              <w:rPr>
                <w:sz w:val="8"/>
                <w:szCs w:val="8"/>
                <w:color w:val="auto"/>
              </w:rPr>
            </w:pPr>
          </w:p>
        </w:tc>
        <w:tc>
          <w:tcPr>
            <w:tcW w:w="1300" w:type="dxa"/>
            <w:vAlign w:val="bottom"/>
            <w:vMerge w:val="restart"/>
          </w:tcPr>
          <w:p>
            <w:pPr>
              <w:ind w:left="80"/>
              <w:spacing w:after="0"/>
              <w:rPr>
                <w:sz w:val="20"/>
                <w:szCs w:val="20"/>
                <w:color w:val="auto"/>
              </w:rPr>
            </w:pPr>
            <w:r>
              <w:rPr>
                <w:rFonts w:ascii="Arial" w:cs="Arial" w:eastAsia="Arial" w:hAnsi="Arial"/>
                <w:sz w:val="16"/>
                <w:szCs w:val="16"/>
                <w:color w:val="auto"/>
              </w:rPr>
              <w:t>McConnell Pkwy</w:t>
            </w:r>
          </w:p>
        </w:tc>
        <w:tc>
          <w:tcPr>
            <w:tcW w:w="0" w:type="dxa"/>
            <w:vAlign w:val="bottom"/>
          </w:tcPr>
          <w:p>
            <w:pPr>
              <w:spacing w:after="0"/>
              <w:rPr>
                <w:sz w:val="1"/>
                <w:szCs w:val="1"/>
                <w:color w:val="auto"/>
              </w:rPr>
            </w:pPr>
          </w:p>
        </w:tc>
      </w:tr>
      <w:tr>
        <w:trPr>
          <w:trHeight w:val="108"/>
        </w:trPr>
        <w:tc>
          <w:tcPr>
            <w:tcW w:w="74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740" w:type="dxa"/>
            <w:vAlign w:val="bottom"/>
            <w:vMerge w:val="restart"/>
          </w:tcPr>
          <w:p>
            <w:pPr>
              <w:jc w:val="right"/>
              <w:ind w:right="19"/>
              <w:spacing w:after="0"/>
              <w:rPr>
                <w:sz w:val="20"/>
                <w:szCs w:val="20"/>
                <w:color w:val="auto"/>
              </w:rPr>
            </w:pPr>
            <w:r>
              <w:rPr>
                <w:rFonts w:ascii="Arial" w:cs="Arial" w:eastAsia="Arial" w:hAnsi="Arial"/>
                <w:sz w:val="16"/>
                <w:szCs w:val="16"/>
                <w:color w:val="auto"/>
                <w:w w:val="87"/>
              </w:rPr>
              <w:t>10/1/2015</w:t>
            </w:r>
          </w:p>
        </w:tc>
        <w:tc>
          <w:tcPr>
            <w:tcW w:w="1300" w:type="dxa"/>
            <w:vAlign w:val="bottom"/>
          </w:tcPr>
          <w:p>
            <w:pPr>
              <w:ind w:left="80"/>
              <w:spacing w:after="0"/>
              <w:rPr>
                <w:sz w:val="20"/>
                <w:szCs w:val="20"/>
                <w:color w:val="auto"/>
              </w:rPr>
            </w:pPr>
            <w:r>
              <w:rPr>
                <w:rFonts w:ascii="Arial" w:cs="Arial" w:eastAsia="Arial" w:hAnsi="Arial"/>
                <w:sz w:val="16"/>
                <w:szCs w:val="16"/>
                <w:color w:val="auto"/>
              </w:rPr>
              <w:t>Charleston /</w:t>
            </w:r>
          </w:p>
        </w:tc>
        <w:tc>
          <w:tcPr>
            <w:tcW w:w="0" w:type="dxa"/>
            <w:vAlign w:val="bottom"/>
          </w:tcPr>
          <w:p>
            <w:pPr>
              <w:spacing w:after="0"/>
              <w:rPr>
                <w:sz w:val="1"/>
                <w:szCs w:val="1"/>
                <w:color w:val="auto"/>
              </w:rPr>
            </w:pPr>
          </w:p>
        </w:tc>
      </w:tr>
      <w:tr>
        <w:trPr>
          <w:trHeight w:val="98"/>
        </w:trPr>
        <w:tc>
          <w:tcPr>
            <w:tcW w:w="740" w:type="dxa"/>
            <w:vAlign w:val="bottom"/>
            <w:vMerge w:val="continue"/>
          </w:tcPr>
          <w:p>
            <w:pPr>
              <w:spacing w:after="0"/>
              <w:rPr>
                <w:sz w:val="8"/>
                <w:szCs w:val="8"/>
                <w:color w:val="auto"/>
              </w:rPr>
            </w:pPr>
          </w:p>
        </w:tc>
        <w:tc>
          <w:tcPr>
            <w:tcW w:w="1300" w:type="dxa"/>
            <w:vAlign w:val="bottom"/>
            <w:vMerge w:val="restart"/>
          </w:tcPr>
          <w:p>
            <w:pPr>
              <w:ind w:left="80"/>
              <w:spacing w:after="0"/>
              <w:rPr>
                <w:sz w:val="20"/>
                <w:szCs w:val="20"/>
                <w:color w:val="auto"/>
              </w:rPr>
            </w:pPr>
            <w:r>
              <w:rPr>
                <w:rFonts w:ascii="Arial" w:cs="Arial" w:eastAsia="Arial" w:hAnsi="Arial"/>
                <w:sz w:val="16"/>
                <w:szCs w:val="16"/>
                <w:color w:val="auto"/>
              </w:rPr>
              <w:t>Maybank Hwy</w:t>
            </w:r>
          </w:p>
        </w:tc>
        <w:tc>
          <w:tcPr>
            <w:tcW w:w="0" w:type="dxa"/>
            <w:vAlign w:val="bottom"/>
          </w:tcPr>
          <w:p>
            <w:pPr>
              <w:spacing w:after="0"/>
              <w:rPr>
                <w:sz w:val="1"/>
                <w:szCs w:val="1"/>
                <w:color w:val="auto"/>
              </w:rPr>
            </w:pPr>
          </w:p>
        </w:tc>
      </w:tr>
      <w:tr>
        <w:trPr>
          <w:trHeight w:val="108"/>
        </w:trPr>
        <w:tc>
          <w:tcPr>
            <w:tcW w:w="74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Gross carrying amount at</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Building and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Adjustments and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December 31, 2016</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Land</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improvements</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costs subsequent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Building and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0" w:type="dxa"/>
            <w:vAlign w:val="bottom"/>
          </w:tcPr>
          <w:p>
            <w:pPr>
              <w:spacing w:after="0"/>
              <w:rPr>
                <w:sz w:val="1"/>
                <w:szCs w:val="1"/>
                <w:color w:val="auto"/>
              </w:rPr>
            </w:pPr>
          </w:p>
        </w:tc>
      </w:tr>
      <w:tr>
        <w:trPr>
          <w:trHeight w:val="210"/>
        </w:trPr>
        <w:tc>
          <w:tcPr>
            <w:tcW w:w="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State</w:t>
            </w:r>
          </w:p>
        </w:tc>
        <w:tc>
          <w:tcPr>
            <w:tcW w:w="640" w:type="dxa"/>
            <w:vAlign w:val="bottom"/>
            <w:gridSpan w:val="2"/>
          </w:tcPr>
          <w:p>
            <w:pPr>
              <w:ind w:left="100"/>
              <w:spacing w:after="0"/>
              <w:rPr>
                <w:sz w:val="20"/>
                <w:szCs w:val="20"/>
                <w:color w:val="auto"/>
              </w:rPr>
            </w:pPr>
            <w:r>
              <w:rPr>
                <w:rFonts w:ascii="Arial" w:cs="Arial" w:eastAsia="Arial" w:hAnsi="Arial"/>
                <w:sz w:val="16"/>
                <w:szCs w:val="16"/>
                <w:b w:val="1"/>
                <w:bCs w:val="1"/>
                <w:color w:val="auto"/>
              </w:rPr>
              <w:t>Debt</w:t>
            </w:r>
          </w:p>
        </w:tc>
        <w:tc>
          <w:tcPr>
            <w:tcW w:w="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initial cost</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initial cost</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to acquisition</w:t>
            </w:r>
          </w:p>
        </w:tc>
        <w:tc>
          <w:tcPr>
            <w:tcW w:w="1240" w:type="dxa"/>
            <w:vAlign w:val="bottom"/>
            <w:gridSpan w:val="3"/>
          </w:tcPr>
          <w:p>
            <w:pPr>
              <w:ind w:left="40"/>
              <w:spacing w:after="0"/>
              <w:rPr>
                <w:sz w:val="20"/>
                <w:szCs w:val="20"/>
                <w:color w:val="auto"/>
              </w:rPr>
            </w:pPr>
            <w:r>
              <w:rPr>
                <w:rFonts w:ascii="Arial" w:cs="Arial" w:eastAsia="Arial" w:hAnsi="Arial"/>
                <w:sz w:val="16"/>
                <w:szCs w:val="16"/>
                <w:b w:val="1"/>
                <w:bCs w:val="1"/>
                <w:color w:val="auto"/>
              </w:rPr>
              <w:t>Notes  Land</w:t>
            </w:r>
          </w:p>
        </w:tc>
        <w:tc>
          <w:tcPr>
            <w:tcW w:w="10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improvements</w:t>
            </w:r>
          </w:p>
        </w:tc>
        <w:tc>
          <w:tcPr>
            <w:tcW w:w="68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0"/>
              </w:rPr>
              <w:t>depreciation</w:t>
            </w:r>
          </w:p>
        </w:tc>
        <w:tc>
          <w:tcPr>
            <w:tcW w:w="0" w:type="dxa"/>
            <w:vAlign w:val="bottom"/>
          </w:tcPr>
          <w:p>
            <w:pPr>
              <w:spacing w:after="0"/>
              <w:rPr>
                <w:sz w:val="1"/>
                <w:szCs w:val="1"/>
                <w:color w:val="auto"/>
              </w:rPr>
            </w:pPr>
          </w:p>
        </w:tc>
      </w:tr>
      <w:tr>
        <w:trPr>
          <w:trHeight w:val="33"/>
        </w:trPr>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1"/>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OH</w:t>
            </w:r>
          </w:p>
        </w:tc>
        <w:tc>
          <w:tcPr>
            <w:tcW w:w="6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1,217</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1,941</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270</w:t>
            </w:r>
          </w:p>
        </w:tc>
        <w:tc>
          <w:tcPr>
            <w:tcW w:w="100" w:type="dxa"/>
            <w:vAlign w:val="bottom"/>
          </w:tcPr>
          <w:p>
            <w:pPr>
              <w:spacing w:after="0"/>
              <w:rPr>
                <w:sz w:val="24"/>
                <w:szCs w:val="24"/>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1,217</w:t>
            </w:r>
          </w:p>
        </w:tc>
        <w:tc>
          <w:tcPr>
            <w:tcW w:w="13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2,211</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3,428</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355</w:t>
            </w:r>
          </w:p>
        </w:tc>
        <w:tc>
          <w:tcPr>
            <w:tcW w:w="0" w:type="dxa"/>
            <w:vAlign w:val="bottom"/>
          </w:tcPr>
          <w:p>
            <w:pPr>
              <w:spacing w:after="0"/>
              <w:rPr>
                <w:sz w:val="1"/>
                <w:szCs w:val="1"/>
                <w:color w:val="auto"/>
              </w:rPr>
            </w:pPr>
          </w:p>
        </w:tc>
      </w:tr>
      <w:tr>
        <w:trPr>
          <w:trHeight w:val="459"/>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OH</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4,458</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1,815</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5,733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278</w:t>
            </w:r>
          </w:p>
        </w:tc>
        <w:tc>
          <w:tcPr>
            <w:tcW w:w="100" w:type="dxa"/>
            <w:vAlign w:val="bottom"/>
          </w:tcPr>
          <w:p>
            <w:pPr>
              <w:spacing w:after="0"/>
              <w:rPr>
                <w:sz w:val="24"/>
                <w:szCs w:val="24"/>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1,815</w:t>
            </w:r>
          </w:p>
        </w:tc>
        <w:tc>
          <w:tcPr>
            <w:tcW w:w="13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6,011</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7,826</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989</w:t>
            </w:r>
          </w:p>
        </w:tc>
        <w:tc>
          <w:tcPr>
            <w:tcW w:w="0" w:type="dxa"/>
            <w:vAlign w:val="bottom"/>
          </w:tcPr>
          <w:p>
            <w:pPr>
              <w:spacing w:after="0"/>
              <w:rPr>
                <w:sz w:val="1"/>
                <w:szCs w:val="1"/>
                <w:color w:val="auto"/>
              </w:rPr>
            </w:pPr>
          </w:p>
        </w:tc>
      </w:tr>
      <w:tr>
        <w:trPr>
          <w:trHeight w:val="459"/>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OH</w:t>
            </w:r>
          </w:p>
        </w:tc>
        <w:tc>
          <w:tcPr>
            <w:tcW w:w="6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2,941</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2,177</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300</w:t>
            </w:r>
          </w:p>
        </w:tc>
        <w:tc>
          <w:tcPr>
            <w:tcW w:w="100" w:type="dxa"/>
            <w:vAlign w:val="bottom"/>
          </w:tcPr>
          <w:p>
            <w:pPr>
              <w:spacing w:after="0"/>
              <w:rPr>
                <w:sz w:val="24"/>
                <w:szCs w:val="24"/>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2,941</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2,477</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5,418</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470</w:t>
            </w:r>
          </w:p>
        </w:tc>
        <w:tc>
          <w:tcPr>
            <w:tcW w:w="0" w:type="dxa"/>
            <w:vAlign w:val="bottom"/>
          </w:tcPr>
          <w:p>
            <w:pPr>
              <w:spacing w:after="0"/>
              <w:rPr>
                <w:sz w:val="1"/>
                <w:szCs w:val="1"/>
                <w:color w:val="auto"/>
              </w:rPr>
            </w:pPr>
          </w:p>
        </w:tc>
      </w:tr>
      <w:tr>
        <w:trPr>
          <w:trHeight w:val="459"/>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OH</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5,275</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1,445</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3,755</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301</w:t>
            </w:r>
          </w:p>
        </w:tc>
        <w:tc>
          <w:tcPr>
            <w:tcW w:w="100" w:type="dxa"/>
            <w:vAlign w:val="bottom"/>
          </w:tcPr>
          <w:p>
            <w:pPr>
              <w:spacing w:after="0"/>
              <w:rPr>
                <w:sz w:val="24"/>
                <w:szCs w:val="24"/>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1,445</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4,056</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5,501</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693</w:t>
            </w:r>
          </w:p>
        </w:tc>
        <w:tc>
          <w:tcPr>
            <w:tcW w:w="0" w:type="dxa"/>
            <w:vAlign w:val="bottom"/>
          </w:tcPr>
          <w:p>
            <w:pPr>
              <w:spacing w:after="0"/>
              <w:rPr>
                <w:sz w:val="1"/>
                <w:szCs w:val="1"/>
                <w:color w:val="auto"/>
              </w:rPr>
            </w:pPr>
          </w:p>
        </w:tc>
      </w:tr>
      <w:tr>
        <w:trPr>
          <w:trHeight w:val="459"/>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OH</w:t>
            </w:r>
          </w:p>
        </w:tc>
        <w:tc>
          <w:tcPr>
            <w:tcW w:w="6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652</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2,147</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23</w:t>
            </w:r>
          </w:p>
        </w:tc>
        <w:tc>
          <w:tcPr>
            <w:tcW w:w="100" w:type="dxa"/>
            <w:vAlign w:val="bottom"/>
          </w:tcPr>
          <w:p>
            <w:pPr>
              <w:spacing w:after="0"/>
              <w:rPr>
                <w:sz w:val="24"/>
                <w:szCs w:val="24"/>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652</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2,170</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2,822</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19</w:t>
            </w:r>
          </w:p>
        </w:tc>
        <w:tc>
          <w:tcPr>
            <w:tcW w:w="0" w:type="dxa"/>
            <w:vAlign w:val="bottom"/>
          </w:tcPr>
          <w:p>
            <w:pPr>
              <w:spacing w:after="0"/>
              <w:rPr>
                <w:sz w:val="1"/>
                <w:szCs w:val="1"/>
                <w:color w:val="auto"/>
              </w:rPr>
            </w:pPr>
          </w:p>
        </w:tc>
      </w:tr>
      <w:tr>
        <w:trPr>
          <w:trHeight w:val="364"/>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OH</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4,655</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483</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2,654</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993</w:t>
            </w:r>
          </w:p>
        </w:tc>
        <w:tc>
          <w:tcPr>
            <w:tcW w:w="100" w:type="dxa"/>
            <w:vAlign w:val="bottom"/>
          </w:tcPr>
          <w:p>
            <w:pPr>
              <w:spacing w:after="0"/>
              <w:rPr>
                <w:sz w:val="24"/>
                <w:szCs w:val="24"/>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483</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3,647</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4,130</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1,309</w:t>
            </w:r>
          </w:p>
        </w:tc>
        <w:tc>
          <w:tcPr>
            <w:tcW w:w="0" w:type="dxa"/>
            <w:vAlign w:val="bottom"/>
          </w:tcPr>
          <w:p>
            <w:pPr>
              <w:spacing w:after="0"/>
              <w:rPr>
                <w:sz w:val="1"/>
                <w:szCs w:val="1"/>
                <w:color w:val="auto"/>
              </w:rPr>
            </w:pPr>
          </w:p>
        </w:tc>
      </w:tr>
      <w:tr>
        <w:trPr>
          <w:trHeight w:val="364"/>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OH</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4,718</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1,227</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5,057</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275</w:t>
            </w:r>
          </w:p>
        </w:tc>
        <w:tc>
          <w:tcPr>
            <w:tcW w:w="100" w:type="dxa"/>
            <w:vAlign w:val="bottom"/>
          </w:tcPr>
          <w:p>
            <w:pPr>
              <w:spacing w:after="0"/>
              <w:rPr>
                <w:sz w:val="24"/>
                <w:szCs w:val="24"/>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1,227</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5,332</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6,559</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942</w:t>
            </w:r>
          </w:p>
        </w:tc>
        <w:tc>
          <w:tcPr>
            <w:tcW w:w="0" w:type="dxa"/>
            <w:vAlign w:val="bottom"/>
          </w:tcPr>
          <w:p>
            <w:pPr>
              <w:spacing w:after="0"/>
              <w:rPr>
                <w:sz w:val="1"/>
                <w:szCs w:val="1"/>
                <w:color w:val="auto"/>
              </w:rPr>
            </w:pPr>
          </w:p>
        </w:tc>
      </w:tr>
      <w:tr>
        <w:trPr>
          <w:trHeight w:val="364"/>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OH</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3,717</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904</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3,856</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331</w:t>
            </w:r>
          </w:p>
        </w:tc>
        <w:tc>
          <w:tcPr>
            <w:tcW w:w="100" w:type="dxa"/>
            <w:vAlign w:val="bottom"/>
          </w:tcPr>
          <w:p>
            <w:pPr>
              <w:spacing w:after="0"/>
              <w:rPr>
                <w:sz w:val="24"/>
                <w:szCs w:val="24"/>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904</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4,187</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5,091</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382</w:t>
            </w:r>
          </w:p>
        </w:tc>
        <w:tc>
          <w:tcPr>
            <w:tcW w:w="0" w:type="dxa"/>
            <w:vAlign w:val="bottom"/>
          </w:tcPr>
          <w:p>
            <w:pPr>
              <w:spacing w:after="0"/>
              <w:rPr>
                <w:sz w:val="1"/>
                <w:szCs w:val="1"/>
                <w:color w:val="auto"/>
              </w:rPr>
            </w:pPr>
          </w:p>
        </w:tc>
      </w:tr>
      <w:tr>
        <w:trPr>
          <w:trHeight w:val="270"/>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OH</w:t>
            </w:r>
          </w:p>
        </w:tc>
        <w:tc>
          <w:tcPr>
            <w:tcW w:w="6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673</w:t>
            </w:r>
          </w:p>
        </w:tc>
        <w:tc>
          <w:tcPr>
            <w:tcW w:w="10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2,910</w:t>
            </w:r>
          </w:p>
        </w:tc>
        <w:tc>
          <w:tcPr>
            <w:tcW w:w="1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164</w:t>
            </w:r>
          </w:p>
        </w:tc>
        <w:tc>
          <w:tcPr>
            <w:tcW w:w="100" w:type="dxa"/>
            <w:vAlign w:val="bottom"/>
          </w:tcPr>
          <w:p>
            <w:pPr>
              <w:spacing w:after="0"/>
              <w:rPr>
                <w:sz w:val="23"/>
                <w:szCs w:val="23"/>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673</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3,074</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3,747</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481</w:t>
            </w:r>
          </w:p>
        </w:tc>
        <w:tc>
          <w:tcPr>
            <w:tcW w:w="0" w:type="dxa"/>
            <w:vAlign w:val="bottom"/>
          </w:tcPr>
          <w:p>
            <w:pPr>
              <w:spacing w:after="0"/>
              <w:rPr>
                <w:sz w:val="1"/>
                <w:szCs w:val="1"/>
                <w:color w:val="auto"/>
              </w:rPr>
            </w:pPr>
          </w:p>
        </w:tc>
      </w:tr>
      <w:tr>
        <w:trPr>
          <w:trHeight w:val="270"/>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OH</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2,033</w:t>
            </w:r>
          </w:p>
        </w:tc>
        <w:tc>
          <w:tcPr>
            <w:tcW w:w="10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1,613</w:t>
            </w:r>
          </w:p>
        </w:tc>
        <w:tc>
          <w:tcPr>
            <w:tcW w:w="10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2,369</w:t>
            </w:r>
          </w:p>
        </w:tc>
        <w:tc>
          <w:tcPr>
            <w:tcW w:w="1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269</w:t>
            </w:r>
          </w:p>
        </w:tc>
        <w:tc>
          <w:tcPr>
            <w:tcW w:w="100" w:type="dxa"/>
            <w:vAlign w:val="bottom"/>
          </w:tcPr>
          <w:p>
            <w:pPr>
              <w:spacing w:after="0"/>
              <w:rPr>
                <w:sz w:val="23"/>
                <w:szCs w:val="23"/>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1,613</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2,638</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4,251</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350</w:t>
            </w:r>
          </w:p>
        </w:tc>
        <w:tc>
          <w:tcPr>
            <w:tcW w:w="0" w:type="dxa"/>
            <w:vAlign w:val="bottom"/>
          </w:tcPr>
          <w:p>
            <w:pPr>
              <w:spacing w:after="0"/>
              <w:rPr>
                <w:sz w:val="1"/>
                <w:szCs w:val="1"/>
                <w:color w:val="auto"/>
              </w:rPr>
            </w:pPr>
          </w:p>
        </w:tc>
      </w:tr>
      <w:tr>
        <w:trPr>
          <w:trHeight w:val="270"/>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OH</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2,301</w:t>
            </w:r>
          </w:p>
        </w:tc>
        <w:tc>
          <w:tcPr>
            <w:tcW w:w="10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220</w:t>
            </w:r>
          </w:p>
        </w:tc>
        <w:tc>
          <w:tcPr>
            <w:tcW w:w="10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1,206</w:t>
            </w:r>
          </w:p>
        </w:tc>
        <w:tc>
          <w:tcPr>
            <w:tcW w:w="1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281</w:t>
            </w:r>
          </w:p>
        </w:tc>
        <w:tc>
          <w:tcPr>
            <w:tcW w:w="100" w:type="dxa"/>
            <w:vAlign w:val="bottom"/>
          </w:tcPr>
          <w:p>
            <w:pPr>
              <w:spacing w:after="0"/>
              <w:rPr>
                <w:sz w:val="23"/>
                <w:szCs w:val="23"/>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220</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1,487</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1,707</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591</w:t>
            </w:r>
          </w:p>
        </w:tc>
        <w:tc>
          <w:tcPr>
            <w:tcW w:w="0" w:type="dxa"/>
            <w:vAlign w:val="bottom"/>
          </w:tcPr>
          <w:p>
            <w:pPr>
              <w:spacing w:after="0"/>
              <w:rPr>
                <w:sz w:val="1"/>
                <w:szCs w:val="1"/>
                <w:color w:val="auto"/>
              </w:rPr>
            </w:pPr>
          </w:p>
        </w:tc>
      </w:tr>
      <w:tr>
        <w:trPr>
          <w:trHeight w:val="270"/>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OH</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3,983</w:t>
            </w:r>
          </w:p>
        </w:tc>
        <w:tc>
          <w:tcPr>
            <w:tcW w:w="10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1,657</w:t>
            </w:r>
          </w:p>
        </w:tc>
        <w:tc>
          <w:tcPr>
            <w:tcW w:w="10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1,566</w:t>
            </w:r>
          </w:p>
        </w:tc>
        <w:tc>
          <w:tcPr>
            <w:tcW w:w="1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346</w:t>
            </w:r>
          </w:p>
        </w:tc>
        <w:tc>
          <w:tcPr>
            <w:tcW w:w="100" w:type="dxa"/>
            <w:vAlign w:val="bottom"/>
          </w:tcPr>
          <w:p>
            <w:pPr>
              <w:spacing w:after="0"/>
              <w:rPr>
                <w:sz w:val="23"/>
                <w:szCs w:val="23"/>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1,657</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1,912</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3,569</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357</w:t>
            </w:r>
          </w:p>
        </w:tc>
        <w:tc>
          <w:tcPr>
            <w:tcW w:w="0" w:type="dxa"/>
            <w:vAlign w:val="bottom"/>
          </w:tcPr>
          <w:p>
            <w:pPr>
              <w:spacing w:after="0"/>
              <w:rPr>
                <w:sz w:val="1"/>
                <w:szCs w:val="1"/>
                <w:color w:val="auto"/>
              </w:rPr>
            </w:pPr>
          </w:p>
        </w:tc>
      </w:tr>
      <w:tr>
        <w:trPr>
          <w:trHeight w:val="270"/>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OH</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1,233</w:t>
            </w:r>
          </w:p>
        </w:tc>
        <w:tc>
          <w:tcPr>
            <w:tcW w:w="10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658</w:t>
            </w:r>
          </w:p>
        </w:tc>
        <w:tc>
          <w:tcPr>
            <w:tcW w:w="10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1,267</w:t>
            </w:r>
          </w:p>
        </w:tc>
        <w:tc>
          <w:tcPr>
            <w:tcW w:w="1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358</w:t>
            </w:r>
          </w:p>
        </w:tc>
        <w:tc>
          <w:tcPr>
            <w:tcW w:w="100" w:type="dxa"/>
            <w:vAlign w:val="bottom"/>
          </w:tcPr>
          <w:p>
            <w:pPr>
              <w:spacing w:after="0"/>
              <w:rPr>
                <w:sz w:val="23"/>
                <w:szCs w:val="23"/>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658</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1,625</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2,283</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228</w:t>
            </w:r>
          </w:p>
        </w:tc>
        <w:tc>
          <w:tcPr>
            <w:tcW w:w="0" w:type="dxa"/>
            <w:vAlign w:val="bottom"/>
          </w:tcPr>
          <w:p>
            <w:pPr>
              <w:spacing w:after="0"/>
              <w:rPr>
                <w:sz w:val="1"/>
                <w:szCs w:val="1"/>
                <w:color w:val="auto"/>
              </w:rPr>
            </w:pPr>
          </w:p>
        </w:tc>
      </w:tr>
      <w:tr>
        <w:trPr>
          <w:trHeight w:val="364"/>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OH</w:t>
            </w:r>
          </w:p>
        </w:tc>
        <w:tc>
          <w:tcPr>
            <w:tcW w:w="6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409</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1,609</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195</w:t>
            </w:r>
          </w:p>
        </w:tc>
        <w:tc>
          <w:tcPr>
            <w:tcW w:w="100" w:type="dxa"/>
            <w:vAlign w:val="bottom"/>
          </w:tcPr>
          <w:p>
            <w:pPr>
              <w:spacing w:after="0"/>
              <w:rPr>
                <w:sz w:val="24"/>
                <w:szCs w:val="24"/>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409</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1,804</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2,213</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252</w:t>
            </w:r>
          </w:p>
        </w:tc>
        <w:tc>
          <w:tcPr>
            <w:tcW w:w="0" w:type="dxa"/>
            <w:vAlign w:val="bottom"/>
          </w:tcPr>
          <w:p>
            <w:pPr>
              <w:spacing w:after="0"/>
              <w:rPr>
                <w:sz w:val="1"/>
                <w:szCs w:val="1"/>
                <w:color w:val="auto"/>
              </w:rPr>
            </w:pPr>
          </w:p>
        </w:tc>
      </w:tr>
      <w:tr>
        <w:trPr>
          <w:trHeight w:val="364"/>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OH</w:t>
            </w:r>
          </w:p>
        </w:tc>
        <w:tc>
          <w:tcPr>
            <w:tcW w:w="6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534</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1,047</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131</w:t>
            </w:r>
          </w:p>
        </w:tc>
        <w:tc>
          <w:tcPr>
            <w:tcW w:w="100" w:type="dxa"/>
            <w:vAlign w:val="bottom"/>
          </w:tcPr>
          <w:p>
            <w:pPr>
              <w:spacing w:after="0"/>
              <w:rPr>
                <w:sz w:val="24"/>
                <w:szCs w:val="24"/>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533</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1,179</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1,712</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213</w:t>
            </w:r>
          </w:p>
        </w:tc>
        <w:tc>
          <w:tcPr>
            <w:tcW w:w="0" w:type="dxa"/>
            <w:vAlign w:val="bottom"/>
          </w:tcPr>
          <w:p>
            <w:pPr>
              <w:spacing w:after="0"/>
              <w:rPr>
                <w:sz w:val="1"/>
                <w:szCs w:val="1"/>
                <w:color w:val="auto"/>
              </w:rPr>
            </w:pPr>
          </w:p>
        </w:tc>
      </w:tr>
      <w:tr>
        <w:trPr>
          <w:trHeight w:val="270"/>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OH</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1,958</w:t>
            </w:r>
          </w:p>
        </w:tc>
        <w:tc>
          <w:tcPr>
            <w:tcW w:w="10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726</w:t>
            </w:r>
          </w:p>
        </w:tc>
        <w:tc>
          <w:tcPr>
            <w:tcW w:w="10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1,965</w:t>
            </w:r>
          </w:p>
        </w:tc>
        <w:tc>
          <w:tcPr>
            <w:tcW w:w="1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131</w:t>
            </w:r>
          </w:p>
        </w:tc>
        <w:tc>
          <w:tcPr>
            <w:tcW w:w="100" w:type="dxa"/>
            <w:vAlign w:val="bottom"/>
          </w:tcPr>
          <w:p>
            <w:pPr>
              <w:spacing w:after="0"/>
              <w:rPr>
                <w:sz w:val="23"/>
                <w:szCs w:val="23"/>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726</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2,096</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2,822</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366</w:t>
            </w:r>
          </w:p>
        </w:tc>
        <w:tc>
          <w:tcPr>
            <w:tcW w:w="0" w:type="dxa"/>
            <w:vAlign w:val="bottom"/>
          </w:tcPr>
          <w:p>
            <w:pPr>
              <w:spacing w:after="0"/>
              <w:rPr>
                <w:sz w:val="1"/>
                <w:szCs w:val="1"/>
                <w:color w:val="auto"/>
              </w:rPr>
            </w:pPr>
          </w:p>
        </w:tc>
      </w:tr>
      <w:tr>
        <w:trPr>
          <w:trHeight w:val="270"/>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OH</w:t>
            </w:r>
          </w:p>
        </w:tc>
        <w:tc>
          <w:tcPr>
            <w:tcW w:w="6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155</w:t>
            </w:r>
          </w:p>
        </w:tc>
        <w:tc>
          <w:tcPr>
            <w:tcW w:w="10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1,811</w:t>
            </w:r>
          </w:p>
        </w:tc>
        <w:tc>
          <w:tcPr>
            <w:tcW w:w="1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118</w:t>
            </w:r>
          </w:p>
        </w:tc>
        <w:tc>
          <w:tcPr>
            <w:tcW w:w="100" w:type="dxa"/>
            <w:vAlign w:val="bottom"/>
          </w:tcPr>
          <w:p>
            <w:pPr>
              <w:spacing w:after="0"/>
              <w:rPr>
                <w:sz w:val="23"/>
                <w:szCs w:val="23"/>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155</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1,929</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2,084</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232</w:t>
            </w:r>
          </w:p>
        </w:tc>
        <w:tc>
          <w:tcPr>
            <w:tcW w:w="0" w:type="dxa"/>
            <w:vAlign w:val="bottom"/>
          </w:tcPr>
          <w:p>
            <w:pPr>
              <w:spacing w:after="0"/>
              <w:rPr>
                <w:sz w:val="1"/>
                <w:szCs w:val="1"/>
                <w:color w:val="auto"/>
              </w:rPr>
            </w:pPr>
          </w:p>
        </w:tc>
      </w:tr>
      <w:tr>
        <w:trPr>
          <w:trHeight w:val="364"/>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OR</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5,922</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1,221</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6,262</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317</w:t>
            </w:r>
          </w:p>
        </w:tc>
        <w:tc>
          <w:tcPr>
            <w:tcW w:w="100" w:type="dxa"/>
            <w:vAlign w:val="bottom"/>
          </w:tcPr>
          <w:p>
            <w:pPr>
              <w:spacing w:after="0"/>
              <w:rPr>
                <w:sz w:val="24"/>
                <w:szCs w:val="24"/>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1,221</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6,579</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7,800</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2,125</w:t>
            </w:r>
          </w:p>
        </w:tc>
        <w:tc>
          <w:tcPr>
            <w:tcW w:w="0" w:type="dxa"/>
            <w:vAlign w:val="bottom"/>
          </w:tcPr>
          <w:p>
            <w:pPr>
              <w:spacing w:after="0"/>
              <w:rPr>
                <w:sz w:val="1"/>
                <w:szCs w:val="1"/>
                <w:color w:val="auto"/>
              </w:rPr>
            </w:pPr>
          </w:p>
        </w:tc>
      </w:tr>
      <w:tr>
        <w:trPr>
          <w:trHeight w:val="459"/>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OR</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4,486</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2,014</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5,786</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183</w:t>
            </w:r>
          </w:p>
        </w:tc>
        <w:tc>
          <w:tcPr>
            <w:tcW w:w="100" w:type="dxa"/>
            <w:vAlign w:val="bottom"/>
          </w:tcPr>
          <w:p>
            <w:pPr>
              <w:spacing w:after="0"/>
              <w:rPr>
                <w:sz w:val="24"/>
                <w:szCs w:val="24"/>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2,014</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5,969</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7,983</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712</w:t>
            </w:r>
          </w:p>
        </w:tc>
        <w:tc>
          <w:tcPr>
            <w:tcW w:w="0" w:type="dxa"/>
            <w:vAlign w:val="bottom"/>
          </w:tcPr>
          <w:p>
            <w:pPr>
              <w:spacing w:after="0"/>
              <w:rPr>
                <w:sz w:val="1"/>
                <w:szCs w:val="1"/>
                <w:color w:val="auto"/>
              </w:rPr>
            </w:pPr>
          </w:p>
        </w:tc>
      </w:tr>
      <w:tr>
        <w:trPr>
          <w:trHeight w:val="364"/>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OR</w:t>
            </w:r>
          </w:p>
        </w:tc>
        <w:tc>
          <w:tcPr>
            <w:tcW w:w="6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732</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9,158</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167</w:t>
            </w:r>
          </w:p>
        </w:tc>
        <w:tc>
          <w:tcPr>
            <w:tcW w:w="100" w:type="dxa"/>
            <w:vAlign w:val="bottom"/>
          </w:tcPr>
          <w:p>
            <w:pPr>
              <w:spacing w:after="0"/>
              <w:rPr>
                <w:sz w:val="24"/>
                <w:szCs w:val="24"/>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732</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9,325</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10,057</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277</w:t>
            </w:r>
          </w:p>
        </w:tc>
        <w:tc>
          <w:tcPr>
            <w:tcW w:w="0" w:type="dxa"/>
            <w:vAlign w:val="bottom"/>
          </w:tcPr>
          <w:p>
            <w:pPr>
              <w:spacing w:after="0"/>
              <w:rPr>
                <w:sz w:val="1"/>
                <w:szCs w:val="1"/>
                <w:color w:val="auto"/>
              </w:rPr>
            </w:pPr>
          </w:p>
        </w:tc>
      </w:tr>
      <w:tr>
        <w:trPr>
          <w:trHeight w:val="270"/>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OR</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2,894</w:t>
            </w:r>
          </w:p>
        </w:tc>
        <w:tc>
          <w:tcPr>
            <w:tcW w:w="10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2,520</w:t>
            </w:r>
          </w:p>
        </w:tc>
        <w:tc>
          <w:tcPr>
            <w:tcW w:w="10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6,845</w:t>
            </w:r>
          </w:p>
        </w:tc>
        <w:tc>
          <w:tcPr>
            <w:tcW w:w="1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83</w:t>
            </w:r>
          </w:p>
        </w:tc>
        <w:tc>
          <w:tcPr>
            <w:tcW w:w="100" w:type="dxa"/>
            <w:vAlign w:val="bottom"/>
          </w:tcPr>
          <w:p>
            <w:pPr>
              <w:spacing w:after="0"/>
              <w:rPr>
                <w:sz w:val="23"/>
                <w:szCs w:val="23"/>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2,520</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6,928</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9,448</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1,263</w:t>
            </w:r>
          </w:p>
        </w:tc>
        <w:tc>
          <w:tcPr>
            <w:tcW w:w="0" w:type="dxa"/>
            <w:vAlign w:val="bottom"/>
          </w:tcPr>
          <w:p>
            <w:pPr>
              <w:spacing w:after="0"/>
              <w:rPr>
                <w:sz w:val="1"/>
                <w:szCs w:val="1"/>
                <w:color w:val="auto"/>
              </w:rPr>
            </w:pPr>
          </w:p>
        </w:tc>
      </w:tr>
      <w:tr>
        <w:trPr>
          <w:trHeight w:val="364"/>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PA</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3,117</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1,131</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4,525</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505</w:t>
            </w:r>
          </w:p>
        </w:tc>
        <w:tc>
          <w:tcPr>
            <w:tcW w:w="100" w:type="dxa"/>
            <w:vAlign w:val="bottom"/>
          </w:tcPr>
          <w:p>
            <w:pPr>
              <w:spacing w:after="0"/>
              <w:rPr>
                <w:sz w:val="24"/>
                <w:szCs w:val="24"/>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1,131</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5,030</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6,161</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1,648</w:t>
            </w:r>
          </w:p>
        </w:tc>
        <w:tc>
          <w:tcPr>
            <w:tcW w:w="0" w:type="dxa"/>
            <w:vAlign w:val="bottom"/>
          </w:tcPr>
          <w:p>
            <w:pPr>
              <w:spacing w:after="0"/>
              <w:rPr>
                <w:sz w:val="1"/>
                <w:szCs w:val="1"/>
                <w:color w:val="auto"/>
              </w:rPr>
            </w:pPr>
          </w:p>
        </w:tc>
      </w:tr>
      <w:tr>
        <w:trPr>
          <w:trHeight w:val="459"/>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PA</w:t>
            </w:r>
          </w:p>
        </w:tc>
        <w:tc>
          <w:tcPr>
            <w:tcW w:w="6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750</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3,015</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252</w:t>
            </w:r>
          </w:p>
        </w:tc>
        <w:tc>
          <w:tcPr>
            <w:tcW w:w="100" w:type="dxa"/>
            <w:vAlign w:val="bottom"/>
          </w:tcPr>
          <w:p>
            <w:pPr>
              <w:spacing w:after="0"/>
              <w:rPr>
                <w:sz w:val="24"/>
                <w:szCs w:val="24"/>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750</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3,267</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4,017</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990</w:t>
            </w:r>
          </w:p>
        </w:tc>
        <w:tc>
          <w:tcPr>
            <w:tcW w:w="0" w:type="dxa"/>
            <w:vAlign w:val="bottom"/>
          </w:tcPr>
          <w:p>
            <w:pPr>
              <w:spacing w:after="0"/>
              <w:rPr>
                <w:sz w:val="1"/>
                <w:szCs w:val="1"/>
                <w:color w:val="auto"/>
              </w:rPr>
            </w:pPr>
          </w:p>
        </w:tc>
      </w:tr>
      <w:tr>
        <w:trPr>
          <w:trHeight w:val="364"/>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PA</w:t>
            </w:r>
          </w:p>
        </w:tc>
        <w:tc>
          <w:tcPr>
            <w:tcW w:w="6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490</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6,947</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258</w:t>
            </w:r>
          </w:p>
        </w:tc>
        <w:tc>
          <w:tcPr>
            <w:tcW w:w="100" w:type="dxa"/>
            <w:vAlign w:val="bottom"/>
          </w:tcPr>
          <w:p>
            <w:pPr>
              <w:spacing w:after="0"/>
              <w:rPr>
                <w:sz w:val="24"/>
                <w:szCs w:val="24"/>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490</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7,205</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7,695</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241</w:t>
            </w:r>
          </w:p>
        </w:tc>
        <w:tc>
          <w:tcPr>
            <w:tcW w:w="0" w:type="dxa"/>
            <w:vAlign w:val="bottom"/>
          </w:tcPr>
          <w:p>
            <w:pPr>
              <w:spacing w:after="0"/>
              <w:rPr>
                <w:sz w:val="1"/>
                <w:szCs w:val="1"/>
                <w:color w:val="auto"/>
              </w:rPr>
            </w:pPr>
          </w:p>
        </w:tc>
      </w:tr>
      <w:tr>
        <w:trPr>
          <w:trHeight w:val="270"/>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PA</w:t>
            </w:r>
          </w:p>
        </w:tc>
        <w:tc>
          <w:tcPr>
            <w:tcW w:w="6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220</w:t>
            </w:r>
          </w:p>
        </w:tc>
        <w:tc>
          <w:tcPr>
            <w:tcW w:w="10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3,442</w:t>
            </w:r>
          </w:p>
        </w:tc>
        <w:tc>
          <w:tcPr>
            <w:tcW w:w="1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1,168</w:t>
            </w:r>
          </w:p>
        </w:tc>
        <w:tc>
          <w:tcPr>
            <w:tcW w:w="100" w:type="dxa"/>
            <w:vAlign w:val="bottom"/>
          </w:tcPr>
          <w:p>
            <w:pPr>
              <w:spacing w:after="0"/>
              <w:rPr>
                <w:sz w:val="23"/>
                <w:szCs w:val="23"/>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521</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4,309</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4,830</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1,728</w:t>
            </w:r>
          </w:p>
        </w:tc>
        <w:tc>
          <w:tcPr>
            <w:tcW w:w="0" w:type="dxa"/>
            <w:vAlign w:val="bottom"/>
          </w:tcPr>
          <w:p>
            <w:pPr>
              <w:spacing w:after="0"/>
              <w:rPr>
                <w:sz w:val="1"/>
                <w:szCs w:val="1"/>
                <w:color w:val="auto"/>
              </w:rPr>
            </w:pPr>
          </w:p>
        </w:tc>
      </w:tr>
      <w:tr>
        <w:trPr>
          <w:trHeight w:val="270"/>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PA</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2,498</w:t>
            </w:r>
          </w:p>
        </w:tc>
        <w:tc>
          <w:tcPr>
            <w:tcW w:w="10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736</w:t>
            </w:r>
          </w:p>
        </w:tc>
        <w:tc>
          <w:tcPr>
            <w:tcW w:w="10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3,173</w:t>
            </w:r>
          </w:p>
        </w:tc>
        <w:tc>
          <w:tcPr>
            <w:tcW w:w="1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329</w:t>
            </w:r>
          </w:p>
        </w:tc>
        <w:tc>
          <w:tcPr>
            <w:tcW w:w="100" w:type="dxa"/>
            <w:vAlign w:val="bottom"/>
          </w:tcPr>
          <w:p>
            <w:pPr>
              <w:spacing w:after="0"/>
              <w:rPr>
                <w:sz w:val="23"/>
                <w:szCs w:val="23"/>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736</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3,502</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4,238</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1,533</w:t>
            </w:r>
          </w:p>
        </w:tc>
        <w:tc>
          <w:tcPr>
            <w:tcW w:w="0" w:type="dxa"/>
            <w:vAlign w:val="bottom"/>
          </w:tcPr>
          <w:p>
            <w:pPr>
              <w:spacing w:after="0"/>
              <w:rPr>
                <w:sz w:val="1"/>
                <w:szCs w:val="1"/>
                <w:color w:val="auto"/>
              </w:rPr>
            </w:pPr>
          </w:p>
        </w:tc>
      </w:tr>
      <w:tr>
        <w:trPr>
          <w:trHeight w:val="364"/>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PA</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5,386</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1,965</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5,925</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1,596</w:t>
            </w:r>
          </w:p>
        </w:tc>
        <w:tc>
          <w:tcPr>
            <w:tcW w:w="100" w:type="dxa"/>
            <w:vAlign w:val="bottom"/>
          </w:tcPr>
          <w:p>
            <w:pPr>
              <w:spacing w:after="0"/>
              <w:rPr>
                <w:sz w:val="24"/>
                <w:szCs w:val="24"/>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1,965</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7,521</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9,486</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2,605</w:t>
            </w:r>
          </w:p>
        </w:tc>
        <w:tc>
          <w:tcPr>
            <w:tcW w:w="0" w:type="dxa"/>
            <w:vAlign w:val="bottom"/>
          </w:tcPr>
          <w:p>
            <w:pPr>
              <w:spacing w:after="0"/>
              <w:rPr>
                <w:sz w:val="1"/>
                <w:szCs w:val="1"/>
                <w:color w:val="auto"/>
              </w:rPr>
            </w:pPr>
          </w:p>
        </w:tc>
      </w:tr>
      <w:tr>
        <w:trPr>
          <w:trHeight w:val="459"/>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PA</w:t>
            </w:r>
          </w:p>
        </w:tc>
        <w:tc>
          <w:tcPr>
            <w:tcW w:w="6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596</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10,368</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75</w:t>
            </w:r>
          </w:p>
        </w:tc>
        <w:tc>
          <w:tcPr>
            <w:tcW w:w="100" w:type="dxa"/>
            <w:vAlign w:val="bottom"/>
          </w:tcPr>
          <w:p>
            <w:pPr>
              <w:spacing w:after="0"/>
              <w:rPr>
                <w:sz w:val="24"/>
                <w:szCs w:val="24"/>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596</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10,443</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11,039</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1,438</w:t>
            </w:r>
          </w:p>
        </w:tc>
        <w:tc>
          <w:tcPr>
            <w:tcW w:w="0" w:type="dxa"/>
            <w:vAlign w:val="bottom"/>
          </w:tcPr>
          <w:p>
            <w:pPr>
              <w:spacing w:after="0"/>
              <w:rPr>
                <w:sz w:val="1"/>
                <w:szCs w:val="1"/>
                <w:color w:val="auto"/>
              </w:rPr>
            </w:pPr>
          </w:p>
        </w:tc>
      </w:tr>
      <w:tr>
        <w:trPr>
          <w:trHeight w:val="459"/>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PA</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2,498</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991</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1,990</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946</w:t>
            </w:r>
          </w:p>
        </w:tc>
        <w:tc>
          <w:tcPr>
            <w:tcW w:w="100" w:type="dxa"/>
            <w:vAlign w:val="bottom"/>
          </w:tcPr>
          <w:p>
            <w:pPr>
              <w:spacing w:after="0"/>
              <w:rPr>
                <w:sz w:val="24"/>
                <w:szCs w:val="24"/>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1,082</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2,845</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3,927</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1,257</w:t>
            </w:r>
          </w:p>
        </w:tc>
        <w:tc>
          <w:tcPr>
            <w:tcW w:w="0" w:type="dxa"/>
            <w:vAlign w:val="bottom"/>
          </w:tcPr>
          <w:p>
            <w:pPr>
              <w:spacing w:after="0"/>
              <w:rPr>
                <w:sz w:val="1"/>
                <w:szCs w:val="1"/>
                <w:color w:val="auto"/>
              </w:rPr>
            </w:pPr>
          </w:p>
        </w:tc>
      </w:tr>
      <w:tr>
        <w:trPr>
          <w:trHeight w:val="459"/>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PA</w:t>
            </w:r>
          </w:p>
        </w:tc>
        <w:tc>
          <w:tcPr>
            <w:tcW w:w="6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400</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3,936</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412</w:t>
            </w:r>
          </w:p>
        </w:tc>
        <w:tc>
          <w:tcPr>
            <w:tcW w:w="100" w:type="dxa"/>
            <w:vAlign w:val="bottom"/>
          </w:tcPr>
          <w:p>
            <w:pPr>
              <w:spacing w:after="0"/>
              <w:rPr>
                <w:sz w:val="24"/>
                <w:szCs w:val="24"/>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400</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4,348</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4,748</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145</w:t>
            </w:r>
          </w:p>
        </w:tc>
        <w:tc>
          <w:tcPr>
            <w:tcW w:w="0" w:type="dxa"/>
            <w:vAlign w:val="bottom"/>
          </w:tcPr>
          <w:p>
            <w:pPr>
              <w:spacing w:after="0"/>
              <w:rPr>
                <w:sz w:val="1"/>
                <w:szCs w:val="1"/>
                <w:color w:val="auto"/>
              </w:rPr>
            </w:pPr>
          </w:p>
        </w:tc>
      </w:tr>
      <w:tr>
        <w:trPr>
          <w:trHeight w:val="459"/>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PA</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3,684</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889</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4,117</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689</w:t>
            </w:r>
          </w:p>
        </w:tc>
        <w:tc>
          <w:tcPr>
            <w:tcW w:w="100" w:type="dxa"/>
            <w:vAlign w:val="bottom"/>
          </w:tcPr>
          <w:p>
            <w:pPr>
              <w:spacing w:after="0"/>
              <w:rPr>
                <w:sz w:val="24"/>
                <w:szCs w:val="24"/>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889</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4,806</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5,695</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2,156</w:t>
            </w:r>
          </w:p>
        </w:tc>
        <w:tc>
          <w:tcPr>
            <w:tcW w:w="0" w:type="dxa"/>
            <w:vAlign w:val="bottom"/>
          </w:tcPr>
          <w:p>
            <w:pPr>
              <w:spacing w:after="0"/>
              <w:rPr>
                <w:sz w:val="1"/>
                <w:szCs w:val="1"/>
                <w:color w:val="auto"/>
              </w:rPr>
            </w:pPr>
          </w:p>
        </w:tc>
      </w:tr>
      <w:tr>
        <w:trPr>
          <w:trHeight w:val="364"/>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PA</w:t>
            </w:r>
          </w:p>
        </w:tc>
        <w:tc>
          <w:tcPr>
            <w:tcW w:w="6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720</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4,552</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245</w:t>
            </w:r>
          </w:p>
        </w:tc>
        <w:tc>
          <w:tcPr>
            <w:tcW w:w="100" w:type="dxa"/>
            <w:vAlign w:val="bottom"/>
          </w:tcPr>
          <w:p>
            <w:pPr>
              <w:spacing w:after="0"/>
              <w:rPr>
                <w:sz w:val="24"/>
                <w:szCs w:val="24"/>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720</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4,797</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5,517</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162</w:t>
            </w:r>
          </w:p>
        </w:tc>
        <w:tc>
          <w:tcPr>
            <w:tcW w:w="0" w:type="dxa"/>
            <w:vAlign w:val="bottom"/>
          </w:tcPr>
          <w:p>
            <w:pPr>
              <w:spacing w:after="0"/>
              <w:rPr>
                <w:sz w:val="1"/>
                <w:szCs w:val="1"/>
                <w:color w:val="auto"/>
              </w:rPr>
            </w:pPr>
          </w:p>
        </w:tc>
      </w:tr>
      <w:tr>
        <w:trPr>
          <w:trHeight w:val="270"/>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PA</w:t>
            </w:r>
          </w:p>
        </w:tc>
        <w:tc>
          <w:tcPr>
            <w:tcW w:w="6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840</w:t>
            </w:r>
          </w:p>
        </w:tc>
        <w:tc>
          <w:tcPr>
            <w:tcW w:w="10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8,931</w:t>
            </w:r>
          </w:p>
        </w:tc>
        <w:tc>
          <w:tcPr>
            <w:tcW w:w="1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400</w:t>
            </w:r>
          </w:p>
        </w:tc>
        <w:tc>
          <w:tcPr>
            <w:tcW w:w="100" w:type="dxa"/>
            <w:vAlign w:val="bottom"/>
          </w:tcPr>
          <w:p>
            <w:pPr>
              <w:spacing w:after="0"/>
              <w:rPr>
                <w:sz w:val="23"/>
                <w:szCs w:val="23"/>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840</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9,331</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10,171</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302</w:t>
            </w:r>
          </w:p>
        </w:tc>
        <w:tc>
          <w:tcPr>
            <w:tcW w:w="0" w:type="dxa"/>
            <w:vAlign w:val="bottom"/>
          </w:tcPr>
          <w:p>
            <w:pPr>
              <w:spacing w:after="0"/>
              <w:rPr>
                <w:sz w:val="1"/>
                <w:szCs w:val="1"/>
                <w:color w:val="auto"/>
              </w:rPr>
            </w:pPr>
          </w:p>
        </w:tc>
      </w:tr>
      <w:tr>
        <w:trPr>
          <w:trHeight w:val="270"/>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PA</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4,995</w:t>
            </w:r>
          </w:p>
        </w:tc>
        <w:tc>
          <w:tcPr>
            <w:tcW w:w="10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1,297</w:t>
            </w:r>
          </w:p>
        </w:tc>
        <w:tc>
          <w:tcPr>
            <w:tcW w:w="10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4,027</w:t>
            </w:r>
          </w:p>
        </w:tc>
        <w:tc>
          <w:tcPr>
            <w:tcW w:w="1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370</w:t>
            </w:r>
          </w:p>
        </w:tc>
        <w:tc>
          <w:tcPr>
            <w:tcW w:w="100" w:type="dxa"/>
            <w:vAlign w:val="bottom"/>
          </w:tcPr>
          <w:p>
            <w:pPr>
              <w:spacing w:after="0"/>
              <w:rPr>
                <w:sz w:val="23"/>
                <w:szCs w:val="23"/>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1,297</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4,397</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5,694</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761</w:t>
            </w:r>
          </w:p>
        </w:tc>
        <w:tc>
          <w:tcPr>
            <w:tcW w:w="0" w:type="dxa"/>
            <w:vAlign w:val="bottom"/>
          </w:tcPr>
          <w:p>
            <w:pPr>
              <w:spacing w:after="0"/>
              <w:rPr>
                <w:sz w:val="1"/>
                <w:szCs w:val="1"/>
                <w:color w:val="auto"/>
              </w:rPr>
            </w:pPr>
          </w:p>
        </w:tc>
      </w:tr>
      <w:tr>
        <w:trPr>
          <w:trHeight w:val="364"/>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RI</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6,226</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2,658</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4,799</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669</w:t>
            </w:r>
          </w:p>
        </w:tc>
        <w:tc>
          <w:tcPr>
            <w:tcW w:w="100" w:type="dxa"/>
            <w:vAlign w:val="bottom"/>
          </w:tcPr>
          <w:p>
            <w:pPr>
              <w:spacing w:after="0"/>
              <w:rPr>
                <w:sz w:val="24"/>
                <w:szCs w:val="24"/>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2,658</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5,468</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8,126</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1,857</w:t>
            </w:r>
          </w:p>
        </w:tc>
        <w:tc>
          <w:tcPr>
            <w:tcW w:w="0" w:type="dxa"/>
            <w:vAlign w:val="bottom"/>
          </w:tcPr>
          <w:p>
            <w:pPr>
              <w:spacing w:after="0"/>
              <w:rPr>
                <w:sz w:val="1"/>
                <w:szCs w:val="1"/>
                <w:color w:val="auto"/>
              </w:rPr>
            </w:pPr>
          </w:p>
        </w:tc>
      </w:tr>
      <w:tr>
        <w:trPr>
          <w:trHeight w:val="364"/>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RI</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1,771</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533</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2,127</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241</w:t>
            </w:r>
          </w:p>
        </w:tc>
        <w:tc>
          <w:tcPr>
            <w:tcW w:w="100" w:type="dxa"/>
            <w:vAlign w:val="bottom"/>
          </w:tcPr>
          <w:p>
            <w:pPr>
              <w:spacing w:after="0"/>
              <w:rPr>
                <w:sz w:val="24"/>
                <w:szCs w:val="24"/>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533</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2,368</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2,901</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315</w:t>
            </w:r>
          </w:p>
        </w:tc>
        <w:tc>
          <w:tcPr>
            <w:tcW w:w="0" w:type="dxa"/>
            <w:vAlign w:val="bottom"/>
          </w:tcPr>
          <w:p>
            <w:pPr>
              <w:spacing w:after="0"/>
              <w:rPr>
                <w:sz w:val="1"/>
                <w:szCs w:val="1"/>
                <w:color w:val="auto"/>
              </w:rPr>
            </w:pPr>
          </w:p>
        </w:tc>
      </w:tr>
      <w:tr>
        <w:trPr>
          <w:trHeight w:val="270"/>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SC</w:t>
            </w:r>
          </w:p>
        </w:tc>
        <w:tc>
          <w:tcPr>
            <w:tcW w:w="6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1,010</w:t>
            </w:r>
          </w:p>
        </w:tc>
        <w:tc>
          <w:tcPr>
            <w:tcW w:w="10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8,673</w:t>
            </w:r>
          </w:p>
        </w:tc>
        <w:tc>
          <w:tcPr>
            <w:tcW w:w="1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181</w:t>
            </w:r>
          </w:p>
        </w:tc>
        <w:tc>
          <w:tcPr>
            <w:tcW w:w="100" w:type="dxa"/>
            <w:vAlign w:val="bottom"/>
          </w:tcPr>
          <w:p>
            <w:pPr>
              <w:spacing w:after="0"/>
              <w:rPr>
                <w:sz w:val="23"/>
                <w:szCs w:val="23"/>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1,010</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8,854</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9,864</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288</w:t>
            </w:r>
          </w:p>
        </w:tc>
        <w:tc>
          <w:tcPr>
            <w:tcW w:w="0" w:type="dxa"/>
            <w:vAlign w:val="bottom"/>
          </w:tcPr>
          <w:p>
            <w:pPr>
              <w:spacing w:after="0"/>
              <w:rPr>
                <w:sz w:val="1"/>
                <w:szCs w:val="1"/>
                <w:color w:val="auto"/>
              </w:rPr>
            </w:pPr>
          </w:p>
        </w:tc>
      </w:tr>
      <w:tr>
        <w:trPr>
          <w:trHeight w:val="364"/>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SC</w:t>
            </w:r>
          </w:p>
        </w:tc>
        <w:tc>
          <w:tcPr>
            <w:tcW w:w="6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500</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5,390</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326</w:t>
            </w:r>
          </w:p>
        </w:tc>
        <w:tc>
          <w:tcPr>
            <w:tcW w:w="100" w:type="dxa"/>
            <w:vAlign w:val="bottom"/>
          </w:tcPr>
          <w:p>
            <w:pPr>
              <w:spacing w:after="0"/>
              <w:rPr>
                <w:sz w:val="24"/>
                <w:szCs w:val="24"/>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500</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5,716</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6,216</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196</w:t>
            </w:r>
          </w:p>
        </w:tc>
        <w:tc>
          <w:tcPr>
            <w:tcW w:w="0" w:type="dxa"/>
            <w:vAlign w:val="bottom"/>
          </w:tcPr>
          <w:p>
            <w:pPr>
              <w:spacing w:after="0"/>
              <w:rPr>
                <w:sz w:val="1"/>
                <w:szCs w:val="1"/>
                <w:color w:val="auto"/>
              </w:rPr>
            </w:pPr>
          </w:p>
        </w:tc>
      </w:tr>
      <w:tr>
        <w:trPr>
          <w:trHeight w:val="459"/>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SC</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3,359</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1,279</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4,171</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386</w:t>
            </w:r>
          </w:p>
        </w:tc>
        <w:tc>
          <w:tcPr>
            <w:tcW w:w="100" w:type="dxa"/>
            <w:vAlign w:val="bottom"/>
          </w:tcPr>
          <w:p>
            <w:pPr>
              <w:spacing w:after="0"/>
              <w:rPr>
                <w:sz w:val="24"/>
                <w:szCs w:val="24"/>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1,279</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4,557</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5,836</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1,509</w:t>
            </w:r>
          </w:p>
        </w:tc>
        <w:tc>
          <w:tcPr>
            <w:tcW w:w="0" w:type="dxa"/>
            <w:vAlign w:val="bottom"/>
          </w:tcPr>
          <w:p>
            <w:pPr>
              <w:spacing w:after="0"/>
              <w:rPr>
                <w:sz w:val="1"/>
                <w:szCs w:val="1"/>
                <w:color w:val="auto"/>
              </w:rPr>
            </w:pPr>
          </w:p>
        </w:tc>
      </w:tr>
      <w:tr>
        <w:trPr>
          <w:trHeight w:val="459"/>
        </w:trPr>
        <w:tc>
          <w:tcPr>
            <w:tcW w:w="5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SC</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5,631</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600</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9,364</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432</w:t>
            </w:r>
          </w:p>
        </w:tc>
        <w:tc>
          <w:tcPr>
            <w:tcW w:w="100" w:type="dxa"/>
            <w:vAlign w:val="bottom"/>
          </w:tcPr>
          <w:p>
            <w:pPr>
              <w:spacing w:after="0"/>
              <w:rPr>
                <w:sz w:val="24"/>
                <w:szCs w:val="24"/>
                <w:color w:val="auto"/>
              </w:rPr>
            </w:pPr>
          </w:p>
        </w:tc>
        <w:tc>
          <w:tcPr>
            <w:tcW w:w="1240" w:type="dxa"/>
            <w:vAlign w:val="bottom"/>
            <w:gridSpan w:val="3"/>
          </w:tcPr>
          <w:p>
            <w:pPr>
              <w:jc w:val="center"/>
              <w:ind w:left="479"/>
              <w:spacing w:after="0"/>
              <w:rPr>
                <w:sz w:val="20"/>
                <w:szCs w:val="20"/>
                <w:color w:val="auto"/>
              </w:rPr>
            </w:pPr>
            <w:r>
              <w:rPr>
                <w:rFonts w:ascii="Arial" w:cs="Arial" w:eastAsia="Arial" w:hAnsi="Arial"/>
                <w:sz w:val="16"/>
                <w:szCs w:val="16"/>
                <w:color w:val="auto"/>
                <w:w w:val="89"/>
              </w:rPr>
              <w:t>600</w:t>
            </w:r>
          </w:p>
        </w:tc>
        <w:tc>
          <w:tcPr>
            <w:tcW w:w="13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9,796</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10,396</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-9169400</wp:posOffset>
            </wp:positionV>
            <wp:extent cx="7246620" cy="2997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299720"/>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-8578850</wp:posOffset>
            </wp:positionV>
            <wp:extent cx="7246620" cy="2914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-7995920</wp:posOffset>
            </wp:positionV>
            <wp:extent cx="7246620" cy="2914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-7533640</wp:posOffset>
            </wp:positionV>
            <wp:extent cx="7246620" cy="291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-7070725</wp:posOffset>
            </wp:positionV>
            <wp:extent cx="7246620" cy="1714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-6728460</wp:posOffset>
            </wp:positionV>
            <wp:extent cx="7246620" cy="1714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-6385560</wp:posOffset>
            </wp:positionV>
            <wp:extent cx="7246620" cy="1714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-5923280</wp:posOffset>
            </wp:positionV>
            <wp:extent cx="7246620" cy="1714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-5580380</wp:posOffset>
            </wp:positionV>
            <wp:extent cx="7246620" cy="1714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-5118100</wp:posOffset>
            </wp:positionV>
            <wp:extent cx="7246620" cy="2914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-4655185</wp:posOffset>
            </wp:positionV>
            <wp:extent cx="7246620" cy="1714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-4192905</wp:posOffset>
            </wp:positionV>
            <wp:extent cx="7246620" cy="2914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-3729990</wp:posOffset>
            </wp:positionV>
            <wp:extent cx="7246620" cy="1714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-3387725</wp:posOffset>
            </wp:positionV>
            <wp:extent cx="7246620" cy="2914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-2805430</wp:posOffset>
            </wp:positionV>
            <wp:extent cx="7246620" cy="2914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-2222500</wp:posOffset>
            </wp:positionV>
            <wp:extent cx="7246620" cy="2914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-1760220</wp:posOffset>
            </wp:positionV>
            <wp:extent cx="7246620" cy="1714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-1417320</wp:posOffset>
            </wp:positionV>
            <wp:extent cx="7246620" cy="2914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-955040</wp:posOffset>
            </wp:positionV>
            <wp:extent cx="7246620" cy="1714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-492125</wp:posOffset>
            </wp:positionV>
            <wp:extent cx="7246620" cy="2914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89535</wp:posOffset>
            </wp:positionV>
            <wp:extent cx="7246620" cy="654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65405"/>
                    </a:xfrm>
                    <a:prstGeom prst="rect">
                      <a:avLst/>
                    </a:prstGeom>
                    <a:noFill/>
                  </pic:spPr>
                </pic:pic>
              </a:graphicData>
            </a:graphic>
          </wp:anchor>
        </w:drawing>
      </w:r>
    </w:p>
    <w:p>
      <w:pPr>
        <w:sectPr>
          <w:pgSz w:w="11900" w:h="16838" w:orient="portrait"/>
          <w:cols w:equalWidth="0" w:num="2">
            <w:col w:w="2360" w:space="120"/>
            <w:col w:w="8940"/>
          </w:cols>
          <w:pgMar w:left="240" w:top="962" w:right="239" w:bottom="0" w:gutter="0" w:footer="0" w:header="0"/>
        </w:sectPr>
      </w:pPr>
    </w:p>
    <w:bookmarkStart w:id="109" w:name="page110"/>
    <w:bookmarkEnd w:id="109"/>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10/1/2015</w:t>
            </w:r>
          </w:p>
        </w:tc>
        <w:tc>
          <w:tcPr>
            <w:tcW w:w="1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Charleston /</w:t>
            </w:r>
          </w:p>
        </w:tc>
        <w:tc>
          <w:tcPr>
            <w:tcW w:w="0" w:type="dxa"/>
            <w:vAlign w:val="bottom"/>
          </w:tcPr>
          <w:p>
            <w:pPr>
              <w:spacing w:after="0"/>
              <w:rPr>
                <w:sz w:val="1"/>
                <w:szCs w:val="1"/>
                <w:color w:val="auto"/>
              </w:rPr>
            </w:pPr>
          </w:p>
        </w:tc>
      </w:tr>
      <w:tr>
        <w:trPr>
          <w:trHeight w:val="219"/>
        </w:trPr>
        <w:tc>
          <w:tcPr>
            <w:tcW w:w="9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Savannah Hwy</w:t>
            </w:r>
          </w:p>
        </w:tc>
        <w:tc>
          <w:tcPr>
            <w:tcW w:w="0" w:type="dxa"/>
            <w:vAlign w:val="bottom"/>
          </w:tcPr>
          <w:p>
            <w:pPr>
              <w:spacing w:after="0"/>
              <w:rPr>
                <w:sz w:val="1"/>
                <w:szCs w:val="1"/>
                <w:color w:val="auto"/>
              </w:rPr>
            </w:pPr>
          </w:p>
        </w:tc>
      </w:tr>
      <w:tr>
        <w:trPr>
          <w:trHeight w:val="81"/>
        </w:trPr>
        <w:tc>
          <w:tcPr>
            <w:tcW w:w="960" w:type="dxa"/>
            <w:vAlign w:val="bottom"/>
            <w:shd w:val="clear" w:color="auto" w:fill="CCEEFF"/>
          </w:tcPr>
          <w:p>
            <w:pPr>
              <w:spacing w:after="0"/>
              <w:rPr>
                <w:sz w:val="7"/>
                <w:szCs w:val="7"/>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w w:val="94"/>
              </w:rPr>
              <w:t>Columbia / Clemson</w:t>
            </w:r>
          </w:p>
        </w:tc>
        <w:tc>
          <w:tcPr>
            <w:tcW w:w="0" w:type="dxa"/>
            <w:vAlign w:val="bottom"/>
          </w:tcPr>
          <w:p>
            <w:pPr>
              <w:spacing w:after="0"/>
              <w:rPr>
                <w:sz w:val="1"/>
                <w:szCs w:val="1"/>
                <w:color w:val="auto"/>
              </w:rPr>
            </w:pPr>
          </w:p>
        </w:tc>
      </w:tr>
      <w:tr>
        <w:trPr>
          <w:trHeight w:val="139"/>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3/30/2015</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Rd</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7/19/2012</w:t>
            </w:r>
          </w:p>
        </w:tc>
        <w:tc>
          <w:tcPr>
            <w:tcW w:w="1400" w:type="dxa"/>
            <w:vAlign w:val="bottom"/>
          </w:tcPr>
          <w:p>
            <w:pPr>
              <w:ind w:left="20"/>
              <w:spacing w:after="0"/>
              <w:rPr>
                <w:sz w:val="20"/>
                <w:szCs w:val="20"/>
                <w:color w:val="auto"/>
              </w:rPr>
            </w:pPr>
            <w:r>
              <w:rPr>
                <w:rFonts w:ascii="Arial" w:cs="Arial" w:eastAsia="Arial" w:hAnsi="Arial"/>
                <w:sz w:val="16"/>
                <w:szCs w:val="16"/>
                <w:color w:val="auto"/>
              </w:rPr>
              <w:t>Columbia / Decker</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Blvd</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8/26/2004</w:t>
            </w:r>
          </w:p>
        </w:tc>
        <w:tc>
          <w:tcPr>
            <w:tcW w:w="1400" w:type="dxa"/>
            <w:vAlign w:val="bottom"/>
          </w:tcPr>
          <w:p>
            <w:pPr>
              <w:ind w:left="20"/>
              <w:spacing w:after="0"/>
              <w:rPr>
                <w:sz w:val="20"/>
                <w:szCs w:val="20"/>
                <w:color w:val="auto"/>
              </w:rPr>
            </w:pPr>
            <w:r>
              <w:rPr>
                <w:rFonts w:ascii="Arial" w:cs="Arial" w:eastAsia="Arial" w:hAnsi="Arial"/>
                <w:sz w:val="16"/>
                <w:szCs w:val="16"/>
                <w:color w:val="auto"/>
              </w:rPr>
              <w:t>Columbia / Harban</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Ct</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400" w:type="dxa"/>
            <w:vAlign w:val="bottom"/>
          </w:tcPr>
          <w:p>
            <w:pPr>
              <w:ind w:left="20"/>
              <w:spacing w:after="0"/>
              <w:rPr>
                <w:sz w:val="20"/>
                <w:szCs w:val="20"/>
                <w:color w:val="auto"/>
              </w:rPr>
            </w:pPr>
            <w:r>
              <w:rPr>
                <w:rFonts w:ascii="Arial" w:cs="Arial" w:eastAsia="Arial" w:hAnsi="Arial"/>
                <w:sz w:val="16"/>
                <w:szCs w:val="16"/>
                <w:color w:val="auto"/>
                <w:w w:val="98"/>
              </w:rPr>
              <w:t>Columbia / Percival</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Rd</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8/26/2004</w:t>
            </w:r>
          </w:p>
        </w:tc>
        <w:tc>
          <w:tcPr>
            <w:tcW w:w="1400" w:type="dxa"/>
            <w:vAlign w:val="bottom"/>
          </w:tcPr>
          <w:p>
            <w:pPr>
              <w:ind w:left="20"/>
              <w:spacing w:after="0"/>
              <w:rPr>
                <w:sz w:val="20"/>
                <w:szCs w:val="20"/>
                <w:color w:val="auto"/>
              </w:rPr>
            </w:pPr>
            <w:r>
              <w:rPr>
                <w:rFonts w:ascii="Arial" w:cs="Arial" w:eastAsia="Arial" w:hAnsi="Arial"/>
                <w:sz w:val="16"/>
                <w:szCs w:val="16"/>
                <w:color w:val="auto"/>
              </w:rPr>
              <w:t>Goose Creek</w:t>
            </w: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400" w:type="dxa"/>
            <w:vAlign w:val="bottom"/>
          </w:tcPr>
          <w:p>
            <w:pPr>
              <w:ind w:left="20"/>
              <w:spacing w:after="0"/>
              <w:rPr>
                <w:sz w:val="20"/>
                <w:szCs w:val="20"/>
                <w:color w:val="auto"/>
              </w:rPr>
            </w:pPr>
            <w:r>
              <w:rPr>
                <w:rFonts w:ascii="Arial" w:cs="Arial" w:eastAsia="Arial" w:hAnsi="Arial"/>
                <w:sz w:val="16"/>
                <w:szCs w:val="16"/>
                <w:color w:val="auto"/>
                <w:w w:val="94"/>
              </w:rPr>
              <w:t>Greenville / Laurens</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Rd</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5/10/2016</w:t>
            </w:r>
          </w:p>
        </w:tc>
        <w:tc>
          <w:tcPr>
            <w:tcW w:w="1400" w:type="dxa"/>
            <w:vAlign w:val="bottom"/>
          </w:tcPr>
          <w:p>
            <w:pPr>
              <w:ind w:left="20"/>
              <w:spacing w:after="0"/>
              <w:rPr>
                <w:sz w:val="20"/>
                <w:szCs w:val="20"/>
                <w:color w:val="auto"/>
              </w:rPr>
            </w:pPr>
            <w:r>
              <w:rPr>
                <w:rFonts w:ascii="Arial" w:cs="Arial" w:eastAsia="Arial" w:hAnsi="Arial"/>
                <w:sz w:val="16"/>
                <w:szCs w:val="16"/>
                <w:color w:val="auto"/>
              </w:rPr>
              <w:t>Greenville /</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Woodruff Rd</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400" w:type="dxa"/>
            <w:vAlign w:val="bottom"/>
          </w:tcPr>
          <w:p>
            <w:pPr>
              <w:ind w:left="20"/>
              <w:spacing w:after="0"/>
              <w:rPr>
                <w:sz w:val="20"/>
                <w:szCs w:val="20"/>
                <w:color w:val="auto"/>
              </w:rPr>
            </w:pPr>
            <w:r>
              <w:rPr>
                <w:rFonts w:ascii="Arial" w:cs="Arial" w:eastAsia="Arial" w:hAnsi="Arial"/>
                <w:sz w:val="16"/>
                <w:szCs w:val="16"/>
                <w:color w:val="auto"/>
              </w:rPr>
              <w:t>Lexington /</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Northpoint Dr</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400" w:type="dxa"/>
            <w:vAlign w:val="bottom"/>
          </w:tcPr>
          <w:p>
            <w:pPr>
              <w:ind w:left="20"/>
              <w:spacing w:after="0"/>
              <w:rPr>
                <w:sz w:val="20"/>
                <w:szCs w:val="20"/>
                <w:color w:val="auto"/>
              </w:rPr>
            </w:pPr>
            <w:r>
              <w:rPr>
                <w:rFonts w:ascii="Arial" w:cs="Arial" w:eastAsia="Arial" w:hAnsi="Arial"/>
                <w:sz w:val="16"/>
                <w:szCs w:val="16"/>
                <w:color w:val="auto"/>
                <w:w w:val="91"/>
              </w:rPr>
              <w:t>Lexington / St Peters</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Church Rd</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400" w:type="dxa"/>
            <w:vAlign w:val="bottom"/>
          </w:tcPr>
          <w:p>
            <w:pPr>
              <w:ind w:left="20"/>
              <w:spacing w:after="0"/>
              <w:rPr>
                <w:sz w:val="20"/>
                <w:szCs w:val="20"/>
                <w:color w:val="auto"/>
              </w:rPr>
            </w:pPr>
            <w:r>
              <w:rPr>
                <w:rFonts w:ascii="Arial" w:cs="Arial" w:eastAsia="Arial" w:hAnsi="Arial"/>
                <w:sz w:val="16"/>
                <w:szCs w:val="16"/>
                <w:color w:val="auto"/>
              </w:rPr>
              <w:t>Mt Pleasant /</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Bowman Rd</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400" w:type="dxa"/>
            <w:vAlign w:val="bottom"/>
          </w:tcPr>
          <w:p>
            <w:pPr>
              <w:ind w:left="20"/>
              <w:spacing w:after="0"/>
              <w:rPr>
                <w:sz w:val="20"/>
                <w:szCs w:val="20"/>
                <w:color w:val="auto"/>
              </w:rPr>
            </w:pPr>
            <w:r>
              <w:rPr>
                <w:rFonts w:ascii="Arial" w:cs="Arial" w:eastAsia="Arial" w:hAnsi="Arial"/>
                <w:sz w:val="16"/>
                <w:szCs w:val="16"/>
                <w:color w:val="auto"/>
              </w:rPr>
              <w:t>Mt Pleasant / Hwy</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17 N</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400" w:type="dxa"/>
            <w:vAlign w:val="bottom"/>
          </w:tcPr>
          <w:p>
            <w:pPr>
              <w:ind w:left="20"/>
              <w:spacing w:after="0"/>
              <w:rPr>
                <w:sz w:val="20"/>
                <w:szCs w:val="20"/>
                <w:color w:val="auto"/>
              </w:rPr>
            </w:pPr>
            <w:r>
              <w:rPr>
                <w:rFonts w:ascii="Arial" w:cs="Arial" w:eastAsia="Arial" w:hAnsi="Arial"/>
                <w:sz w:val="16"/>
                <w:szCs w:val="16"/>
                <w:color w:val="auto"/>
              </w:rPr>
              <w:t>Mt Pleasant /</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Stockade Ln</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400" w:type="dxa"/>
            <w:vAlign w:val="bottom"/>
          </w:tcPr>
          <w:p>
            <w:pPr>
              <w:ind w:left="20"/>
              <w:spacing w:after="0"/>
              <w:rPr>
                <w:sz w:val="20"/>
                <w:szCs w:val="20"/>
                <w:color w:val="auto"/>
              </w:rPr>
            </w:pPr>
            <w:r>
              <w:rPr>
                <w:rFonts w:ascii="Arial" w:cs="Arial" w:eastAsia="Arial" w:hAnsi="Arial"/>
                <w:sz w:val="16"/>
                <w:szCs w:val="16"/>
                <w:color w:val="auto"/>
              </w:rPr>
              <w:t>Myrtle Beach</w:t>
            </w: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3/30/2015</w:t>
            </w:r>
          </w:p>
        </w:tc>
        <w:tc>
          <w:tcPr>
            <w:tcW w:w="1400" w:type="dxa"/>
            <w:vAlign w:val="bottom"/>
          </w:tcPr>
          <w:p>
            <w:pPr>
              <w:ind w:left="20"/>
              <w:spacing w:after="0"/>
              <w:rPr>
                <w:sz w:val="20"/>
                <w:szCs w:val="20"/>
                <w:color w:val="auto"/>
              </w:rPr>
            </w:pPr>
            <w:r>
              <w:rPr>
                <w:rFonts w:ascii="Arial" w:cs="Arial" w:eastAsia="Arial" w:hAnsi="Arial"/>
                <w:sz w:val="16"/>
                <w:szCs w:val="16"/>
                <w:color w:val="auto"/>
              </w:rPr>
              <w:t>North Charleston /</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Dorchester Road</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400" w:type="dxa"/>
            <w:vAlign w:val="bottom"/>
          </w:tcPr>
          <w:p>
            <w:pPr>
              <w:ind w:left="20"/>
              <w:spacing w:after="0"/>
              <w:rPr>
                <w:sz w:val="20"/>
                <w:szCs w:val="20"/>
                <w:color w:val="auto"/>
              </w:rPr>
            </w:pPr>
            <w:r>
              <w:rPr>
                <w:rFonts w:ascii="Arial" w:cs="Arial" w:eastAsia="Arial" w:hAnsi="Arial"/>
                <w:sz w:val="16"/>
                <w:szCs w:val="16"/>
                <w:color w:val="auto"/>
              </w:rPr>
              <w:t>North Charleston /</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Rivers Ave</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8/26/2004</w:t>
            </w:r>
          </w:p>
        </w:tc>
        <w:tc>
          <w:tcPr>
            <w:tcW w:w="1400" w:type="dxa"/>
            <w:vAlign w:val="bottom"/>
          </w:tcPr>
          <w:p>
            <w:pPr>
              <w:ind w:left="20"/>
              <w:spacing w:after="0"/>
              <w:rPr>
                <w:sz w:val="20"/>
                <w:szCs w:val="20"/>
                <w:color w:val="auto"/>
              </w:rPr>
            </w:pPr>
            <w:r>
              <w:rPr>
                <w:rFonts w:ascii="Arial" w:cs="Arial" w:eastAsia="Arial" w:hAnsi="Arial"/>
                <w:sz w:val="16"/>
                <w:szCs w:val="16"/>
                <w:color w:val="auto"/>
              </w:rPr>
              <w:t>Summerville</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12/11/2014</w:t>
            </w:r>
          </w:p>
        </w:tc>
        <w:tc>
          <w:tcPr>
            <w:tcW w:w="1400" w:type="dxa"/>
            <w:vAlign w:val="bottom"/>
          </w:tcPr>
          <w:p>
            <w:pPr>
              <w:ind w:left="20"/>
              <w:spacing w:after="0"/>
              <w:rPr>
                <w:sz w:val="20"/>
                <w:szCs w:val="20"/>
                <w:color w:val="auto"/>
              </w:rPr>
            </w:pPr>
            <w:r>
              <w:rPr>
                <w:rFonts w:ascii="Arial" w:cs="Arial" w:eastAsia="Arial" w:hAnsi="Arial"/>
                <w:sz w:val="16"/>
                <w:szCs w:val="16"/>
                <w:color w:val="auto"/>
              </w:rPr>
              <w:t>Taylors</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9/16/2016</w:t>
            </w:r>
          </w:p>
        </w:tc>
        <w:tc>
          <w:tcPr>
            <w:tcW w:w="1400" w:type="dxa"/>
            <w:vAlign w:val="bottom"/>
          </w:tcPr>
          <w:p>
            <w:pPr>
              <w:ind w:left="20"/>
              <w:spacing w:after="0"/>
              <w:rPr>
                <w:sz w:val="20"/>
                <w:szCs w:val="20"/>
                <w:color w:val="auto"/>
              </w:rPr>
            </w:pPr>
            <w:r>
              <w:rPr>
                <w:rFonts w:ascii="Arial" w:cs="Arial" w:eastAsia="Arial" w:hAnsi="Arial"/>
                <w:sz w:val="16"/>
                <w:szCs w:val="16"/>
                <w:color w:val="auto"/>
              </w:rPr>
              <w:t>Antioch</w:t>
            </w: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7/2/2012</w:t>
            </w:r>
          </w:p>
        </w:tc>
        <w:tc>
          <w:tcPr>
            <w:tcW w:w="1400" w:type="dxa"/>
            <w:vAlign w:val="bottom"/>
          </w:tcPr>
          <w:p>
            <w:pPr>
              <w:ind w:left="20"/>
              <w:spacing w:after="0"/>
              <w:rPr>
                <w:sz w:val="20"/>
                <w:szCs w:val="20"/>
                <w:color w:val="auto"/>
              </w:rPr>
            </w:pPr>
            <w:r>
              <w:rPr>
                <w:rFonts w:ascii="Arial" w:cs="Arial" w:eastAsia="Arial" w:hAnsi="Arial"/>
                <w:sz w:val="16"/>
                <w:szCs w:val="16"/>
                <w:color w:val="auto"/>
              </w:rPr>
              <w:t>Bartlett</w:t>
            </w: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4/15/2011</w:t>
            </w:r>
          </w:p>
        </w:tc>
        <w:tc>
          <w:tcPr>
            <w:tcW w:w="1400" w:type="dxa"/>
            <w:vAlign w:val="bottom"/>
          </w:tcPr>
          <w:p>
            <w:pPr>
              <w:ind w:left="20"/>
              <w:spacing w:after="0"/>
              <w:rPr>
                <w:sz w:val="20"/>
                <w:szCs w:val="20"/>
                <w:color w:val="auto"/>
              </w:rPr>
            </w:pPr>
            <w:r>
              <w:rPr>
                <w:rFonts w:ascii="Arial" w:cs="Arial" w:eastAsia="Arial" w:hAnsi="Arial"/>
                <w:sz w:val="16"/>
                <w:szCs w:val="16"/>
                <w:color w:val="auto"/>
              </w:rPr>
              <w:t>Cordova / Houston</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Levee Rd</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tcPr>
          <w:p>
            <w:pPr>
              <w:spacing w:after="0"/>
              <w:rPr>
                <w:sz w:val="21"/>
                <w:szCs w:val="21"/>
                <w:color w:val="auto"/>
              </w:rPr>
            </w:pPr>
          </w:p>
        </w:tc>
        <w:tc>
          <w:tcPr>
            <w:tcW w:w="1400" w:type="dxa"/>
            <w:vAlign w:val="bottom"/>
          </w:tcPr>
          <w:p>
            <w:pPr>
              <w:ind w:left="20"/>
              <w:spacing w:after="0"/>
              <w:rPr>
                <w:sz w:val="20"/>
                <w:szCs w:val="20"/>
                <w:color w:val="auto"/>
              </w:rPr>
            </w:pPr>
            <w:r>
              <w:rPr>
                <w:rFonts w:ascii="Arial" w:cs="Arial" w:eastAsia="Arial" w:hAnsi="Arial"/>
                <w:sz w:val="16"/>
                <w:szCs w:val="16"/>
                <w:color w:val="auto"/>
              </w:rPr>
              <w:t>Cordova / N</w:t>
            </w:r>
          </w:p>
        </w:tc>
        <w:tc>
          <w:tcPr>
            <w:tcW w:w="0" w:type="dxa"/>
            <w:vAlign w:val="bottom"/>
          </w:tcPr>
          <w:p>
            <w:pPr>
              <w:spacing w:after="0"/>
              <w:rPr>
                <w:sz w:val="1"/>
                <w:szCs w:val="1"/>
                <w:color w:val="auto"/>
              </w:rPr>
            </w:pPr>
          </w:p>
        </w:tc>
      </w:tr>
      <w:tr>
        <w:trPr>
          <w:trHeight w:val="202"/>
        </w:trPr>
        <w:tc>
          <w:tcPr>
            <w:tcW w:w="960" w:type="dxa"/>
            <w:vAlign w:val="bottom"/>
          </w:tcPr>
          <w:p>
            <w:pPr>
              <w:jc w:val="center"/>
              <w:spacing w:after="0"/>
              <w:rPr>
                <w:sz w:val="20"/>
                <w:szCs w:val="20"/>
                <w:color w:val="auto"/>
              </w:rPr>
            </w:pPr>
            <w:r>
              <w:rPr>
                <w:rFonts w:ascii="Arial" w:cs="Arial" w:eastAsia="Arial" w:hAnsi="Arial"/>
                <w:sz w:val="16"/>
                <w:szCs w:val="16"/>
                <w:color w:val="auto"/>
                <w:w w:val="89"/>
              </w:rPr>
              <w:t>7/1/2005</w:t>
            </w:r>
          </w:p>
        </w:tc>
        <w:tc>
          <w:tcPr>
            <w:tcW w:w="1400" w:type="dxa"/>
            <w:vAlign w:val="bottom"/>
          </w:tcPr>
          <w:p>
            <w:pPr>
              <w:ind w:left="20"/>
              <w:spacing w:after="0"/>
              <w:rPr>
                <w:sz w:val="20"/>
                <w:szCs w:val="20"/>
                <w:color w:val="auto"/>
              </w:rPr>
            </w:pPr>
            <w:r>
              <w:rPr>
                <w:rFonts w:ascii="Arial" w:cs="Arial" w:eastAsia="Arial" w:hAnsi="Arial"/>
                <w:sz w:val="16"/>
                <w:szCs w:val="16"/>
                <w:color w:val="auto"/>
              </w:rPr>
              <w:t>Germantown Pkwy</w:t>
            </w:r>
          </w:p>
        </w:tc>
        <w:tc>
          <w:tcPr>
            <w:tcW w:w="0" w:type="dxa"/>
            <w:vAlign w:val="bottom"/>
          </w:tcPr>
          <w:p>
            <w:pPr>
              <w:spacing w:after="0"/>
              <w:rPr>
                <w:sz w:val="1"/>
                <w:szCs w:val="1"/>
                <w:color w:val="auto"/>
              </w:rPr>
            </w:pPr>
          </w:p>
        </w:tc>
      </w:tr>
      <w:tr>
        <w:trPr>
          <w:trHeight w:val="206"/>
        </w:trPr>
        <w:tc>
          <w:tcPr>
            <w:tcW w:w="960" w:type="dxa"/>
            <w:vAlign w:val="bottom"/>
          </w:tcPr>
          <w:p>
            <w:pPr>
              <w:spacing w:after="0"/>
              <w:rPr>
                <w:sz w:val="17"/>
                <w:szCs w:val="17"/>
                <w:color w:val="auto"/>
              </w:rPr>
            </w:pPr>
          </w:p>
        </w:tc>
        <w:tc>
          <w:tcPr>
            <w:tcW w:w="1400" w:type="dxa"/>
            <w:vAlign w:val="bottom"/>
          </w:tcPr>
          <w:p>
            <w:pPr>
              <w:ind w:lef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2"/>
        </w:trPr>
        <w:tc>
          <w:tcPr>
            <w:tcW w:w="960" w:type="dxa"/>
            <w:vAlign w:val="bottom"/>
          </w:tcPr>
          <w:p>
            <w:pPr>
              <w:spacing w:after="0"/>
              <w:rPr>
                <w:sz w:val="21"/>
                <w:szCs w:val="21"/>
                <w:color w:val="auto"/>
              </w:rPr>
            </w:pPr>
          </w:p>
        </w:tc>
        <w:tc>
          <w:tcPr>
            <w:tcW w:w="1400" w:type="dxa"/>
            <w:vAlign w:val="bottom"/>
          </w:tcPr>
          <w:p>
            <w:pPr>
              <w:ind w:left="20"/>
              <w:spacing w:after="0"/>
              <w:rPr>
                <w:sz w:val="20"/>
                <w:szCs w:val="20"/>
                <w:color w:val="auto"/>
              </w:rPr>
            </w:pPr>
            <w:r>
              <w:rPr>
                <w:rFonts w:ascii="Arial" w:cs="Arial" w:eastAsia="Arial" w:hAnsi="Arial"/>
                <w:sz w:val="16"/>
                <w:szCs w:val="16"/>
                <w:color w:val="auto"/>
              </w:rPr>
              <w:t>Cordova / N</w:t>
            </w:r>
          </w:p>
        </w:tc>
        <w:tc>
          <w:tcPr>
            <w:tcW w:w="0" w:type="dxa"/>
            <w:vAlign w:val="bottom"/>
          </w:tcPr>
          <w:p>
            <w:pPr>
              <w:spacing w:after="0"/>
              <w:rPr>
                <w:sz w:val="1"/>
                <w:szCs w:val="1"/>
                <w:color w:val="auto"/>
              </w:rPr>
            </w:pPr>
          </w:p>
        </w:tc>
      </w:tr>
      <w:tr>
        <w:trPr>
          <w:trHeight w:val="202"/>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11/1/2013</w:t>
            </w:r>
          </w:p>
        </w:tc>
        <w:tc>
          <w:tcPr>
            <w:tcW w:w="1400" w:type="dxa"/>
            <w:vAlign w:val="bottom"/>
          </w:tcPr>
          <w:p>
            <w:pPr>
              <w:ind w:left="20"/>
              <w:spacing w:after="0"/>
              <w:rPr>
                <w:sz w:val="20"/>
                <w:szCs w:val="20"/>
                <w:color w:val="auto"/>
              </w:rPr>
            </w:pPr>
            <w:r>
              <w:rPr>
                <w:rFonts w:ascii="Arial" w:cs="Arial" w:eastAsia="Arial" w:hAnsi="Arial"/>
                <w:sz w:val="16"/>
                <w:szCs w:val="16"/>
                <w:color w:val="auto"/>
              </w:rPr>
              <w:t>Germantown Pkwy</w:t>
            </w:r>
          </w:p>
        </w:tc>
        <w:tc>
          <w:tcPr>
            <w:tcW w:w="0" w:type="dxa"/>
            <w:vAlign w:val="bottom"/>
          </w:tcPr>
          <w:p>
            <w:pPr>
              <w:spacing w:after="0"/>
              <w:rPr>
                <w:sz w:val="1"/>
                <w:szCs w:val="1"/>
                <w:color w:val="auto"/>
              </w:rPr>
            </w:pPr>
          </w:p>
        </w:tc>
      </w:tr>
      <w:tr>
        <w:trPr>
          <w:trHeight w:val="206"/>
        </w:trPr>
        <w:tc>
          <w:tcPr>
            <w:tcW w:w="960" w:type="dxa"/>
            <w:vAlign w:val="bottom"/>
          </w:tcPr>
          <w:p>
            <w:pPr>
              <w:spacing w:after="0"/>
              <w:rPr>
                <w:sz w:val="17"/>
                <w:szCs w:val="17"/>
                <w:color w:val="auto"/>
              </w:rPr>
            </w:pPr>
          </w:p>
        </w:tc>
        <w:tc>
          <w:tcPr>
            <w:tcW w:w="1400" w:type="dxa"/>
            <w:vAlign w:val="bottom"/>
          </w:tcPr>
          <w:p>
            <w:pPr>
              <w:ind w:lef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1/5/2007</w:t>
            </w:r>
          </w:p>
        </w:tc>
        <w:tc>
          <w:tcPr>
            <w:tcW w:w="1400" w:type="dxa"/>
            <w:vAlign w:val="bottom"/>
          </w:tcPr>
          <w:p>
            <w:pPr>
              <w:ind w:left="20"/>
              <w:spacing w:after="0"/>
              <w:rPr>
                <w:sz w:val="20"/>
                <w:szCs w:val="20"/>
                <w:color w:val="auto"/>
              </w:rPr>
            </w:pPr>
            <w:r>
              <w:rPr>
                <w:rFonts w:ascii="Arial" w:cs="Arial" w:eastAsia="Arial" w:hAnsi="Arial"/>
                <w:sz w:val="16"/>
                <w:szCs w:val="16"/>
                <w:color w:val="auto"/>
              </w:rPr>
              <w:t>Cordova / Patriot</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Cove</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11/30/2012</w:t>
            </w:r>
          </w:p>
        </w:tc>
        <w:tc>
          <w:tcPr>
            <w:tcW w:w="1400" w:type="dxa"/>
            <w:vAlign w:val="bottom"/>
          </w:tcPr>
          <w:p>
            <w:pPr>
              <w:ind w:left="20"/>
              <w:spacing w:after="0"/>
              <w:rPr>
                <w:sz w:val="20"/>
                <w:szCs w:val="20"/>
                <w:color w:val="auto"/>
              </w:rPr>
            </w:pPr>
            <w:r>
              <w:rPr>
                <w:rFonts w:ascii="Arial" w:cs="Arial" w:eastAsia="Arial" w:hAnsi="Arial"/>
                <w:sz w:val="16"/>
                <w:szCs w:val="16"/>
                <w:color w:val="auto"/>
              </w:rPr>
              <w:t>Franklin</w:t>
            </w: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400" w:type="dxa"/>
            <w:vAlign w:val="bottom"/>
          </w:tcPr>
          <w:p>
            <w:pPr>
              <w:ind w:left="20"/>
              <w:spacing w:after="0"/>
              <w:rPr>
                <w:sz w:val="20"/>
                <w:szCs w:val="20"/>
                <w:color w:val="auto"/>
              </w:rPr>
            </w:pPr>
            <w:r>
              <w:rPr>
                <w:rFonts w:ascii="Arial" w:cs="Arial" w:eastAsia="Arial" w:hAnsi="Arial"/>
                <w:sz w:val="16"/>
                <w:szCs w:val="16"/>
                <w:color w:val="auto"/>
              </w:rPr>
              <w:t>Knoxville /</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Ebenezer Rd</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400" w:type="dxa"/>
            <w:vAlign w:val="bottom"/>
          </w:tcPr>
          <w:p>
            <w:pPr>
              <w:ind w:left="20"/>
              <w:spacing w:after="0"/>
              <w:rPr>
                <w:sz w:val="20"/>
                <w:szCs w:val="20"/>
                <w:color w:val="auto"/>
              </w:rPr>
            </w:pPr>
            <w:r>
              <w:rPr>
                <w:rFonts w:ascii="Arial" w:cs="Arial" w:eastAsia="Arial" w:hAnsi="Arial"/>
                <w:sz w:val="16"/>
                <w:szCs w:val="16"/>
                <w:color w:val="auto"/>
              </w:rPr>
              <w:t>Knoxville / Lovell</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Rd</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400" w:type="dxa"/>
            <w:vAlign w:val="bottom"/>
          </w:tcPr>
          <w:p>
            <w:pPr>
              <w:ind w:left="20"/>
              <w:spacing w:after="0"/>
              <w:rPr>
                <w:sz w:val="20"/>
                <w:szCs w:val="20"/>
                <w:color w:val="auto"/>
              </w:rPr>
            </w:pPr>
            <w:r>
              <w:rPr>
                <w:rFonts w:ascii="Arial" w:cs="Arial" w:eastAsia="Arial" w:hAnsi="Arial"/>
                <w:sz w:val="16"/>
                <w:szCs w:val="16"/>
                <w:color w:val="auto"/>
              </w:rPr>
              <w:t>Lenoir City</w:t>
            </w: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7/2/2012</w:t>
            </w:r>
          </w:p>
        </w:tc>
        <w:tc>
          <w:tcPr>
            <w:tcW w:w="1400" w:type="dxa"/>
            <w:vAlign w:val="bottom"/>
          </w:tcPr>
          <w:p>
            <w:pPr>
              <w:ind w:left="20"/>
              <w:spacing w:after="0"/>
              <w:rPr>
                <w:sz w:val="20"/>
                <w:szCs w:val="20"/>
                <w:color w:val="auto"/>
              </w:rPr>
            </w:pPr>
            <w:r>
              <w:rPr>
                <w:rFonts w:ascii="Arial" w:cs="Arial" w:eastAsia="Arial" w:hAnsi="Arial"/>
                <w:sz w:val="16"/>
                <w:szCs w:val="16"/>
                <w:color w:val="auto"/>
              </w:rPr>
              <w:t>Memphis /</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Covington Way</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2/2/2016</w:t>
            </w:r>
          </w:p>
        </w:tc>
        <w:tc>
          <w:tcPr>
            <w:tcW w:w="1400" w:type="dxa"/>
            <w:vAlign w:val="bottom"/>
          </w:tcPr>
          <w:p>
            <w:pPr>
              <w:ind w:left="20"/>
              <w:spacing w:after="0"/>
              <w:rPr>
                <w:sz w:val="20"/>
                <w:szCs w:val="20"/>
                <w:color w:val="auto"/>
              </w:rPr>
            </w:pPr>
            <w:r>
              <w:rPr>
                <w:rFonts w:ascii="Arial" w:cs="Arial" w:eastAsia="Arial" w:hAnsi="Arial"/>
                <w:sz w:val="16"/>
                <w:szCs w:val="16"/>
                <w:color w:val="auto"/>
                <w:w w:val="96"/>
              </w:rPr>
              <w:t>Memphis / Gateway</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Dr</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400" w:type="dxa"/>
            <w:vAlign w:val="bottom"/>
          </w:tcPr>
          <w:p>
            <w:pPr>
              <w:ind w:left="20"/>
              <w:spacing w:after="0"/>
              <w:rPr>
                <w:sz w:val="20"/>
                <w:szCs w:val="20"/>
                <w:color w:val="auto"/>
              </w:rPr>
            </w:pPr>
            <w:r>
              <w:rPr>
                <w:rFonts w:ascii="Arial" w:cs="Arial" w:eastAsia="Arial" w:hAnsi="Arial"/>
                <w:sz w:val="16"/>
                <w:szCs w:val="16"/>
                <w:color w:val="auto"/>
              </w:rPr>
              <w:t>Memphis /</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Hollywood St</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11/17/2016</w:t>
            </w:r>
          </w:p>
        </w:tc>
        <w:tc>
          <w:tcPr>
            <w:tcW w:w="1400" w:type="dxa"/>
            <w:vAlign w:val="bottom"/>
          </w:tcPr>
          <w:p>
            <w:pPr>
              <w:ind w:left="20"/>
              <w:spacing w:after="0"/>
              <w:rPr>
                <w:sz w:val="20"/>
                <w:szCs w:val="20"/>
                <w:color w:val="auto"/>
              </w:rPr>
            </w:pPr>
            <w:r>
              <w:rPr>
                <w:rFonts w:ascii="Arial" w:cs="Arial" w:eastAsia="Arial" w:hAnsi="Arial"/>
                <w:sz w:val="16"/>
                <w:szCs w:val="16"/>
                <w:color w:val="auto"/>
              </w:rPr>
              <w:t>Memphis / Kirby</w:t>
            </w:r>
          </w:p>
        </w:tc>
        <w:tc>
          <w:tcPr>
            <w:tcW w:w="0" w:type="dxa"/>
            <w:vAlign w:val="bottom"/>
          </w:tcPr>
          <w:p>
            <w:pPr>
              <w:spacing w:after="0"/>
              <w:rPr>
                <w:sz w:val="1"/>
                <w:szCs w:val="1"/>
                <w:color w:val="auto"/>
              </w:rPr>
            </w:pPr>
          </w:p>
        </w:tc>
      </w:tr>
      <w:tr>
        <w:trPr>
          <w:trHeight w:val="206"/>
        </w:trPr>
        <w:tc>
          <w:tcPr>
            <w:tcW w:w="960" w:type="dxa"/>
            <w:vAlign w:val="bottom"/>
          </w:tcPr>
          <w:p>
            <w:pPr>
              <w:spacing w:after="0"/>
              <w:rPr>
                <w:sz w:val="17"/>
                <w:szCs w:val="17"/>
                <w:color w:val="auto"/>
              </w:rPr>
            </w:pPr>
          </w:p>
        </w:tc>
        <w:tc>
          <w:tcPr>
            <w:tcW w:w="1400" w:type="dxa"/>
            <w:vAlign w:val="bottom"/>
          </w:tcPr>
          <w:p>
            <w:pPr>
              <w:ind w:left="20"/>
              <w:spacing w:after="0"/>
              <w:rPr>
                <w:sz w:val="20"/>
                <w:szCs w:val="20"/>
                <w:color w:val="auto"/>
              </w:rPr>
            </w:pPr>
            <w:r>
              <w:rPr>
                <w:rFonts w:ascii="Arial" w:cs="Arial" w:eastAsia="Arial" w:hAnsi="Arial"/>
                <w:sz w:val="16"/>
                <w:szCs w:val="16"/>
                <w:color w:val="auto"/>
              </w:rPr>
              <w:t>Pkwy</w:t>
            </w:r>
          </w:p>
        </w:tc>
        <w:tc>
          <w:tcPr>
            <w:tcW w:w="0" w:type="dxa"/>
            <w:vAlign w:val="bottom"/>
          </w:tcPr>
          <w:p>
            <w:pPr>
              <w:spacing w:after="0"/>
              <w:rPr>
                <w:sz w:val="1"/>
                <w:szCs w:val="1"/>
                <w:color w:val="auto"/>
              </w:rPr>
            </w:pPr>
          </w:p>
        </w:tc>
      </w:tr>
      <w:tr>
        <w:trPr>
          <w:trHeight w:val="20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2/2/2016</w:t>
            </w:r>
          </w:p>
        </w:tc>
        <w:tc>
          <w:tcPr>
            <w:tcW w:w="1400" w:type="dxa"/>
            <w:vAlign w:val="bottom"/>
          </w:tcPr>
          <w:p>
            <w:pPr>
              <w:ind w:left="20"/>
              <w:spacing w:after="0"/>
              <w:rPr>
                <w:sz w:val="20"/>
                <w:szCs w:val="20"/>
                <w:color w:val="auto"/>
              </w:rPr>
            </w:pPr>
            <w:r>
              <w:rPr>
                <w:rFonts w:ascii="Arial" w:cs="Arial" w:eastAsia="Arial" w:hAnsi="Arial"/>
                <w:sz w:val="16"/>
                <w:szCs w:val="16"/>
                <w:color w:val="auto"/>
                <w:w w:val="98"/>
              </w:rPr>
              <w:t>Memphis / Madison</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Ave</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11/30/2012</w:t>
            </w:r>
          </w:p>
        </w:tc>
        <w:tc>
          <w:tcPr>
            <w:tcW w:w="1400" w:type="dxa"/>
            <w:vAlign w:val="bottom"/>
          </w:tcPr>
          <w:p>
            <w:pPr>
              <w:ind w:left="20"/>
              <w:spacing w:after="0"/>
              <w:rPr>
                <w:sz w:val="20"/>
                <w:szCs w:val="20"/>
                <w:color w:val="auto"/>
              </w:rPr>
            </w:pPr>
            <w:r>
              <w:rPr>
                <w:rFonts w:ascii="Arial" w:cs="Arial" w:eastAsia="Arial" w:hAnsi="Arial"/>
                <w:sz w:val="16"/>
                <w:szCs w:val="16"/>
                <w:color w:val="auto"/>
              </w:rPr>
              <w:t>Memphis / Mt</w:t>
            </w:r>
          </w:p>
        </w:tc>
        <w:tc>
          <w:tcPr>
            <w:tcW w:w="0" w:type="dxa"/>
            <w:vAlign w:val="bottom"/>
          </w:tcPr>
          <w:p>
            <w:pPr>
              <w:spacing w:after="0"/>
              <w:rPr>
                <w:sz w:val="1"/>
                <w:szCs w:val="1"/>
                <w:color w:val="auto"/>
              </w:rPr>
            </w:pPr>
          </w:p>
        </w:tc>
      </w:tr>
      <w:tr>
        <w:trPr>
          <w:trHeight w:val="206"/>
        </w:trPr>
        <w:tc>
          <w:tcPr>
            <w:tcW w:w="960" w:type="dxa"/>
            <w:vAlign w:val="bottom"/>
          </w:tcPr>
          <w:p>
            <w:pPr>
              <w:spacing w:after="0"/>
              <w:rPr>
                <w:sz w:val="17"/>
                <w:szCs w:val="17"/>
                <w:color w:val="auto"/>
              </w:rPr>
            </w:pPr>
          </w:p>
        </w:tc>
        <w:tc>
          <w:tcPr>
            <w:tcW w:w="1400" w:type="dxa"/>
            <w:vAlign w:val="bottom"/>
          </w:tcPr>
          <w:p>
            <w:pPr>
              <w:ind w:left="20"/>
              <w:spacing w:after="0"/>
              <w:rPr>
                <w:sz w:val="20"/>
                <w:szCs w:val="20"/>
                <w:color w:val="auto"/>
              </w:rPr>
            </w:pPr>
            <w:r>
              <w:rPr>
                <w:rFonts w:ascii="Arial" w:cs="Arial" w:eastAsia="Arial" w:hAnsi="Arial"/>
                <w:sz w:val="16"/>
                <w:szCs w:val="16"/>
                <w:color w:val="auto"/>
              </w:rPr>
              <w:t>Moriah</w:t>
            </w:r>
          </w:p>
        </w:tc>
        <w:tc>
          <w:tcPr>
            <w:tcW w:w="0" w:type="dxa"/>
            <w:vAlign w:val="bottom"/>
          </w:tcPr>
          <w:p>
            <w:pPr>
              <w:spacing w:after="0"/>
              <w:rPr>
                <w:sz w:val="1"/>
                <w:szCs w:val="1"/>
                <w:color w:val="auto"/>
              </w:rPr>
            </w:pPr>
          </w:p>
        </w:tc>
      </w:tr>
      <w:tr>
        <w:trPr>
          <w:trHeight w:val="20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11/1/2013</w:t>
            </w:r>
          </w:p>
        </w:tc>
        <w:tc>
          <w:tcPr>
            <w:tcW w:w="1400" w:type="dxa"/>
            <w:vAlign w:val="bottom"/>
          </w:tcPr>
          <w:p>
            <w:pPr>
              <w:ind w:left="20"/>
              <w:spacing w:after="0"/>
              <w:rPr>
                <w:sz w:val="20"/>
                <w:szCs w:val="20"/>
                <w:color w:val="auto"/>
              </w:rPr>
            </w:pPr>
            <w:r>
              <w:rPr>
                <w:rFonts w:ascii="Arial" w:cs="Arial" w:eastAsia="Arial" w:hAnsi="Arial"/>
                <w:sz w:val="16"/>
                <w:szCs w:val="16"/>
                <w:color w:val="auto"/>
              </w:rPr>
              <w:t>Memphis / Mt</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Moriah Terrace</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7/2/2012</w:t>
            </w:r>
          </w:p>
        </w:tc>
        <w:tc>
          <w:tcPr>
            <w:tcW w:w="1400" w:type="dxa"/>
            <w:vAlign w:val="bottom"/>
          </w:tcPr>
          <w:p>
            <w:pPr>
              <w:ind w:left="20"/>
              <w:spacing w:after="0"/>
              <w:rPr>
                <w:sz w:val="20"/>
                <w:szCs w:val="20"/>
                <w:color w:val="auto"/>
              </w:rPr>
            </w:pPr>
            <w:r>
              <w:rPr>
                <w:rFonts w:ascii="Arial" w:cs="Arial" w:eastAsia="Arial" w:hAnsi="Arial"/>
                <w:sz w:val="16"/>
                <w:szCs w:val="16"/>
                <w:color w:val="auto"/>
              </w:rPr>
              <w:t>Memphis /</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Raleigh/LaGrange</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11/1/2013</w:t>
            </w:r>
          </w:p>
        </w:tc>
        <w:tc>
          <w:tcPr>
            <w:tcW w:w="1400" w:type="dxa"/>
            <w:vAlign w:val="bottom"/>
          </w:tcPr>
          <w:p>
            <w:pPr>
              <w:ind w:left="20"/>
              <w:spacing w:after="0"/>
              <w:rPr>
                <w:sz w:val="20"/>
                <w:szCs w:val="20"/>
                <w:color w:val="auto"/>
              </w:rPr>
            </w:pPr>
            <w:r>
              <w:rPr>
                <w:rFonts w:ascii="Arial" w:cs="Arial" w:eastAsia="Arial" w:hAnsi="Arial"/>
                <w:sz w:val="16"/>
                <w:szCs w:val="16"/>
                <w:color w:val="auto"/>
              </w:rPr>
              <w:t>Memphis /</w:t>
            </w: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Riverdale Bend</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11/30/2012</w:t>
            </w:r>
          </w:p>
        </w:tc>
        <w:tc>
          <w:tcPr>
            <w:tcW w:w="1400" w:type="dxa"/>
            <w:vAlign w:val="bottom"/>
          </w:tcPr>
          <w:p>
            <w:pPr>
              <w:ind w:left="20"/>
              <w:spacing w:after="0"/>
              <w:rPr>
                <w:sz w:val="20"/>
                <w:szCs w:val="20"/>
                <w:color w:val="auto"/>
              </w:rPr>
            </w:pPr>
            <w:r>
              <w:rPr>
                <w:rFonts w:ascii="Arial" w:cs="Arial" w:eastAsia="Arial" w:hAnsi="Arial"/>
                <w:sz w:val="16"/>
                <w:szCs w:val="16"/>
                <w:color w:val="auto"/>
                <w:w w:val="98"/>
              </w:rPr>
              <w:t>Memphis / Summer</w:t>
            </w:r>
          </w:p>
        </w:tc>
        <w:tc>
          <w:tcPr>
            <w:tcW w:w="0" w:type="dxa"/>
            <w:vAlign w:val="bottom"/>
          </w:tcPr>
          <w:p>
            <w:pPr>
              <w:spacing w:after="0"/>
              <w:rPr>
                <w:sz w:val="1"/>
                <w:szCs w:val="1"/>
                <w:color w:val="auto"/>
              </w:rPr>
            </w:pPr>
          </w:p>
        </w:tc>
      </w:tr>
      <w:tr>
        <w:trPr>
          <w:trHeight w:val="206"/>
        </w:trPr>
        <w:tc>
          <w:tcPr>
            <w:tcW w:w="960" w:type="dxa"/>
            <w:vAlign w:val="bottom"/>
          </w:tcPr>
          <w:p>
            <w:pPr>
              <w:spacing w:after="0"/>
              <w:rPr>
                <w:sz w:val="17"/>
                <w:szCs w:val="17"/>
                <w:color w:val="auto"/>
              </w:rPr>
            </w:pPr>
          </w:p>
        </w:tc>
        <w:tc>
          <w:tcPr>
            <w:tcW w:w="1400" w:type="dxa"/>
            <w:vAlign w:val="bottom"/>
          </w:tcPr>
          <w:p>
            <w:pPr>
              <w:ind w:left="20"/>
              <w:spacing w:after="0"/>
              <w:rPr>
                <w:sz w:val="20"/>
                <w:szCs w:val="20"/>
                <w:color w:val="auto"/>
              </w:rPr>
            </w:pPr>
            <w:r>
              <w:rPr>
                <w:rFonts w:ascii="Arial" w:cs="Arial" w:eastAsia="Arial" w:hAnsi="Arial"/>
                <w:sz w:val="16"/>
                <w:szCs w:val="16"/>
                <w:color w:val="auto"/>
              </w:rPr>
              <w:t>Ave 1</w:t>
            </w:r>
          </w:p>
        </w:tc>
        <w:tc>
          <w:tcPr>
            <w:tcW w:w="0" w:type="dxa"/>
            <w:vAlign w:val="bottom"/>
          </w:tcPr>
          <w:p>
            <w:pPr>
              <w:spacing w:after="0"/>
              <w:rPr>
                <w:sz w:val="1"/>
                <w:szCs w:val="1"/>
                <w:color w:val="auto"/>
              </w:rPr>
            </w:pPr>
          </w:p>
        </w:tc>
      </w:tr>
      <w:tr>
        <w:trPr>
          <w:trHeight w:val="206"/>
        </w:trPr>
        <w:tc>
          <w:tcPr>
            <w:tcW w:w="960" w:type="dxa"/>
            <w:vAlign w:val="bottom"/>
          </w:tcPr>
          <w:p>
            <w:pPr>
              <w:jc w:val="center"/>
              <w:spacing w:after="0"/>
              <w:rPr>
                <w:sz w:val="20"/>
                <w:szCs w:val="20"/>
                <w:color w:val="auto"/>
              </w:rPr>
            </w:pPr>
            <w:r>
              <w:rPr>
                <w:rFonts w:ascii="Arial" w:cs="Arial" w:eastAsia="Arial" w:hAnsi="Arial"/>
                <w:sz w:val="16"/>
                <w:szCs w:val="16"/>
                <w:color w:val="auto"/>
                <w:w w:val="89"/>
              </w:rPr>
              <w:t>9/16/2016</w:t>
            </w:r>
          </w:p>
        </w:tc>
        <w:tc>
          <w:tcPr>
            <w:tcW w:w="1400" w:type="dxa"/>
            <w:vAlign w:val="bottom"/>
          </w:tcPr>
          <w:p>
            <w:pPr>
              <w:ind w:left="20"/>
              <w:spacing w:after="0"/>
              <w:rPr>
                <w:sz w:val="20"/>
                <w:szCs w:val="20"/>
                <w:color w:val="auto"/>
              </w:rPr>
            </w:pPr>
            <w:r>
              <w:rPr>
                <w:rFonts w:ascii="Arial" w:cs="Arial" w:eastAsia="Arial" w:hAnsi="Arial"/>
                <w:sz w:val="16"/>
                <w:szCs w:val="16"/>
                <w:color w:val="auto"/>
                <w:w w:val="98"/>
              </w:rPr>
              <w:t>Memphis / Summer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SC</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w w:val="89"/>
              </w:rPr>
              <w:t>370</w:t>
            </w:r>
          </w:p>
        </w:tc>
        <w:tc>
          <w:tcPr>
            <w:tcW w:w="116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w w:val="89"/>
              </w:rPr>
              <w:t>3,794</w:t>
            </w:r>
          </w:p>
        </w:tc>
        <w:tc>
          <w:tcPr>
            <w:tcW w:w="140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w w:val="89"/>
              </w:rPr>
              <w:t>250</w:t>
            </w:r>
          </w:p>
        </w:tc>
        <w:tc>
          <w:tcPr>
            <w:tcW w:w="134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89"/>
              </w:rPr>
              <w:t>370</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4,044</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4,414</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129</w:t>
            </w:r>
          </w:p>
        </w:tc>
      </w:tr>
      <w:tr>
        <w:trPr>
          <w:trHeight w:val="286"/>
        </w:trPr>
        <w:tc>
          <w:tcPr>
            <w:tcW w:w="5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37"/>
        </w:trPr>
        <w:tc>
          <w:tcPr>
            <w:tcW w:w="540" w:type="dxa"/>
            <w:vAlign w:val="bottom"/>
          </w:tcPr>
          <w:p>
            <w:pPr>
              <w:ind w:left="220"/>
              <w:spacing w:after="0"/>
              <w:rPr>
                <w:sz w:val="20"/>
                <w:szCs w:val="20"/>
                <w:color w:val="auto"/>
              </w:rPr>
            </w:pPr>
            <w:r>
              <w:rPr>
                <w:rFonts w:ascii="Arial" w:cs="Arial" w:eastAsia="Arial" w:hAnsi="Arial"/>
                <w:sz w:val="16"/>
                <w:szCs w:val="16"/>
                <w:color w:val="auto"/>
              </w:rPr>
              <w:t>SC</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1,483</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5,415</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77</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1,483</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5,492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6,975</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254</w:t>
            </w:r>
          </w:p>
        </w:tc>
      </w:tr>
      <w:tr>
        <w:trPr>
          <w:trHeight w:val="459"/>
        </w:trPr>
        <w:tc>
          <w:tcPr>
            <w:tcW w:w="540" w:type="dxa"/>
            <w:vAlign w:val="bottom"/>
          </w:tcPr>
          <w:p>
            <w:pPr>
              <w:ind w:left="220"/>
              <w:spacing w:after="0"/>
              <w:rPr>
                <w:sz w:val="20"/>
                <w:szCs w:val="20"/>
                <w:color w:val="auto"/>
              </w:rPr>
            </w:pPr>
            <w:r>
              <w:rPr>
                <w:rFonts w:ascii="Arial" w:cs="Arial" w:eastAsia="Arial" w:hAnsi="Arial"/>
                <w:sz w:val="16"/>
                <w:szCs w:val="16"/>
                <w:color w:val="auto"/>
              </w:rPr>
              <w:t>SC</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3,482</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1,784</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2,745</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304</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1,784</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3,049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4,833</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352</w:t>
            </w:r>
          </w:p>
        </w:tc>
      </w:tr>
      <w:tr>
        <w:trPr>
          <w:trHeight w:val="459"/>
        </w:trPr>
        <w:tc>
          <w:tcPr>
            <w:tcW w:w="540" w:type="dxa"/>
            <w:vAlign w:val="bottom"/>
          </w:tcPr>
          <w:p>
            <w:pPr>
              <w:ind w:left="220"/>
              <w:spacing w:after="0"/>
              <w:rPr>
                <w:sz w:val="20"/>
                <w:szCs w:val="20"/>
                <w:color w:val="auto"/>
              </w:rPr>
            </w:pPr>
            <w:r>
              <w:rPr>
                <w:rFonts w:ascii="Arial" w:cs="Arial" w:eastAsia="Arial" w:hAnsi="Arial"/>
                <w:sz w:val="16"/>
                <w:szCs w:val="16"/>
                <w:color w:val="auto"/>
              </w:rPr>
              <w:t>SC</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2,692</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838</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3,312</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371</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839</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3,682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4,521</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1,260</w:t>
            </w:r>
          </w:p>
        </w:tc>
      </w:tr>
      <w:tr>
        <w:trPr>
          <w:trHeight w:val="459"/>
        </w:trPr>
        <w:tc>
          <w:tcPr>
            <w:tcW w:w="540" w:type="dxa"/>
            <w:vAlign w:val="bottom"/>
          </w:tcPr>
          <w:p>
            <w:pPr>
              <w:ind w:left="220"/>
              <w:spacing w:after="0"/>
              <w:rPr>
                <w:sz w:val="20"/>
                <w:szCs w:val="20"/>
                <w:color w:val="auto"/>
              </w:rPr>
            </w:pPr>
            <w:r>
              <w:rPr>
                <w:rFonts w:ascii="Arial" w:cs="Arial" w:eastAsia="Arial" w:hAnsi="Arial"/>
                <w:sz w:val="16"/>
                <w:szCs w:val="16"/>
                <w:color w:val="auto"/>
              </w:rPr>
              <w:t>SC</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480</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2,115</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264</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480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2,379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2,859</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82</w:t>
            </w:r>
          </w:p>
        </w:tc>
      </w:tr>
      <w:tr>
        <w:trPr>
          <w:trHeight w:val="364"/>
        </w:trPr>
        <w:tc>
          <w:tcPr>
            <w:tcW w:w="540" w:type="dxa"/>
            <w:vAlign w:val="bottom"/>
          </w:tcPr>
          <w:p>
            <w:pPr>
              <w:ind w:left="220"/>
              <w:spacing w:after="0"/>
              <w:rPr>
                <w:sz w:val="20"/>
                <w:szCs w:val="20"/>
                <w:color w:val="auto"/>
              </w:rPr>
            </w:pPr>
            <w:r>
              <w:rPr>
                <w:rFonts w:ascii="Arial" w:cs="Arial" w:eastAsia="Arial" w:hAnsi="Arial"/>
                <w:sz w:val="16"/>
                <w:szCs w:val="16"/>
                <w:color w:val="auto"/>
              </w:rPr>
              <w:t>SC</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1,683</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4,372</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1,102</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1,683</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5,474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7,157</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1,758</w:t>
            </w:r>
          </w:p>
        </w:tc>
      </w:tr>
      <w:tr>
        <w:trPr>
          <w:trHeight w:val="364"/>
        </w:trPr>
        <w:tc>
          <w:tcPr>
            <w:tcW w:w="540" w:type="dxa"/>
            <w:vAlign w:val="bottom"/>
          </w:tcPr>
          <w:p>
            <w:pPr>
              <w:ind w:left="220"/>
              <w:spacing w:after="0"/>
              <w:rPr>
                <w:sz w:val="20"/>
                <w:szCs w:val="20"/>
                <w:color w:val="auto"/>
              </w:rPr>
            </w:pPr>
            <w:r>
              <w:rPr>
                <w:rFonts w:ascii="Arial" w:cs="Arial" w:eastAsia="Arial" w:hAnsi="Arial"/>
                <w:sz w:val="16"/>
                <w:szCs w:val="16"/>
                <w:color w:val="auto"/>
              </w:rPr>
              <w:t>SC</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620</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8,467</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330</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620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8,797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9,417</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281</w:t>
            </w:r>
          </w:p>
        </w:tc>
      </w:tr>
      <w:tr>
        <w:trPr>
          <w:trHeight w:val="459"/>
        </w:trPr>
        <w:tc>
          <w:tcPr>
            <w:tcW w:w="540" w:type="dxa"/>
            <w:vAlign w:val="bottom"/>
          </w:tcPr>
          <w:p>
            <w:pPr>
              <w:ind w:left="220"/>
              <w:spacing w:after="0"/>
              <w:rPr>
                <w:sz w:val="20"/>
                <w:szCs w:val="20"/>
                <w:color w:val="auto"/>
              </w:rPr>
            </w:pPr>
            <w:r>
              <w:rPr>
                <w:rFonts w:ascii="Arial" w:cs="Arial" w:eastAsia="Arial" w:hAnsi="Arial"/>
                <w:sz w:val="16"/>
                <w:szCs w:val="16"/>
                <w:color w:val="auto"/>
              </w:rPr>
              <w:t>SC</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1,258</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6,912</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108</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1,258</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7,020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8,278</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121</w:t>
            </w:r>
          </w:p>
        </w:tc>
      </w:tr>
      <w:tr>
        <w:trPr>
          <w:trHeight w:val="459"/>
        </w:trPr>
        <w:tc>
          <w:tcPr>
            <w:tcW w:w="540" w:type="dxa"/>
            <w:vAlign w:val="bottom"/>
          </w:tcPr>
          <w:p>
            <w:pPr>
              <w:ind w:left="220"/>
              <w:spacing w:after="0"/>
              <w:rPr>
                <w:sz w:val="20"/>
                <w:szCs w:val="20"/>
                <w:color w:val="auto"/>
              </w:rPr>
            </w:pPr>
            <w:r>
              <w:rPr>
                <w:rFonts w:ascii="Arial" w:cs="Arial" w:eastAsia="Arial" w:hAnsi="Arial"/>
                <w:sz w:val="16"/>
                <w:szCs w:val="16"/>
                <w:color w:val="auto"/>
              </w:rPr>
              <w:t>SC</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780</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5,732</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303</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780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6,035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6,815</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204</w:t>
            </w:r>
          </w:p>
        </w:tc>
      </w:tr>
      <w:tr>
        <w:trPr>
          <w:trHeight w:val="459"/>
        </w:trPr>
        <w:tc>
          <w:tcPr>
            <w:tcW w:w="540" w:type="dxa"/>
            <w:vAlign w:val="bottom"/>
          </w:tcPr>
          <w:p>
            <w:pPr>
              <w:ind w:left="220"/>
              <w:spacing w:after="0"/>
              <w:rPr>
                <w:sz w:val="20"/>
                <w:szCs w:val="20"/>
                <w:color w:val="auto"/>
              </w:rPr>
            </w:pPr>
            <w:r>
              <w:rPr>
                <w:rFonts w:ascii="Arial" w:cs="Arial" w:eastAsia="Arial" w:hAnsi="Arial"/>
                <w:sz w:val="16"/>
                <w:szCs w:val="16"/>
                <w:color w:val="auto"/>
              </w:rPr>
              <w:t>SC</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750</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1,481</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96</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750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1,577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2,327</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51</w:t>
            </w:r>
          </w:p>
        </w:tc>
      </w:tr>
      <w:tr>
        <w:trPr>
          <w:trHeight w:val="459"/>
        </w:trPr>
        <w:tc>
          <w:tcPr>
            <w:tcW w:w="540" w:type="dxa"/>
            <w:vAlign w:val="bottom"/>
          </w:tcPr>
          <w:p>
            <w:pPr>
              <w:ind w:left="220"/>
              <w:spacing w:after="0"/>
              <w:rPr>
                <w:sz w:val="20"/>
                <w:szCs w:val="20"/>
                <w:color w:val="auto"/>
              </w:rPr>
            </w:pPr>
            <w:r>
              <w:rPr>
                <w:rFonts w:ascii="Arial" w:cs="Arial" w:eastAsia="Arial" w:hAnsi="Arial"/>
                <w:sz w:val="16"/>
                <w:szCs w:val="16"/>
                <w:color w:val="auto"/>
              </w:rPr>
              <w:t>SC</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1,740</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3,094</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238</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1,740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3,332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5,072</w:t>
            </w:r>
          </w:p>
        </w:tc>
        <w:tc>
          <w:tcPr>
            <w:tcW w:w="940" w:type="dxa"/>
            <w:vAlign w:val="bottom"/>
          </w:tcPr>
          <w:p>
            <w:pPr>
              <w:jc w:val="center"/>
              <w:spacing w:after="0"/>
              <w:rPr>
                <w:sz w:val="20"/>
                <w:szCs w:val="20"/>
                <w:color w:val="auto"/>
              </w:rPr>
            </w:pPr>
            <w:r>
              <w:rPr>
                <w:rFonts w:ascii="Arial" w:cs="Arial" w:eastAsia="Arial" w:hAnsi="Arial"/>
                <w:sz w:val="16"/>
                <w:szCs w:val="16"/>
                <w:color w:val="auto"/>
                <w:w w:val="82"/>
              </w:rPr>
              <w:t>111</w:t>
            </w:r>
          </w:p>
        </w:tc>
      </w:tr>
      <w:tr>
        <w:trPr>
          <w:trHeight w:val="459"/>
        </w:trPr>
        <w:tc>
          <w:tcPr>
            <w:tcW w:w="540" w:type="dxa"/>
            <w:vAlign w:val="bottom"/>
          </w:tcPr>
          <w:p>
            <w:pPr>
              <w:ind w:left="220"/>
              <w:spacing w:after="0"/>
              <w:rPr>
                <w:sz w:val="20"/>
                <w:szCs w:val="20"/>
                <w:color w:val="auto"/>
              </w:rPr>
            </w:pPr>
            <w:r>
              <w:rPr>
                <w:rFonts w:ascii="Arial" w:cs="Arial" w:eastAsia="Arial" w:hAnsi="Arial"/>
                <w:sz w:val="16"/>
                <w:szCs w:val="16"/>
                <w:color w:val="auto"/>
              </w:rPr>
              <w:t>SC</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4,729</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4,600</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2,342</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287</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4,600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2,629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7,229</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100</w:t>
            </w:r>
          </w:p>
        </w:tc>
      </w:tr>
      <w:tr>
        <w:trPr>
          <w:trHeight w:val="459"/>
        </w:trPr>
        <w:tc>
          <w:tcPr>
            <w:tcW w:w="540" w:type="dxa"/>
            <w:vAlign w:val="bottom"/>
          </w:tcPr>
          <w:p>
            <w:pPr>
              <w:ind w:left="220"/>
              <w:spacing w:after="0"/>
              <w:rPr>
                <w:sz w:val="20"/>
                <w:szCs w:val="20"/>
                <w:color w:val="auto"/>
              </w:rPr>
            </w:pPr>
            <w:r>
              <w:rPr>
                <w:rFonts w:ascii="Arial" w:cs="Arial" w:eastAsia="Arial" w:hAnsi="Arial"/>
                <w:sz w:val="16"/>
                <w:szCs w:val="16"/>
                <w:color w:val="auto"/>
              </w:rPr>
              <w:t>SC</w:t>
            </w:r>
          </w:p>
        </w:tc>
        <w:tc>
          <w:tcPr>
            <w:tcW w:w="740" w:type="dxa"/>
            <w:vAlign w:val="bottom"/>
          </w:tcPr>
          <w:p>
            <w:pPr>
              <w:jc w:val="center"/>
              <w:spacing w:after="0"/>
              <w:rPr>
                <w:sz w:val="20"/>
                <w:szCs w:val="20"/>
                <w:color w:val="auto"/>
              </w:rPr>
            </w:pPr>
            <w:r>
              <w:rPr>
                <w:rFonts w:ascii="Arial" w:cs="Arial" w:eastAsia="Arial" w:hAnsi="Arial"/>
                <w:sz w:val="16"/>
                <w:szCs w:val="16"/>
                <w:color w:val="auto"/>
                <w:w w:val="93"/>
              </w:rPr>
              <w:t>14,472</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11,680</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19,626</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488</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11,680</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20,114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31,794</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646</w:t>
            </w:r>
          </w:p>
        </w:tc>
      </w:tr>
      <w:tr>
        <w:trPr>
          <w:trHeight w:val="364"/>
        </w:trPr>
        <w:tc>
          <w:tcPr>
            <w:tcW w:w="540" w:type="dxa"/>
            <w:vAlign w:val="bottom"/>
          </w:tcPr>
          <w:p>
            <w:pPr>
              <w:ind w:left="220"/>
              <w:spacing w:after="0"/>
              <w:rPr>
                <w:sz w:val="20"/>
                <w:szCs w:val="20"/>
                <w:color w:val="auto"/>
              </w:rPr>
            </w:pPr>
            <w:r>
              <w:rPr>
                <w:rFonts w:ascii="Arial" w:cs="Arial" w:eastAsia="Arial" w:hAnsi="Arial"/>
                <w:sz w:val="16"/>
                <w:szCs w:val="16"/>
                <w:color w:val="auto"/>
              </w:rPr>
              <w:t>SC</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510</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3,921</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260</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510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4,181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4,691</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137</w:t>
            </w:r>
          </w:p>
        </w:tc>
      </w:tr>
      <w:tr>
        <w:trPr>
          <w:trHeight w:val="364"/>
        </w:trPr>
        <w:tc>
          <w:tcPr>
            <w:tcW w:w="540" w:type="dxa"/>
            <w:vAlign w:val="bottom"/>
          </w:tcPr>
          <w:p>
            <w:pPr>
              <w:ind w:left="220"/>
              <w:spacing w:after="0"/>
              <w:rPr>
                <w:sz w:val="20"/>
                <w:szCs w:val="20"/>
                <w:color w:val="auto"/>
              </w:rPr>
            </w:pPr>
            <w:r>
              <w:rPr>
                <w:rFonts w:ascii="Arial" w:cs="Arial" w:eastAsia="Arial" w:hAnsi="Arial"/>
                <w:sz w:val="16"/>
                <w:szCs w:val="16"/>
                <w:color w:val="auto"/>
              </w:rPr>
              <w:t>SC</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3,213</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280</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5,814</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82</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280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5,896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6,176</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273</w:t>
            </w:r>
          </w:p>
        </w:tc>
      </w:tr>
      <w:tr>
        <w:trPr>
          <w:trHeight w:val="459"/>
        </w:trPr>
        <w:tc>
          <w:tcPr>
            <w:tcW w:w="540" w:type="dxa"/>
            <w:vAlign w:val="bottom"/>
          </w:tcPr>
          <w:p>
            <w:pPr>
              <w:ind w:left="220"/>
              <w:spacing w:after="0"/>
              <w:rPr>
                <w:sz w:val="20"/>
                <w:szCs w:val="20"/>
                <w:color w:val="auto"/>
              </w:rPr>
            </w:pPr>
            <w:r>
              <w:rPr>
                <w:rFonts w:ascii="Arial" w:cs="Arial" w:eastAsia="Arial" w:hAnsi="Arial"/>
                <w:sz w:val="16"/>
                <w:szCs w:val="16"/>
                <w:color w:val="auto"/>
              </w:rPr>
              <w:t>SC</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6,176</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1,250</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8,753</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682</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1,250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9,435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10,685</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307</w:t>
            </w:r>
          </w:p>
        </w:tc>
      </w:tr>
      <w:tr>
        <w:trPr>
          <w:trHeight w:val="364"/>
        </w:trPr>
        <w:tc>
          <w:tcPr>
            <w:tcW w:w="540" w:type="dxa"/>
            <w:vAlign w:val="bottom"/>
          </w:tcPr>
          <w:p>
            <w:pPr>
              <w:ind w:left="220"/>
              <w:spacing w:after="0"/>
              <w:rPr>
                <w:sz w:val="20"/>
                <w:szCs w:val="20"/>
                <w:color w:val="auto"/>
              </w:rPr>
            </w:pPr>
            <w:r>
              <w:rPr>
                <w:rFonts w:ascii="Arial" w:cs="Arial" w:eastAsia="Arial" w:hAnsi="Arial"/>
                <w:sz w:val="16"/>
                <w:szCs w:val="16"/>
                <w:color w:val="auto"/>
              </w:rPr>
              <w:t>SC</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450</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4,454</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267</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450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4,721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5,171</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1,580</w:t>
            </w:r>
          </w:p>
        </w:tc>
      </w:tr>
      <w:tr>
        <w:trPr>
          <w:trHeight w:val="270"/>
        </w:trPr>
        <w:tc>
          <w:tcPr>
            <w:tcW w:w="540" w:type="dxa"/>
            <w:vAlign w:val="bottom"/>
          </w:tcPr>
          <w:p>
            <w:pPr>
              <w:ind w:left="220"/>
              <w:spacing w:after="0"/>
              <w:rPr>
                <w:sz w:val="20"/>
                <w:szCs w:val="20"/>
                <w:color w:val="auto"/>
              </w:rPr>
            </w:pPr>
            <w:r>
              <w:rPr>
                <w:rFonts w:ascii="Arial" w:cs="Arial" w:eastAsia="Arial" w:hAnsi="Arial"/>
                <w:sz w:val="16"/>
                <w:szCs w:val="16"/>
                <w:color w:val="auto"/>
              </w:rPr>
              <w:t>SC</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5,323</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1,433</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6,071</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183</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1,433</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6,254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7,687</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335</w:t>
            </w:r>
          </w:p>
        </w:tc>
      </w:tr>
      <w:tr>
        <w:trPr>
          <w:trHeight w:val="270"/>
        </w:trPr>
        <w:tc>
          <w:tcPr>
            <w:tcW w:w="540" w:type="dxa"/>
            <w:vAlign w:val="bottom"/>
          </w:tcPr>
          <w:p>
            <w:pPr>
              <w:ind w:left="220"/>
              <w:spacing w:after="0"/>
              <w:rPr>
                <w:sz w:val="20"/>
                <w:szCs w:val="20"/>
                <w:color w:val="auto"/>
              </w:rPr>
            </w:pPr>
            <w:r>
              <w:rPr>
                <w:rFonts w:ascii="Arial" w:cs="Arial" w:eastAsia="Arial" w:hAnsi="Arial"/>
                <w:sz w:val="16"/>
                <w:szCs w:val="16"/>
                <w:color w:val="auto"/>
              </w:rPr>
              <w:t>TN</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2,056</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3,921</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17</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2,056</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3,938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5,994</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35</w:t>
            </w:r>
          </w:p>
        </w:tc>
      </w:tr>
      <w:tr>
        <w:trPr>
          <w:trHeight w:val="270"/>
        </w:trPr>
        <w:tc>
          <w:tcPr>
            <w:tcW w:w="540" w:type="dxa"/>
            <w:vAlign w:val="bottom"/>
          </w:tcPr>
          <w:p>
            <w:pPr>
              <w:ind w:left="220"/>
              <w:spacing w:after="0"/>
              <w:rPr>
                <w:sz w:val="20"/>
                <w:szCs w:val="20"/>
                <w:color w:val="auto"/>
              </w:rPr>
            </w:pPr>
            <w:r>
              <w:rPr>
                <w:rFonts w:ascii="Arial" w:cs="Arial" w:eastAsia="Arial" w:hAnsi="Arial"/>
                <w:sz w:val="16"/>
                <w:szCs w:val="16"/>
                <w:color w:val="auto"/>
              </w:rPr>
              <w:t>TN</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632</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3,798</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147</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632</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3,945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4,577</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470</w:t>
            </w:r>
          </w:p>
        </w:tc>
      </w:tr>
      <w:tr>
        <w:trPr>
          <w:trHeight w:val="364"/>
        </w:trPr>
        <w:tc>
          <w:tcPr>
            <w:tcW w:w="540" w:type="dxa"/>
            <w:vAlign w:val="bottom"/>
          </w:tcPr>
          <w:p>
            <w:pPr>
              <w:ind w:left="220"/>
              <w:spacing w:after="0"/>
              <w:rPr>
                <w:sz w:val="20"/>
                <w:szCs w:val="20"/>
                <w:color w:val="auto"/>
              </w:rPr>
            </w:pPr>
            <w:r>
              <w:rPr>
                <w:rFonts w:ascii="Arial" w:cs="Arial" w:eastAsia="Arial" w:hAnsi="Arial"/>
                <w:sz w:val="16"/>
                <w:szCs w:val="16"/>
                <w:color w:val="auto"/>
              </w:rPr>
              <w:t>TN</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1,977</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652</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1,791</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131</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652</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1,922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2,574</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331</w:t>
            </w:r>
          </w:p>
        </w:tc>
      </w:tr>
      <w:tr>
        <w:trPr>
          <w:trHeight w:val="567"/>
        </w:trPr>
        <w:tc>
          <w:tcPr>
            <w:tcW w:w="540" w:type="dxa"/>
            <w:vAlign w:val="bottom"/>
          </w:tcPr>
          <w:p>
            <w:pPr>
              <w:ind w:left="220"/>
              <w:spacing w:after="0"/>
              <w:rPr>
                <w:sz w:val="20"/>
                <w:szCs w:val="20"/>
                <w:color w:val="auto"/>
              </w:rPr>
            </w:pPr>
            <w:r>
              <w:rPr>
                <w:rFonts w:ascii="Arial" w:cs="Arial" w:eastAsia="Arial" w:hAnsi="Arial"/>
                <w:sz w:val="16"/>
                <w:szCs w:val="16"/>
                <w:color w:val="auto"/>
              </w:rPr>
              <w:t>TN</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3,306</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852</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2,720</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521</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852</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3,241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4,093</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1,084</w:t>
            </w:r>
          </w:p>
        </w:tc>
      </w:tr>
      <w:tr>
        <w:trPr>
          <w:trHeight w:val="661"/>
        </w:trPr>
        <w:tc>
          <w:tcPr>
            <w:tcW w:w="540" w:type="dxa"/>
            <w:vAlign w:val="bottom"/>
          </w:tcPr>
          <w:p>
            <w:pPr>
              <w:ind w:left="220"/>
              <w:spacing w:after="0"/>
              <w:rPr>
                <w:sz w:val="20"/>
                <w:szCs w:val="20"/>
                <w:color w:val="auto"/>
              </w:rPr>
            </w:pPr>
            <w:r>
              <w:rPr>
                <w:rFonts w:ascii="Arial" w:cs="Arial" w:eastAsia="Arial" w:hAnsi="Arial"/>
                <w:sz w:val="16"/>
                <w:szCs w:val="16"/>
                <w:color w:val="auto"/>
              </w:rPr>
              <w:t>TN</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6,794</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8,187</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4,628</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227</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8,187</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4,855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13,042</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1,223</w:t>
            </w:r>
          </w:p>
        </w:tc>
      </w:tr>
      <w:tr>
        <w:trPr>
          <w:trHeight w:val="553"/>
        </w:trPr>
        <w:tc>
          <w:tcPr>
            <w:tcW w:w="540" w:type="dxa"/>
            <w:vAlign w:val="bottom"/>
          </w:tcPr>
          <w:p>
            <w:pPr>
              <w:ind w:left="220"/>
              <w:spacing w:after="0"/>
              <w:rPr>
                <w:sz w:val="20"/>
                <w:szCs w:val="20"/>
                <w:color w:val="auto"/>
              </w:rPr>
            </w:pPr>
            <w:r>
              <w:rPr>
                <w:rFonts w:ascii="Arial" w:cs="Arial" w:eastAsia="Arial" w:hAnsi="Arial"/>
                <w:sz w:val="16"/>
                <w:szCs w:val="16"/>
                <w:color w:val="auto"/>
              </w:rPr>
              <w:t>TN</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894</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2,680</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235</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894</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2,915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3,809</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797</w:t>
            </w:r>
          </w:p>
        </w:tc>
      </w:tr>
      <w:tr>
        <w:trPr>
          <w:trHeight w:val="364"/>
        </w:trPr>
        <w:tc>
          <w:tcPr>
            <w:tcW w:w="540" w:type="dxa"/>
            <w:vAlign w:val="bottom"/>
          </w:tcPr>
          <w:p>
            <w:pPr>
              <w:ind w:left="220"/>
              <w:spacing w:after="0"/>
              <w:rPr>
                <w:sz w:val="20"/>
                <w:szCs w:val="20"/>
                <w:color w:val="auto"/>
              </w:rPr>
            </w:pPr>
            <w:r>
              <w:rPr>
                <w:rFonts w:ascii="Arial" w:cs="Arial" w:eastAsia="Arial" w:hAnsi="Arial"/>
                <w:sz w:val="16"/>
                <w:szCs w:val="16"/>
                <w:color w:val="auto"/>
              </w:rPr>
              <w:t>TN</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3,357</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8,984</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278</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3,357</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9,262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12,619</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1,039</w:t>
            </w:r>
          </w:p>
        </w:tc>
      </w:tr>
      <w:tr>
        <w:trPr>
          <w:trHeight w:val="364"/>
        </w:trPr>
        <w:tc>
          <w:tcPr>
            <w:tcW w:w="540" w:type="dxa"/>
            <w:vAlign w:val="bottom"/>
          </w:tcPr>
          <w:p>
            <w:pPr>
              <w:ind w:left="220"/>
              <w:spacing w:after="0"/>
              <w:rPr>
                <w:sz w:val="20"/>
                <w:szCs w:val="20"/>
                <w:color w:val="auto"/>
              </w:rPr>
            </w:pPr>
            <w:r>
              <w:rPr>
                <w:rFonts w:ascii="Arial" w:cs="Arial" w:eastAsia="Arial" w:hAnsi="Arial"/>
                <w:sz w:val="16"/>
                <w:szCs w:val="16"/>
                <w:color w:val="auto"/>
              </w:rPr>
              <w:t>TN</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7,392</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470</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13,299</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211</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470</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13,510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13,980</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436</w:t>
            </w:r>
          </w:p>
        </w:tc>
      </w:tr>
      <w:tr>
        <w:trPr>
          <w:trHeight w:val="459"/>
        </w:trPr>
        <w:tc>
          <w:tcPr>
            <w:tcW w:w="540" w:type="dxa"/>
            <w:vAlign w:val="bottom"/>
          </w:tcPr>
          <w:p>
            <w:pPr>
              <w:ind w:left="220"/>
              <w:spacing w:after="0"/>
              <w:rPr>
                <w:sz w:val="20"/>
                <w:szCs w:val="20"/>
                <w:color w:val="auto"/>
              </w:rPr>
            </w:pPr>
            <w:r>
              <w:rPr>
                <w:rFonts w:ascii="Arial" w:cs="Arial" w:eastAsia="Arial" w:hAnsi="Arial"/>
                <w:sz w:val="16"/>
                <w:szCs w:val="16"/>
                <w:color w:val="auto"/>
              </w:rPr>
              <w:t>TN</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5,202</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1,360</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8,475</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209</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1,360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8,684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10,044</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279</w:t>
            </w:r>
          </w:p>
        </w:tc>
      </w:tr>
      <w:tr>
        <w:trPr>
          <w:trHeight w:val="364"/>
        </w:trPr>
        <w:tc>
          <w:tcPr>
            <w:tcW w:w="540" w:type="dxa"/>
            <w:vAlign w:val="bottom"/>
          </w:tcPr>
          <w:p>
            <w:pPr>
              <w:ind w:left="220"/>
              <w:spacing w:after="0"/>
              <w:rPr>
                <w:sz w:val="20"/>
                <w:szCs w:val="20"/>
                <w:color w:val="auto"/>
              </w:rPr>
            </w:pPr>
            <w:r>
              <w:rPr>
                <w:rFonts w:ascii="Arial" w:cs="Arial" w:eastAsia="Arial" w:hAnsi="Arial"/>
                <w:sz w:val="16"/>
                <w:szCs w:val="16"/>
                <w:color w:val="auto"/>
              </w:rPr>
              <w:t>TN</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5,550</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850</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10,738</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453</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850</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11,191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12,041</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363</w:t>
            </w:r>
          </w:p>
        </w:tc>
      </w:tr>
      <w:tr>
        <w:trPr>
          <w:trHeight w:val="364"/>
        </w:trPr>
        <w:tc>
          <w:tcPr>
            <w:tcW w:w="540" w:type="dxa"/>
            <w:vAlign w:val="bottom"/>
          </w:tcPr>
          <w:p>
            <w:pPr>
              <w:ind w:left="220"/>
              <w:spacing w:after="0"/>
              <w:rPr>
                <w:sz w:val="20"/>
                <w:szCs w:val="20"/>
                <w:color w:val="auto"/>
              </w:rPr>
            </w:pPr>
            <w:r>
              <w:rPr>
                <w:rFonts w:ascii="Arial" w:cs="Arial" w:eastAsia="Arial" w:hAnsi="Arial"/>
                <w:sz w:val="16"/>
                <w:szCs w:val="16"/>
                <w:color w:val="auto"/>
              </w:rPr>
              <w:t>TN</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274</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2,623</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88</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274</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2,711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2,985</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323</w:t>
            </w:r>
          </w:p>
        </w:tc>
      </w:tr>
      <w:tr>
        <w:trPr>
          <w:trHeight w:val="459"/>
        </w:trPr>
        <w:tc>
          <w:tcPr>
            <w:tcW w:w="540" w:type="dxa"/>
            <w:vAlign w:val="bottom"/>
          </w:tcPr>
          <w:p>
            <w:pPr>
              <w:ind w:left="220"/>
              <w:spacing w:after="0"/>
              <w:rPr>
                <w:sz w:val="20"/>
                <w:szCs w:val="20"/>
                <w:color w:val="auto"/>
              </w:rPr>
            </w:pPr>
            <w:r>
              <w:rPr>
                <w:rFonts w:ascii="Arial" w:cs="Arial" w:eastAsia="Arial" w:hAnsi="Arial"/>
                <w:sz w:val="16"/>
                <w:szCs w:val="16"/>
                <w:color w:val="auto"/>
              </w:rPr>
              <w:t>TN</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305</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3,345</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40</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305</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3,385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3,690</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82</w:t>
            </w:r>
          </w:p>
        </w:tc>
      </w:tr>
      <w:tr>
        <w:trPr>
          <w:trHeight w:val="459"/>
        </w:trPr>
        <w:tc>
          <w:tcPr>
            <w:tcW w:w="540" w:type="dxa"/>
            <w:vAlign w:val="bottom"/>
          </w:tcPr>
          <w:p>
            <w:pPr>
              <w:ind w:left="220"/>
              <w:spacing w:after="0"/>
              <w:rPr>
                <w:sz w:val="20"/>
                <w:szCs w:val="20"/>
                <w:color w:val="auto"/>
              </w:rPr>
            </w:pPr>
            <w:r>
              <w:rPr>
                <w:rFonts w:ascii="Arial" w:cs="Arial" w:eastAsia="Arial" w:hAnsi="Arial"/>
                <w:sz w:val="16"/>
                <w:szCs w:val="16"/>
                <w:color w:val="auto"/>
              </w:rPr>
              <w:t>TN</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570</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8,893</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315</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570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9,208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9,778</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294</w:t>
            </w:r>
          </w:p>
        </w:tc>
      </w:tr>
      <w:tr>
        <w:trPr>
          <w:trHeight w:val="459"/>
        </w:trPr>
        <w:tc>
          <w:tcPr>
            <w:tcW w:w="540" w:type="dxa"/>
            <w:vAlign w:val="bottom"/>
          </w:tcPr>
          <w:p>
            <w:pPr>
              <w:ind w:left="220"/>
              <w:spacing w:after="0"/>
              <w:rPr>
                <w:sz w:val="20"/>
                <w:szCs w:val="20"/>
                <w:color w:val="auto"/>
              </w:rPr>
            </w:pPr>
            <w:r>
              <w:rPr>
                <w:rFonts w:ascii="Arial" w:cs="Arial" w:eastAsia="Arial" w:hAnsi="Arial"/>
                <w:sz w:val="16"/>
                <w:szCs w:val="16"/>
                <w:color w:val="auto"/>
              </w:rPr>
              <w:t>TN</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907</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2,873</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1</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907</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2,874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3,781</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12</w:t>
            </w:r>
          </w:p>
        </w:tc>
      </w:tr>
      <w:tr>
        <w:trPr>
          <w:trHeight w:val="459"/>
        </w:trPr>
        <w:tc>
          <w:tcPr>
            <w:tcW w:w="540" w:type="dxa"/>
            <w:vAlign w:val="bottom"/>
          </w:tcPr>
          <w:p>
            <w:pPr>
              <w:ind w:left="220"/>
              <w:spacing w:after="0"/>
              <w:rPr>
                <w:sz w:val="20"/>
                <w:szCs w:val="20"/>
                <w:color w:val="auto"/>
              </w:rPr>
            </w:pPr>
            <w:r>
              <w:rPr>
                <w:rFonts w:ascii="Arial" w:cs="Arial" w:eastAsia="Arial" w:hAnsi="Arial"/>
                <w:sz w:val="16"/>
                <w:szCs w:val="16"/>
                <w:color w:val="auto"/>
              </w:rPr>
              <w:t>TN</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193</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2,070</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1</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193</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2,071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2,264</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48</w:t>
            </w:r>
          </w:p>
        </w:tc>
      </w:tr>
      <w:tr>
        <w:trPr>
          <w:trHeight w:val="459"/>
        </w:trPr>
        <w:tc>
          <w:tcPr>
            <w:tcW w:w="540" w:type="dxa"/>
            <w:vAlign w:val="bottom"/>
          </w:tcPr>
          <w:p>
            <w:pPr>
              <w:ind w:left="220"/>
              <w:spacing w:after="0"/>
              <w:rPr>
                <w:sz w:val="20"/>
                <w:szCs w:val="20"/>
                <w:color w:val="auto"/>
              </w:rPr>
            </w:pPr>
            <w:r>
              <w:rPr>
                <w:rFonts w:ascii="Arial" w:cs="Arial" w:eastAsia="Arial" w:hAnsi="Arial"/>
                <w:sz w:val="16"/>
                <w:szCs w:val="16"/>
                <w:color w:val="auto"/>
              </w:rPr>
              <w:t>TN</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2,533</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1,617</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2,875</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478</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1,617</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3,353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4,970</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358</w:t>
            </w:r>
          </w:p>
        </w:tc>
      </w:tr>
      <w:tr>
        <w:trPr>
          <w:trHeight w:val="459"/>
        </w:trPr>
        <w:tc>
          <w:tcPr>
            <w:tcW w:w="540" w:type="dxa"/>
            <w:vAlign w:val="bottom"/>
          </w:tcPr>
          <w:p>
            <w:pPr>
              <w:ind w:left="220"/>
              <w:spacing w:after="0"/>
              <w:rPr>
                <w:sz w:val="20"/>
                <w:szCs w:val="20"/>
                <w:color w:val="auto"/>
              </w:rPr>
            </w:pPr>
            <w:r>
              <w:rPr>
                <w:rFonts w:ascii="Arial" w:cs="Arial" w:eastAsia="Arial" w:hAnsi="Arial"/>
                <w:sz w:val="16"/>
                <w:szCs w:val="16"/>
                <w:color w:val="auto"/>
              </w:rPr>
              <w:t>TN</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7,925</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1,313</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2,928</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296</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1,313</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3,224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4,537</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530</w:t>
            </w:r>
          </w:p>
        </w:tc>
      </w:tr>
      <w:tr>
        <w:trPr>
          <w:trHeight w:val="459"/>
        </w:trPr>
        <w:tc>
          <w:tcPr>
            <w:tcW w:w="540" w:type="dxa"/>
            <w:vAlign w:val="bottom"/>
          </w:tcPr>
          <w:p>
            <w:pPr>
              <w:ind w:left="220"/>
              <w:spacing w:after="0"/>
              <w:rPr>
                <w:sz w:val="20"/>
                <w:szCs w:val="20"/>
                <w:color w:val="auto"/>
              </w:rPr>
            </w:pPr>
            <w:r>
              <w:rPr>
                <w:rFonts w:ascii="Arial" w:cs="Arial" w:eastAsia="Arial" w:hAnsi="Arial"/>
                <w:sz w:val="16"/>
                <w:szCs w:val="16"/>
                <w:color w:val="auto"/>
              </w:rPr>
              <w:t>TN</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110</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1,280</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86</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110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1,366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1,476</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170</w:t>
            </w:r>
          </w:p>
        </w:tc>
      </w:tr>
      <w:tr>
        <w:trPr>
          <w:trHeight w:val="459"/>
        </w:trPr>
        <w:tc>
          <w:tcPr>
            <w:tcW w:w="540" w:type="dxa"/>
            <w:vAlign w:val="bottom"/>
          </w:tcPr>
          <w:p>
            <w:pPr>
              <w:ind w:left="220"/>
              <w:spacing w:after="0"/>
              <w:rPr>
                <w:sz w:val="20"/>
                <w:szCs w:val="20"/>
                <w:color w:val="auto"/>
              </w:rPr>
            </w:pPr>
            <w:r>
              <w:rPr>
                <w:rFonts w:ascii="Arial" w:cs="Arial" w:eastAsia="Arial" w:hAnsi="Arial"/>
                <w:sz w:val="16"/>
                <w:szCs w:val="16"/>
                <w:color w:val="auto"/>
              </w:rPr>
              <w:t>TN</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4,236</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803</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4,635</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236</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803</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4,871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5,674</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728</w:t>
            </w:r>
          </w:p>
        </w:tc>
      </w:tr>
      <w:tr>
        <w:trPr>
          <w:trHeight w:val="459"/>
        </w:trPr>
        <w:tc>
          <w:tcPr>
            <w:tcW w:w="540" w:type="dxa"/>
            <w:vAlign w:val="bottom"/>
          </w:tcPr>
          <w:p>
            <w:pPr>
              <w:ind w:left="220"/>
              <w:spacing w:after="0"/>
              <w:rPr>
                <w:sz w:val="20"/>
                <w:szCs w:val="20"/>
                <w:color w:val="auto"/>
              </w:rPr>
            </w:pPr>
            <w:r>
              <w:rPr>
                <w:rFonts w:ascii="Arial" w:cs="Arial" w:eastAsia="Arial" w:hAnsi="Arial"/>
                <w:sz w:val="16"/>
                <w:szCs w:val="16"/>
                <w:color w:val="auto"/>
              </w:rPr>
              <w:t>TN</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3,313</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1,040</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3,867</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423</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1,040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4,290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5,330</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473</w:t>
            </w:r>
          </w:p>
        </w:tc>
      </w:tr>
      <w:tr>
        <w:trPr>
          <w:trHeight w:val="364"/>
        </w:trPr>
        <w:tc>
          <w:tcPr>
            <w:tcW w:w="540" w:type="dxa"/>
            <w:vAlign w:val="bottom"/>
          </w:tcPr>
          <w:p>
            <w:pPr>
              <w:ind w:left="220"/>
              <w:spacing w:after="0"/>
              <w:rPr>
                <w:sz w:val="20"/>
                <w:szCs w:val="20"/>
                <w:color w:val="auto"/>
              </w:rPr>
            </w:pPr>
            <w:r>
              <w:rPr>
                <w:rFonts w:ascii="Arial" w:cs="Arial" w:eastAsia="Arial" w:hAnsi="Arial"/>
                <w:sz w:val="16"/>
                <w:szCs w:val="16"/>
                <w:color w:val="auto"/>
              </w:rPr>
              <w:t>TN</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89"/>
              </w:rPr>
              <w:t>578</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2,548</w:t>
            </w:r>
          </w:p>
        </w:tc>
        <w:tc>
          <w:tcPr>
            <w:tcW w:w="1400" w:type="dxa"/>
            <w:vAlign w:val="bottom"/>
          </w:tcPr>
          <w:p>
            <w:pPr>
              <w:jc w:val="center"/>
              <w:ind w:right="119"/>
              <w:spacing w:after="0"/>
              <w:rPr>
                <w:sz w:val="20"/>
                <w:szCs w:val="20"/>
                <w:color w:val="auto"/>
              </w:rPr>
            </w:pPr>
            <w:r>
              <w:rPr>
                <w:rFonts w:ascii="Arial" w:cs="Arial" w:eastAsia="Arial" w:hAnsi="Arial"/>
                <w:sz w:val="16"/>
                <w:szCs w:val="16"/>
                <w:color w:val="auto"/>
                <w:w w:val="89"/>
              </w:rPr>
              <w:t>10</w:t>
            </w:r>
          </w:p>
        </w:tc>
        <w:tc>
          <w:tcPr>
            <w:tcW w:w="1340" w:type="dxa"/>
            <w:vAlign w:val="bottom"/>
          </w:tcPr>
          <w:p>
            <w:pPr>
              <w:jc w:val="center"/>
              <w:ind w:left="219"/>
              <w:spacing w:after="0"/>
              <w:rPr>
                <w:sz w:val="20"/>
                <w:szCs w:val="20"/>
                <w:color w:val="auto"/>
              </w:rPr>
            </w:pPr>
            <w:r>
              <w:rPr>
                <w:rFonts w:ascii="Arial" w:cs="Arial" w:eastAsia="Arial" w:hAnsi="Arial"/>
                <w:sz w:val="16"/>
                <w:szCs w:val="16"/>
                <w:color w:val="auto"/>
                <w:w w:val="89"/>
              </w:rPr>
              <w:t>578</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2,558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3,136</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-9923145</wp:posOffset>
            </wp:positionV>
            <wp:extent cx="7246620" cy="2914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-9340850</wp:posOffset>
            </wp:positionV>
            <wp:extent cx="7246620" cy="2914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-8878570</wp:posOffset>
            </wp:positionV>
            <wp:extent cx="7246620" cy="2914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-8295640</wp:posOffset>
            </wp:positionV>
            <wp:extent cx="7246620" cy="2914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-7713345</wp:posOffset>
            </wp:positionV>
            <wp:extent cx="7246620" cy="2914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-7131050</wp:posOffset>
            </wp:positionV>
            <wp:extent cx="7246620" cy="2914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-6668135</wp:posOffset>
            </wp:positionV>
            <wp:extent cx="7246620" cy="2914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-6085840</wp:posOffset>
            </wp:positionV>
            <wp:extent cx="7246620" cy="1714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-5743575</wp:posOffset>
            </wp:positionV>
            <wp:extent cx="7246620" cy="1714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-5400675</wp:posOffset>
            </wp:positionV>
            <wp:extent cx="7246620" cy="2914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-4689475</wp:posOffset>
            </wp:positionV>
            <wp:extent cx="7246620" cy="419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6620" cy="419735"/>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-3978910</wp:posOffset>
            </wp:positionV>
            <wp:extent cx="7246620" cy="1714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-3515995</wp:posOffset>
            </wp:positionV>
            <wp:extent cx="7246620" cy="2914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-3053715</wp:posOffset>
            </wp:positionV>
            <wp:extent cx="7246620" cy="2914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-2471420</wp:posOffset>
            </wp:positionV>
            <wp:extent cx="7246620" cy="2914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-1888490</wp:posOffset>
            </wp:positionV>
            <wp:extent cx="7246620" cy="2914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-1306195</wp:posOffset>
            </wp:positionV>
            <wp:extent cx="7246620" cy="2914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-723900</wp:posOffset>
            </wp:positionV>
            <wp:extent cx="7246620" cy="2914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-140970</wp:posOffset>
            </wp:positionV>
            <wp:extent cx="7246620" cy="1682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6620" cy="168275"/>
                    </a:xfrm>
                    <a:prstGeom prst="rect">
                      <a:avLst/>
                    </a:prstGeom>
                    <a:noFill/>
                  </pic:spPr>
                </pic:pic>
              </a:graphicData>
            </a:graphic>
          </wp:anchor>
        </w:drawing>
      </w:r>
    </w:p>
    <w:p>
      <w:pPr>
        <w:sectPr>
          <w:pgSz w:w="11900" w:h="16859" w:orient="portrait"/>
          <w:cols w:equalWidth="0" w:num="2">
            <w:col w:w="2360" w:space="0"/>
            <w:col w:w="9060"/>
          </w:cols>
          <w:pgMar w:left="240" w:top="140" w:right="239" w:bottom="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90"/>
        </w:trPr>
        <w:tc>
          <w:tcPr>
            <w:tcW w:w="960" w:type="dxa"/>
            <w:vAlign w:val="bottom"/>
            <w:shd w:val="clear" w:color="auto" w:fill="CCEEFF"/>
          </w:tcPr>
          <w:p>
            <w:pPr>
              <w:spacing w:after="0"/>
              <w:rPr>
                <w:sz w:val="7"/>
                <w:szCs w:val="7"/>
                <w:color w:val="auto"/>
              </w:rPr>
            </w:pPr>
          </w:p>
        </w:tc>
        <w:tc>
          <w:tcPr>
            <w:tcW w:w="14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Ave 2</w:t>
            </w:r>
          </w:p>
        </w:tc>
        <w:tc>
          <w:tcPr>
            <w:tcW w:w="1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960" w:type="dxa"/>
            <w:vAlign w:val="bottom"/>
          </w:tcPr>
          <w:p>
            <w:pPr>
              <w:spacing w:after="0"/>
              <w:rPr>
                <w:sz w:val="11"/>
                <w:szCs w:val="11"/>
                <w:color w:val="auto"/>
              </w:rPr>
            </w:pPr>
          </w:p>
        </w:tc>
        <w:tc>
          <w:tcPr>
            <w:tcW w:w="1400" w:type="dxa"/>
            <w:vAlign w:val="bottom"/>
            <w:tcBorders>
              <w:bottom w:val="single" w:sz="8" w:color="CCEEFF"/>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11/17/2016</w:t>
            </w:r>
          </w:p>
        </w:tc>
        <w:tc>
          <w:tcPr>
            <w:tcW w:w="1400" w:type="dxa"/>
            <w:vAlign w:val="bottom"/>
          </w:tcPr>
          <w:p>
            <w:pPr>
              <w:ind w:left="20"/>
              <w:spacing w:after="0"/>
              <w:rPr>
                <w:sz w:val="20"/>
                <w:szCs w:val="20"/>
                <w:color w:val="auto"/>
              </w:rPr>
            </w:pPr>
            <w:r>
              <w:rPr>
                <w:rFonts w:ascii="Arial" w:cs="Arial" w:eastAsia="Arial" w:hAnsi="Arial"/>
                <w:sz w:val="16"/>
                <w:szCs w:val="16"/>
                <w:color w:val="auto"/>
              </w:rPr>
              <w:t>Memphis /</w:t>
            </w:r>
          </w:p>
        </w:tc>
        <w:tc>
          <w:tcPr>
            <w:tcW w:w="120" w:type="dxa"/>
            <w:vAlign w:val="bottom"/>
          </w:tcPr>
          <w:p>
            <w:pPr>
              <w:spacing w:after="0"/>
              <w:rPr>
                <w:sz w:val="23"/>
                <w:szCs w:val="23"/>
                <w:color w:val="auto"/>
              </w:rPr>
            </w:pPr>
          </w:p>
        </w:tc>
        <w:tc>
          <w:tcPr>
            <w:tcW w:w="400" w:type="dxa"/>
            <w:vAlign w:val="bottom"/>
          </w:tcPr>
          <w:p>
            <w:pPr>
              <w:ind w:left="100"/>
              <w:spacing w:after="0"/>
              <w:rPr>
                <w:sz w:val="20"/>
                <w:szCs w:val="20"/>
                <w:color w:val="auto"/>
              </w:rPr>
            </w:pPr>
            <w:r>
              <w:rPr>
                <w:rFonts w:ascii="Arial" w:cs="Arial" w:eastAsia="Arial" w:hAnsi="Arial"/>
                <w:sz w:val="16"/>
                <w:szCs w:val="16"/>
                <w:color w:val="auto"/>
              </w:rPr>
              <w:t>TN</w:t>
            </w:r>
          </w:p>
        </w:tc>
        <w:tc>
          <w:tcPr>
            <w:tcW w:w="10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960" w:type="dxa"/>
            <w:vAlign w:val="bottom"/>
          </w:tcPr>
          <w:p>
            <w:pPr>
              <w:spacing w:after="0"/>
              <w:rPr>
                <w:sz w:val="17"/>
                <w:szCs w:val="17"/>
                <w:color w:val="auto"/>
              </w:rPr>
            </w:pPr>
          </w:p>
        </w:tc>
        <w:tc>
          <w:tcPr>
            <w:tcW w:w="1400" w:type="dxa"/>
            <w:vAlign w:val="bottom"/>
          </w:tcPr>
          <w:p>
            <w:pPr>
              <w:ind w:left="20"/>
              <w:spacing w:after="0"/>
              <w:rPr>
                <w:sz w:val="20"/>
                <w:szCs w:val="20"/>
                <w:color w:val="auto"/>
              </w:rPr>
            </w:pPr>
            <w:r>
              <w:rPr>
                <w:rFonts w:ascii="Arial" w:cs="Arial" w:eastAsia="Arial" w:hAnsi="Arial"/>
                <w:sz w:val="16"/>
                <w:szCs w:val="16"/>
                <w:color w:val="auto"/>
              </w:rPr>
              <w:t>Winchester Rd</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60" w:type="dxa"/>
            <w:vAlign w:val="bottom"/>
          </w:tcPr>
          <w:p>
            <w:pPr>
              <w:jc w:val="center"/>
              <w:spacing w:after="0"/>
              <w:rPr>
                <w:sz w:val="20"/>
                <w:szCs w:val="20"/>
                <w:color w:val="auto"/>
              </w:rPr>
            </w:pPr>
            <w:r>
              <w:rPr>
                <w:rFonts w:ascii="Arial" w:cs="Arial" w:eastAsia="Arial" w:hAnsi="Arial"/>
                <w:sz w:val="16"/>
                <w:szCs w:val="16"/>
                <w:color w:val="auto"/>
                <w:w w:val="89"/>
              </w:rPr>
              <w:t>4/13/2006</w:t>
            </w:r>
          </w:p>
        </w:tc>
        <w:tc>
          <w:tcPr>
            <w:tcW w:w="1400" w:type="dxa"/>
            <w:vAlign w:val="bottom"/>
          </w:tcPr>
          <w:p>
            <w:pPr>
              <w:ind w:left="20"/>
              <w:spacing w:after="0"/>
              <w:rPr>
                <w:sz w:val="20"/>
                <w:szCs w:val="20"/>
                <w:color w:val="auto"/>
              </w:rPr>
            </w:pPr>
            <w:r>
              <w:rPr>
                <w:rFonts w:ascii="Arial" w:cs="Arial" w:eastAsia="Arial" w:hAnsi="Arial"/>
                <w:sz w:val="16"/>
                <w:szCs w:val="16"/>
                <w:color w:val="auto"/>
              </w:rPr>
              <w:t>Nashville</w:t>
            </w:r>
          </w:p>
        </w:tc>
        <w:tc>
          <w:tcPr>
            <w:tcW w:w="120" w:type="dxa"/>
            <w:vAlign w:val="bottom"/>
          </w:tcPr>
          <w:p>
            <w:pPr>
              <w:spacing w:after="0"/>
              <w:rPr>
                <w:sz w:val="17"/>
                <w:szCs w:val="17"/>
                <w:color w:val="auto"/>
              </w:rPr>
            </w:pPr>
          </w:p>
        </w:tc>
        <w:tc>
          <w:tcPr>
            <w:tcW w:w="400" w:type="dxa"/>
            <w:vAlign w:val="bottom"/>
          </w:tcPr>
          <w:p>
            <w:pPr>
              <w:ind w:left="100"/>
              <w:spacing w:after="0"/>
              <w:rPr>
                <w:sz w:val="20"/>
                <w:szCs w:val="20"/>
                <w:color w:val="auto"/>
              </w:rPr>
            </w:pPr>
            <w:r>
              <w:rPr>
                <w:rFonts w:ascii="Arial" w:cs="Arial" w:eastAsia="Arial" w:hAnsi="Arial"/>
                <w:sz w:val="16"/>
                <w:szCs w:val="16"/>
                <w:color w:val="auto"/>
              </w:rPr>
              <w:t>TN</w:t>
            </w:r>
          </w:p>
        </w:tc>
        <w:tc>
          <w:tcPr>
            <w:tcW w:w="64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8,263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11/22/2006</w:t>
            </w:r>
          </w:p>
        </w:tc>
        <w:tc>
          <w:tcPr>
            <w:tcW w:w="1400" w:type="dxa"/>
            <w:vAlign w:val="bottom"/>
          </w:tcPr>
          <w:p>
            <w:pPr>
              <w:ind w:left="20"/>
              <w:spacing w:after="0"/>
              <w:rPr>
                <w:sz w:val="20"/>
                <w:szCs w:val="20"/>
                <w:color w:val="auto"/>
              </w:rPr>
            </w:pPr>
            <w:r>
              <w:rPr>
                <w:rFonts w:ascii="Arial" w:cs="Arial" w:eastAsia="Arial" w:hAnsi="Arial"/>
                <w:sz w:val="16"/>
                <w:szCs w:val="16"/>
                <w:color w:val="auto"/>
              </w:rPr>
              <w:t>Allen</w:t>
            </w:r>
          </w:p>
        </w:tc>
        <w:tc>
          <w:tcPr>
            <w:tcW w:w="120" w:type="dxa"/>
            <w:vAlign w:val="bottom"/>
          </w:tcPr>
          <w:p>
            <w:pPr>
              <w:spacing w:after="0"/>
              <w:rPr>
                <w:sz w:val="23"/>
                <w:szCs w:val="23"/>
                <w:color w:val="auto"/>
              </w:rPr>
            </w:pPr>
          </w:p>
        </w:tc>
        <w:tc>
          <w:tcPr>
            <w:tcW w:w="400" w:type="dxa"/>
            <w:vAlign w:val="bottom"/>
          </w:tcPr>
          <w:p>
            <w:pPr>
              <w:ind w:left="100"/>
              <w:spacing w:after="0"/>
              <w:rPr>
                <w:sz w:val="20"/>
                <w:szCs w:val="20"/>
                <w:color w:val="auto"/>
              </w:rPr>
            </w:pPr>
            <w:r>
              <w:rPr>
                <w:rFonts w:ascii="Arial" w:cs="Arial" w:eastAsia="Arial" w:hAnsi="Arial"/>
                <w:sz w:val="16"/>
                <w:szCs w:val="16"/>
                <w:color w:val="auto"/>
              </w:rPr>
              <w:t>TX</w:t>
            </w:r>
          </w:p>
        </w:tc>
        <w:tc>
          <w:tcPr>
            <w:tcW w:w="64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4,312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8/26/2004</w:t>
            </w:r>
          </w:p>
        </w:tc>
        <w:tc>
          <w:tcPr>
            <w:tcW w:w="1400" w:type="dxa"/>
            <w:vAlign w:val="bottom"/>
          </w:tcPr>
          <w:p>
            <w:pPr>
              <w:ind w:left="20"/>
              <w:spacing w:after="0"/>
              <w:rPr>
                <w:sz w:val="20"/>
                <w:szCs w:val="20"/>
                <w:color w:val="auto"/>
              </w:rPr>
            </w:pPr>
            <w:r>
              <w:rPr>
                <w:rFonts w:ascii="Arial" w:cs="Arial" w:eastAsia="Arial" w:hAnsi="Arial"/>
                <w:sz w:val="16"/>
                <w:szCs w:val="16"/>
                <w:color w:val="auto"/>
              </w:rPr>
              <w:t>Arlington / E</w:t>
            </w:r>
          </w:p>
        </w:tc>
        <w:tc>
          <w:tcPr>
            <w:tcW w:w="120" w:type="dxa"/>
            <w:vAlign w:val="bottom"/>
          </w:tcPr>
          <w:p>
            <w:pPr>
              <w:spacing w:after="0"/>
              <w:rPr>
                <w:sz w:val="23"/>
                <w:szCs w:val="23"/>
                <w:color w:val="auto"/>
              </w:rPr>
            </w:pPr>
          </w:p>
        </w:tc>
        <w:tc>
          <w:tcPr>
            <w:tcW w:w="400" w:type="dxa"/>
            <w:vAlign w:val="bottom"/>
            <w:vMerge w:val="restart"/>
          </w:tcPr>
          <w:p>
            <w:pPr>
              <w:ind w:left="100"/>
              <w:spacing w:after="0"/>
              <w:rPr>
                <w:sz w:val="20"/>
                <w:szCs w:val="20"/>
                <w:color w:val="auto"/>
              </w:rPr>
            </w:pPr>
            <w:r>
              <w:rPr>
                <w:rFonts w:ascii="Arial" w:cs="Arial" w:eastAsia="Arial" w:hAnsi="Arial"/>
                <w:sz w:val="16"/>
                <w:szCs w:val="16"/>
                <w:color w:val="auto"/>
              </w:rPr>
              <w:t>TX</w:t>
            </w:r>
          </w:p>
        </w:tc>
        <w:tc>
          <w:tcPr>
            <w:tcW w:w="64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89"/>
              </w:rPr>
              <w:t>3,181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Pioneer Pkwy</w:t>
            </w:r>
          </w:p>
        </w:tc>
        <w:tc>
          <w:tcPr>
            <w:tcW w:w="1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400" w:type="dxa"/>
            <w:vAlign w:val="bottom"/>
          </w:tcPr>
          <w:p>
            <w:pPr>
              <w:ind w:left="20"/>
              <w:spacing w:after="0"/>
              <w:rPr>
                <w:sz w:val="20"/>
                <w:szCs w:val="20"/>
                <w:color w:val="auto"/>
              </w:rPr>
            </w:pPr>
            <w:r>
              <w:rPr>
                <w:rFonts w:ascii="Arial" w:cs="Arial" w:eastAsia="Arial" w:hAnsi="Arial"/>
                <w:sz w:val="16"/>
                <w:szCs w:val="16"/>
                <w:color w:val="auto"/>
              </w:rPr>
              <w:t>Arlington / Randol</w:t>
            </w:r>
          </w:p>
        </w:tc>
        <w:tc>
          <w:tcPr>
            <w:tcW w:w="120" w:type="dxa"/>
            <w:vAlign w:val="bottom"/>
          </w:tcPr>
          <w:p>
            <w:pPr>
              <w:spacing w:after="0"/>
              <w:rPr>
                <w:sz w:val="21"/>
                <w:szCs w:val="21"/>
                <w:color w:val="auto"/>
              </w:rPr>
            </w:pPr>
          </w:p>
        </w:tc>
        <w:tc>
          <w:tcPr>
            <w:tcW w:w="400" w:type="dxa"/>
            <w:vAlign w:val="bottom"/>
            <w:vMerge w:val="restart"/>
          </w:tcPr>
          <w:p>
            <w:pPr>
              <w:ind w:left="100"/>
              <w:spacing w:after="0"/>
              <w:rPr>
                <w:sz w:val="20"/>
                <w:szCs w:val="20"/>
                <w:color w:val="auto"/>
              </w:rPr>
            </w:pPr>
            <w:r>
              <w:rPr>
                <w:rFonts w:ascii="Arial" w:cs="Arial" w:eastAsia="Arial" w:hAnsi="Arial"/>
                <w:sz w:val="16"/>
                <w:szCs w:val="16"/>
                <w:color w:val="auto"/>
              </w:rPr>
              <w:t>TX</w:t>
            </w:r>
          </w:p>
        </w:tc>
        <w:tc>
          <w:tcPr>
            <w:tcW w:w="100" w:type="dxa"/>
            <w:vAlign w:val="bottom"/>
          </w:tcPr>
          <w:p>
            <w:pPr>
              <w:spacing w:after="0"/>
              <w:rPr>
                <w:sz w:val="21"/>
                <w:szCs w:val="21"/>
                <w:color w:val="auto"/>
              </w:rPr>
            </w:pPr>
          </w:p>
        </w:tc>
        <w:tc>
          <w:tcPr>
            <w:tcW w:w="54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Mill Rd</w:t>
            </w:r>
          </w:p>
        </w:tc>
        <w:tc>
          <w:tcPr>
            <w:tcW w:w="1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4/15/2015</w:t>
            </w:r>
          </w:p>
        </w:tc>
        <w:tc>
          <w:tcPr>
            <w:tcW w:w="1400" w:type="dxa"/>
            <w:vAlign w:val="bottom"/>
          </w:tcPr>
          <w:p>
            <w:pPr>
              <w:ind w:left="20"/>
              <w:spacing w:after="0"/>
              <w:rPr>
                <w:sz w:val="20"/>
                <w:szCs w:val="20"/>
                <w:color w:val="auto"/>
              </w:rPr>
            </w:pPr>
            <w:r>
              <w:rPr>
                <w:rFonts w:ascii="Arial" w:cs="Arial" w:eastAsia="Arial" w:hAnsi="Arial"/>
                <w:sz w:val="16"/>
                <w:szCs w:val="16"/>
                <w:color w:val="auto"/>
              </w:rPr>
              <w:t>Arlington / US 287</w:t>
            </w:r>
          </w:p>
        </w:tc>
        <w:tc>
          <w:tcPr>
            <w:tcW w:w="120" w:type="dxa"/>
            <w:vAlign w:val="bottom"/>
          </w:tcPr>
          <w:p>
            <w:pPr>
              <w:spacing w:after="0"/>
              <w:rPr>
                <w:sz w:val="21"/>
                <w:szCs w:val="21"/>
                <w:color w:val="auto"/>
              </w:rPr>
            </w:pPr>
          </w:p>
        </w:tc>
        <w:tc>
          <w:tcPr>
            <w:tcW w:w="400" w:type="dxa"/>
            <w:vAlign w:val="bottom"/>
            <w:vMerge w:val="restart"/>
          </w:tcPr>
          <w:p>
            <w:pPr>
              <w:ind w:left="100"/>
              <w:spacing w:after="0"/>
              <w:rPr>
                <w:sz w:val="20"/>
                <w:szCs w:val="20"/>
                <w:color w:val="auto"/>
              </w:rPr>
            </w:pPr>
            <w:r>
              <w:rPr>
                <w:rFonts w:ascii="Arial" w:cs="Arial" w:eastAsia="Arial" w:hAnsi="Arial"/>
                <w:sz w:val="16"/>
                <w:szCs w:val="16"/>
                <w:color w:val="auto"/>
              </w:rPr>
              <w:t>TX</w:t>
            </w:r>
          </w:p>
        </w:tc>
        <w:tc>
          <w:tcPr>
            <w:tcW w:w="64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89"/>
              </w:rPr>
              <w:t>2,633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Frontage Rd</w:t>
            </w:r>
          </w:p>
        </w:tc>
        <w:tc>
          <w:tcPr>
            <w:tcW w:w="1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4/15/2015</w:t>
            </w:r>
          </w:p>
        </w:tc>
        <w:tc>
          <w:tcPr>
            <w:tcW w:w="1400" w:type="dxa"/>
            <w:vAlign w:val="bottom"/>
          </w:tcPr>
          <w:p>
            <w:pPr>
              <w:ind w:left="20"/>
              <w:spacing w:after="0"/>
              <w:rPr>
                <w:sz w:val="20"/>
                <w:szCs w:val="20"/>
                <w:color w:val="auto"/>
              </w:rPr>
            </w:pPr>
            <w:r>
              <w:rPr>
                <w:rFonts w:ascii="Arial" w:cs="Arial" w:eastAsia="Arial" w:hAnsi="Arial"/>
                <w:sz w:val="16"/>
                <w:szCs w:val="16"/>
                <w:color w:val="auto"/>
              </w:rPr>
              <w:t>Arlington / Watson</w:t>
            </w:r>
          </w:p>
        </w:tc>
        <w:tc>
          <w:tcPr>
            <w:tcW w:w="120" w:type="dxa"/>
            <w:vAlign w:val="bottom"/>
          </w:tcPr>
          <w:p>
            <w:pPr>
              <w:spacing w:after="0"/>
              <w:rPr>
                <w:sz w:val="21"/>
                <w:szCs w:val="21"/>
                <w:color w:val="auto"/>
              </w:rPr>
            </w:pPr>
          </w:p>
        </w:tc>
        <w:tc>
          <w:tcPr>
            <w:tcW w:w="400" w:type="dxa"/>
            <w:vAlign w:val="bottom"/>
            <w:vMerge w:val="restart"/>
          </w:tcPr>
          <w:p>
            <w:pPr>
              <w:ind w:left="100"/>
              <w:spacing w:after="0"/>
              <w:rPr>
                <w:sz w:val="20"/>
                <w:szCs w:val="20"/>
                <w:color w:val="auto"/>
              </w:rPr>
            </w:pPr>
            <w:r>
              <w:rPr>
                <w:rFonts w:ascii="Arial" w:cs="Arial" w:eastAsia="Arial" w:hAnsi="Arial"/>
                <w:sz w:val="16"/>
                <w:szCs w:val="16"/>
                <w:color w:val="auto"/>
              </w:rPr>
              <w:t>TX</w:t>
            </w:r>
          </w:p>
        </w:tc>
        <w:tc>
          <w:tcPr>
            <w:tcW w:w="64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89"/>
              </w:rPr>
              <w:t>2,647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Rd</w:t>
            </w:r>
          </w:p>
        </w:tc>
        <w:tc>
          <w:tcPr>
            <w:tcW w:w="1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1/13/2015</w:t>
            </w:r>
          </w:p>
        </w:tc>
        <w:tc>
          <w:tcPr>
            <w:tcW w:w="1400" w:type="dxa"/>
            <w:vAlign w:val="bottom"/>
          </w:tcPr>
          <w:p>
            <w:pPr>
              <w:ind w:left="20"/>
              <w:spacing w:after="0"/>
              <w:rPr>
                <w:sz w:val="20"/>
                <w:szCs w:val="20"/>
                <w:color w:val="auto"/>
              </w:rPr>
            </w:pPr>
            <w:r>
              <w:rPr>
                <w:rFonts w:ascii="Arial" w:cs="Arial" w:eastAsia="Arial" w:hAnsi="Arial"/>
                <w:sz w:val="16"/>
                <w:szCs w:val="16"/>
                <w:color w:val="auto"/>
              </w:rPr>
              <w:t>Austin / 1st Street</w:t>
            </w:r>
          </w:p>
        </w:tc>
        <w:tc>
          <w:tcPr>
            <w:tcW w:w="120" w:type="dxa"/>
            <w:vAlign w:val="bottom"/>
          </w:tcPr>
          <w:p>
            <w:pPr>
              <w:spacing w:after="0"/>
              <w:rPr>
                <w:sz w:val="22"/>
                <w:szCs w:val="22"/>
                <w:color w:val="auto"/>
              </w:rPr>
            </w:pPr>
          </w:p>
        </w:tc>
        <w:tc>
          <w:tcPr>
            <w:tcW w:w="400" w:type="dxa"/>
            <w:vAlign w:val="bottom"/>
          </w:tcPr>
          <w:p>
            <w:pPr>
              <w:ind w:left="100"/>
              <w:spacing w:after="0"/>
              <w:rPr>
                <w:sz w:val="20"/>
                <w:szCs w:val="20"/>
                <w:color w:val="auto"/>
              </w:rPr>
            </w:pPr>
            <w:r>
              <w:rPr>
                <w:rFonts w:ascii="Arial" w:cs="Arial" w:eastAsia="Arial" w:hAnsi="Arial"/>
                <w:sz w:val="16"/>
                <w:szCs w:val="16"/>
                <w:color w:val="auto"/>
              </w:rPr>
              <w:t>TX</w:t>
            </w:r>
          </w:p>
        </w:tc>
        <w:tc>
          <w:tcPr>
            <w:tcW w:w="64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4,139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1/13/2015</w:t>
            </w:r>
          </w:p>
        </w:tc>
        <w:tc>
          <w:tcPr>
            <w:tcW w:w="1400" w:type="dxa"/>
            <w:vAlign w:val="bottom"/>
          </w:tcPr>
          <w:p>
            <w:pPr>
              <w:ind w:left="20"/>
              <w:spacing w:after="0"/>
              <w:rPr>
                <w:sz w:val="20"/>
                <w:szCs w:val="20"/>
                <w:color w:val="auto"/>
              </w:rPr>
            </w:pPr>
            <w:r>
              <w:rPr>
                <w:rFonts w:ascii="Arial" w:cs="Arial" w:eastAsia="Arial" w:hAnsi="Arial"/>
                <w:sz w:val="16"/>
                <w:szCs w:val="16"/>
                <w:color w:val="auto"/>
                <w:w w:val="94"/>
              </w:rPr>
              <w:t>Austin / Brodie Lane</w:t>
            </w:r>
          </w:p>
        </w:tc>
        <w:tc>
          <w:tcPr>
            <w:tcW w:w="120" w:type="dxa"/>
            <w:vAlign w:val="bottom"/>
          </w:tcPr>
          <w:p>
            <w:pPr>
              <w:spacing w:after="0"/>
              <w:rPr>
                <w:sz w:val="23"/>
                <w:szCs w:val="23"/>
                <w:color w:val="auto"/>
              </w:rPr>
            </w:pPr>
          </w:p>
        </w:tc>
        <w:tc>
          <w:tcPr>
            <w:tcW w:w="400" w:type="dxa"/>
            <w:vAlign w:val="bottom"/>
          </w:tcPr>
          <w:p>
            <w:pPr>
              <w:ind w:left="100"/>
              <w:spacing w:after="0"/>
              <w:rPr>
                <w:sz w:val="20"/>
                <w:szCs w:val="20"/>
                <w:color w:val="auto"/>
              </w:rPr>
            </w:pPr>
            <w:r>
              <w:rPr>
                <w:rFonts w:ascii="Arial" w:cs="Arial" w:eastAsia="Arial" w:hAnsi="Arial"/>
                <w:sz w:val="16"/>
                <w:szCs w:val="16"/>
                <w:color w:val="auto"/>
              </w:rPr>
              <w:t>TX</w:t>
            </w:r>
          </w:p>
        </w:tc>
        <w:tc>
          <w:tcPr>
            <w:tcW w:w="64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5,717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8/26/2004</w:t>
            </w:r>
          </w:p>
        </w:tc>
        <w:tc>
          <w:tcPr>
            <w:tcW w:w="1400" w:type="dxa"/>
            <w:vAlign w:val="bottom"/>
          </w:tcPr>
          <w:p>
            <w:pPr>
              <w:ind w:left="20"/>
              <w:spacing w:after="0"/>
              <w:rPr>
                <w:sz w:val="20"/>
                <w:szCs w:val="20"/>
                <w:color w:val="auto"/>
              </w:rPr>
            </w:pPr>
            <w:r>
              <w:rPr>
                <w:rFonts w:ascii="Arial" w:cs="Arial" w:eastAsia="Arial" w:hAnsi="Arial"/>
                <w:sz w:val="16"/>
                <w:szCs w:val="16"/>
                <w:color w:val="auto"/>
              </w:rPr>
              <w:t>Austin / Burnet Rd</w:t>
            </w:r>
          </w:p>
        </w:tc>
        <w:tc>
          <w:tcPr>
            <w:tcW w:w="120" w:type="dxa"/>
            <w:vAlign w:val="bottom"/>
          </w:tcPr>
          <w:p>
            <w:pPr>
              <w:spacing w:after="0"/>
              <w:rPr>
                <w:sz w:val="23"/>
                <w:szCs w:val="23"/>
                <w:color w:val="auto"/>
              </w:rPr>
            </w:pPr>
          </w:p>
        </w:tc>
        <w:tc>
          <w:tcPr>
            <w:tcW w:w="400" w:type="dxa"/>
            <w:vAlign w:val="bottom"/>
          </w:tcPr>
          <w:p>
            <w:pPr>
              <w:ind w:left="100"/>
              <w:spacing w:after="0"/>
              <w:rPr>
                <w:sz w:val="20"/>
                <w:szCs w:val="20"/>
                <w:color w:val="auto"/>
              </w:rPr>
            </w:pPr>
            <w:r>
              <w:rPr>
                <w:rFonts w:ascii="Arial" w:cs="Arial" w:eastAsia="Arial" w:hAnsi="Arial"/>
                <w:sz w:val="16"/>
                <w:szCs w:val="16"/>
                <w:color w:val="auto"/>
              </w:rPr>
              <w:t>TX</w:t>
            </w:r>
          </w:p>
        </w:tc>
        <w:tc>
          <w:tcPr>
            <w:tcW w:w="64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8,759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1/13/2015</w:t>
            </w:r>
          </w:p>
        </w:tc>
        <w:tc>
          <w:tcPr>
            <w:tcW w:w="1400" w:type="dxa"/>
            <w:vAlign w:val="bottom"/>
          </w:tcPr>
          <w:p>
            <w:pPr>
              <w:ind w:left="20"/>
              <w:spacing w:after="0"/>
              <w:rPr>
                <w:sz w:val="20"/>
                <w:szCs w:val="20"/>
                <w:color w:val="auto"/>
              </w:rPr>
            </w:pPr>
            <w:r>
              <w:rPr>
                <w:rFonts w:ascii="Arial" w:cs="Arial" w:eastAsia="Arial" w:hAnsi="Arial"/>
                <w:sz w:val="16"/>
                <w:szCs w:val="16"/>
                <w:color w:val="auto"/>
              </w:rPr>
              <w:t>Austin / Capital of</w:t>
            </w:r>
          </w:p>
        </w:tc>
        <w:tc>
          <w:tcPr>
            <w:tcW w:w="120" w:type="dxa"/>
            <w:vAlign w:val="bottom"/>
          </w:tcPr>
          <w:p>
            <w:pPr>
              <w:spacing w:after="0"/>
              <w:rPr>
                <w:sz w:val="23"/>
                <w:szCs w:val="23"/>
                <w:color w:val="auto"/>
              </w:rPr>
            </w:pPr>
          </w:p>
        </w:tc>
        <w:tc>
          <w:tcPr>
            <w:tcW w:w="400" w:type="dxa"/>
            <w:vAlign w:val="bottom"/>
            <w:vMerge w:val="restart"/>
          </w:tcPr>
          <w:p>
            <w:pPr>
              <w:ind w:left="100"/>
              <w:spacing w:after="0"/>
              <w:rPr>
                <w:sz w:val="20"/>
                <w:szCs w:val="20"/>
                <w:color w:val="auto"/>
              </w:rPr>
            </w:pPr>
            <w:r>
              <w:rPr>
                <w:rFonts w:ascii="Arial" w:cs="Arial" w:eastAsia="Arial" w:hAnsi="Arial"/>
                <w:sz w:val="16"/>
                <w:szCs w:val="16"/>
                <w:color w:val="auto"/>
              </w:rPr>
              <w:t>TX</w:t>
            </w:r>
          </w:p>
        </w:tc>
        <w:tc>
          <w:tcPr>
            <w:tcW w:w="64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3"/>
              </w:rPr>
              <w:t>10,175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Texas Hwy</w:t>
            </w:r>
          </w:p>
        </w:tc>
        <w:tc>
          <w:tcPr>
            <w:tcW w:w="1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11/1/2013</w:t>
            </w:r>
          </w:p>
        </w:tc>
        <w:tc>
          <w:tcPr>
            <w:tcW w:w="1400" w:type="dxa"/>
            <w:vAlign w:val="bottom"/>
          </w:tcPr>
          <w:p>
            <w:pPr>
              <w:ind w:left="20"/>
              <w:spacing w:after="0"/>
              <w:rPr>
                <w:sz w:val="20"/>
                <w:szCs w:val="20"/>
                <w:color w:val="auto"/>
              </w:rPr>
            </w:pPr>
            <w:r>
              <w:rPr>
                <w:rFonts w:ascii="Arial" w:cs="Arial" w:eastAsia="Arial" w:hAnsi="Arial"/>
                <w:sz w:val="16"/>
                <w:szCs w:val="16"/>
                <w:color w:val="auto"/>
              </w:rPr>
              <w:t>Austin / McNeil Dr</w:t>
            </w:r>
          </w:p>
        </w:tc>
        <w:tc>
          <w:tcPr>
            <w:tcW w:w="120" w:type="dxa"/>
            <w:vAlign w:val="bottom"/>
          </w:tcPr>
          <w:p>
            <w:pPr>
              <w:spacing w:after="0"/>
              <w:rPr>
                <w:sz w:val="22"/>
                <w:szCs w:val="22"/>
                <w:color w:val="auto"/>
              </w:rPr>
            </w:pPr>
          </w:p>
        </w:tc>
        <w:tc>
          <w:tcPr>
            <w:tcW w:w="400" w:type="dxa"/>
            <w:vAlign w:val="bottom"/>
          </w:tcPr>
          <w:p>
            <w:pPr>
              <w:ind w:left="100"/>
              <w:spacing w:after="0"/>
              <w:rPr>
                <w:sz w:val="20"/>
                <w:szCs w:val="20"/>
                <w:color w:val="auto"/>
              </w:rPr>
            </w:pPr>
            <w:r>
              <w:rPr>
                <w:rFonts w:ascii="Arial" w:cs="Arial" w:eastAsia="Arial" w:hAnsi="Arial"/>
                <w:sz w:val="16"/>
                <w:szCs w:val="16"/>
                <w:color w:val="auto"/>
              </w:rPr>
              <w:t>TX</w:t>
            </w:r>
          </w:p>
        </w:tc>
        <w:tc>
          <w:tcPr>
            <w:tcW w:w="64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4,846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8/8/2014</w:t>
            </w:r>
          </w:p>
        </w:tc>
        <w:tc>
          <w:tcPr>
            <w:tcW w:w="1400" w:type="dxa"/>
            <w:vAlign w:val="bottom"/>
          </w:tcPr>
          <w:p>
            <w:pPr>
              <w:ind w:left="20"/>
              <w:spacing w:after="0"/>
              <w:rPr>
                <w:sz w:val="20"/>
                <w:szCs w:val="20"/>
                <w:color w:val="auto"/>
              </w:rPr>
            </w:pPr>
            <w:r>
              <w:rPr>
                <w:rFonts w:ascii="Arial" w:cs="Arial" w:eastAsia="Arial" w:hAnsi="Arial"/>
                <w:sz w:val="16"/>
                <w:szCs w:val="16"/>
                <w:color w:val="auto"/>
              </w:rPr>
              <w:t>Austin / North</w:t>
            </w:r>
          </w:p>
        </w:tc>
        <w:tc>
          <w:tcPr>
            <w:tcW w:w="120" w:type="dxa"/>
            <w:vAlign w:val="bottom"/>
          </w:tcPr>
          <w:p>
            <w:pPr>
              <w:spacing w:after="0"/>
              <w:rPr>
                <w:sz w:val="23"/>
                <w:szCs w:val="23"/>
                <w:color w:val="auto"/>
              </w:rPr>
            </w:pPr>
          </w:p>
        </w:tc>
        <w:tc>
          <w:tcPr>
            <w:tcW w:w="400" w:type="dxa"/>
            <w:vAlign w:val="bottom"/>
            <w:vMerge w:val="restart"/>
          </w:tcPr>
          <w:p>
            <w:pPr>
              <w:ind w:left="100"/>
              <w:spacing w:after="0"/>
              <w:rPr>
                <w:sz w:val="20"/>
                <w:szCs w:val="20"/>
                <w:color w:val="auto"/>
              </w:rPr>
            </w:pPr>
            <w:r>
              <w:rPr>
                <w:rFonts w:ascii="Arial" w:cs="Arial" w:eastAsia="Arial" w:hAnsi="Arial"/>
                <w:sz w:val="16"/>
                <w:szCs w:val="16"/>
                <w:color w:val="auto"/>
              </w:rPr>
              <w:t>TX</w:t>
            </w:r>
          </w:p>
        </w:tc>
        <w:tc>
          <w:tcPr>
            <w:tcW w:w="64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89"/>
              </w:rPr>
              <w:t>4,949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Lamar Blvd</w:t>
            </w:r>
          </w:p>
        </w:tc>
        <w:tc>
          <w:tcPr>
            <w:tcW w:w="1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1/14/2016</w:t>
            </w:r>
          </w:p>
        </w:tc>
        <w:tc>
          <w:tcPr>
            <w:tcW w:w="1400" w:type="dxa"/>
            <w:vAlign w:val="bottom"/>
          </w:tcPr>
          <w:p>
            <w:pPr>
              <w:ind w:left="20"/>
              <w:spacing w:after="0"/>
              <w:rPr>
                <w:sz w:val="20"/>
                <w:szCs w:val="20"/>
                <w:color w:val="auto"/>
              </w:rPr>
            </w:pPr>
            <w:r>
              <w:rPr>
                <w:rFonts w:ascii="Arial" w:cs="Arial" w:eastAsia="Arial" w:hAnsi="Arial"/>
                <w:sz w:val="16"/>
                <w:szCs w:val="16"/>
                <w:color w:val="auto"/>
              </w:rPr>
              <w:t>Austin / Slaughter</w:t>
            </w:r>
          </w:p>
        </w:tc>
        <w:tc>
          <w:tcPr>
            <w:tcW w:w="120" w:type="dxa"/>
            <w:vAlign w:val="bottom"/>
          </w:tcPr>
          <w:p>
            <w:pPr>
              <w:spacing w:after="0"/>
              <w:rPr>
                <w:sz w:val="21"/>
                <w:szCs w:val="21"/>
                <w:color w:val="auto"/>
              </w:rPr>
            </w:pPr>
          </w:p>
        </w:tc>
        <w:tc>
          <w:tcPr>
            <w:tcW w:w="400" w:type="dxa"/>
            <w:vAlign w:val="bottom"/>
            <w:vMerge w:val="restart"/>
          </w:tcPr>
          <w:p>
            <w:pPr>
              <w:ind w:left="100"/>
              <w:spacing w:after="0"/>
              <w:rPr>
                <w:sz w:val="20"/>
                <w:szCs w:val="20"/>
                <w:color w:val="auto"/>
              </w:rPr>
            </w:pPr>
            <w:r>
              <w:rPr>
                <w:rFonts w:ascii="Arial" w:cs="Arial" w:eastAsia="Arial" w:hAnsi="Arial"/>
                <w:sz w:val="16"/>
                <w:szCs w:val="16"/>
                <w:color w:val="auto"/>
              </w:rPr>
              <w:t>TX</w:t>
            </w:r>
          </w:p>
        </w:tc>
        <w:tc>
          <w:tcPr>
            <w:tcW w:w="100" w:type="dxa"/>
            <w:vAlign w:val="bottom"/>
          </w:tcPr>
          <w:p>
            <w:pPr>
              <w:spacing w:after="0"/>
              <w:rPr>
                <w:sz w:val="21"/>
                <w:szCs w:val="21"/>
                <w:color w:val="auto"/>
              </w:rPr>
            </w:pPr>
          </w:p>
        </w:tc>
        <w:tc>
          <w:tcPr>
            <w:tcW w:w="54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Creek Dr</w:t>
            </w:r>
          </w:p>
        </w:tc>
        <w:tc>
          <w:tcPr>
            <w:tcW w:w="1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4/14/2015</w:t>
            </w:r>
          </w:p>
        </w:tc>
        <w:tc>
          <w:tcPr>
            <w:tcW w:w="1400" w:type="dxa"/>
            <w:vAlign w:val="bottom"/>
          </w:tcPr>
          <w:p>
            <w:pPr>
              <w:ind w:left="20"/>
              <w:spacing w:after="0"/>
              <w:rPr>
                <w:sz w:val="20"/>
                <w:szCs w:val="20"/>
                <w:color w:val="auto"/>
              </w:rPr>
            </w:pPr>
            <w:r>
              <w:rPr>
                <w:rFonts w:ascii="Arial" w:cs="Arial" w:eastAsia="Arial" w:hAnsi="Arial"/>
                <w:sz w:val="16"/>
                <w:szCs w:val="16"/>
                <w:color w:val="auto"/>
              </w:rPr>
              <w:t>Baytown</w:t>
            </w:r>
          </w:p>
        </w:tc>
        <w:tc>
          <w:tcPr>
            <w:tcW w:w="120" w:type="dxa"/>
            <w:vAlign w:val="bottom"/>
          </w:tcPr>
          <w:p>
            <w:pPr>
              <w:spacing w:after="0"/>
              <w:rPr>
                <w:sz w:val="22"/>
                <w:szCs w:val="22"/>
                <w:color w:val="auto"/>
              </w:rPr>
            </w:pPr>
          </w:p>
        </w:tc>
        <w:tc>
          <w:tcPr>
            <w:tcW w:w="400" w:type="dxa"/>
            <w:vAlign w:val="bottom"/>
          </w:tcPr>
          <w:p>
            <w:pPr>
              <w:ind w:left="100"/>
              <w:spacing w:after="0"/>
              <w:rPr>
                <w:sz w:val="20"/>
                <w:szCs w:val="20"/>
                <w:color w:val="auto"/>
              </w:rPr>
            </w:pPr>
            <w:r>
              <w:rPr>
                <w:rFonts w:ascii="Arial" w:cs="Arial" w:eastAsia="Arial" w:hAnsi="Arial"/>
                <w:sz w:val="16"/>
                <w:szCs w:val="16"/>
                <w:color w:val="auto"/>
              </w:rPr>
              <w:t>TX</w:t>
            </w:r>
          </w:p>
        </w:tc>
        <w:tc>
          <w:tcPr>
            <w:tcW w:w="64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6,486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1/14/2016</w:t>
            </w:r>
          </w:p>
        </w:tc>
        <w:tc>
          <w:tcPr>
            <w:tcW w:w="1400" w:type="dxa"/>
            <w:vAlign w:val="bottom"/>
          </w:tcPr>
          <w:p>
            <w:pPr>
              <w:ind w:left="20"/>
              <w:spacing w:after="0"/>
              <w:rPr>
                <w:sz w:val="20"/>
                <w:szCs w:val="20"/>
                <w:color w:val="auto"/>
              </w:rPr>
            </w:pPr>
            <w:r>
              <w:rPr>
                <w:rFonts w:ascii="Arial" w:cs="Arial" w:eastAsia="Arial" w:hAnsi="Arial"/>
                <w:sz w:val="16"/>
                <w:szCs w:val="16"/>
                <w:color w:val="auto"/>
              </w:rPr>
              <w:t>Belton</w:t>
            </w:r>
          </w:p>
        </w:tc>
        <w:tc>
          <w:tcPr>
            <w:tcW w:w="120" w:type="dxa"/>
            <w:vAlign w:val="bottom"/>
          </w:tcPr>
          <w:p>
            <w:pPr>
              <w:spacing w:after="0"/>
              <w:rPr>
                <w:sz w:val="23"/>
                <w:szCs w:val="23"/>
                <w:color w:val="auto"/>
              </w:rPr>
            </w:pPr>
          </w:p>
        </w:tc>
        <w:tc>
          <w:tcPr>
            <w:tcW w:w="400" w:type="dxa"/>
            <w:vAlign w:val="bottom"/>
          </w:tcPr>
          <w:p>
            <w:pPr>
              <w:ind w:left="100"/>
              <w:spacing w:after="0"/>
              <w:rPr>
                <w:sz w:val="20"/>
                <w:szCs w:val="20"/>
                <w:color w:val="auto"/>
              </w:rPr>
            </w:pPr>
            <w:r>
              <w:rPr>
                <w:rFonts w:ascii="Arial" w:cs="Arial" w:eastAsia="Arial" w:hAnsi="Arial"/>
                <w:sz w:val="16"/>
                <w:szCs w:val="16"/>
                <w:color w:val="auto"/>
              </w:rPr>
              <w:t>TX</w:t>
            </w:r>
          </w:p>
        </w:tc>
        <w:tc>
          <w:tcPr>
            <w:tcW w:w="10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1/14/2016</w:t>
            </w:r>
          </w:p>
        </w:tc>
        <w:tc>
          <w:tcPr>
            <w:tcW w:w="1400" w:type="dxa"/>
            <w:vAlign w:val="bottom"/>
          </w:tcPr>
          <w:p>
            <w:pPr>
              <w:ind w:left="20"/>
              <w:spacing w:after="0"/>
              <w:rPr>
                <w:sz w:val="20"/>
                <w:szCs w:val="20"/>
                <w:color w:val="auto"/>
              </w:rPr>
            </w:pPr>
            <w:r>
              <w:rPr>
                <w:rFonts w:ascii="Arial" w:cs="Arial" w:eastAsia="Arial" w:hAnsi="Arial"/>
                <w:sz w:val="16"/>
                <w:szCs w:val="16"/>
                <w:color w:val="auto"/>
              </w:rPr>
              <w:t>Cedar Park</w:t>
            </w:r>
          </w:p>
        </w:tc>
        <w:tc>
          <w:tcPr>
            <w:tcW w:w="120" w:type="dxa"/>
            <w:vAlign w:val="bottom"/>
          </w:tcPr>
          <w:p>
            <w:pPr>
              <w:spacing w:after="0"/>
              <w:rPr>
                <w:sz w:val="23"/>
                <w:szCs w:val="23"/>
                <w:color w:val="auto"/>
              </w:rPr>
            </w:pPr>
          </w:p>
        </w:tc>
        <w:tc>
          <w:tcPr>
            <w:tcW w:w="400" w:type="dxa"/>
            <w:vAlign w:val="bottom"/>
          </w:tcPr>
          <w:p>
            <w:pPr>
              <w:ind w:left="100"/>
              <w:spacing w:after="0"/>
              <w:rPr>
                <w:sz w:val="20"/>
                <w:szCs w:val="20"/>
                <w:color w:val="auto"/>
              </w:rPr>
            </w:pPr>
            <w:r>
              <w:rPr>
                <w:rFonts w:ascii="Arial" w:cs="Arial" w:eastAsia="Arial" w:hAnsi="Arial"/>
                <w:sz w:val="16"/>
                <w:szCs w:val="16"/>
                <w:color w:val="auto"/>
              </w:rPr>
              <w:t>TX</w:t>
            </w:r>
          </w:p>
        </w:tc>
        <w:tc>
          <w:tcPr>
            <w:tcW w:w="10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4/15/2015</w:t>
            </w:r>
          </w:p>
        </w:tc>
        <w:tc>
          <w:tcPr>
            <w:tcW w:w="1400" w:type="dxa"/>
            <w:vAlign w:val="bottom"/>
          </w:tcPr>
          <w:p>
            <w:pPr>
              <w:ind w:left="20"/>
              <w:spacing w:after="0"/>
              <w:rPr>
                <w:sz w:val="20"/>
                <w:szCs w:val="20"/>
                <w:color w:val="auto"/>
              </w:rPr>
            </w:pPr>
            <w:r>
              <w:rPr>
                <w:rFonts w:ascii="Arial" w:cs="Arial" w:eastAsia="Arial" w:hAnsi="Arial"/>
                <w:sz w:val="16"/>
                <w:szCs w:val="16"/>
                <w:color w:val="auto"/>
              </w:rPr>
              <w:t>Coppell / Belt Line</w:t>
            </w:r>
          </w:p>
        </w:tc>
        <w:tc>
          <w:tcPr>
            <w:tcW w:w="120" w:type="dxa"/>
            <w:vAlign w:val="bottom"/>
          </w:tcPr>
          <w:p>
            <w:pPr>
              <w:spacing w:after="0"/>
              <w:rPr>
                <w:sz w:val="23"/>
                <w:szCs w:val="23"/>
                <w:color w:val="auto"/>
              </w:rPr>
            </w:pPr>
          </w:p>
        </w:tc>
        <w:tc>
          <w:tcPr>
            <w:tcW w:w="400" w:type="dxa"/>
            <w:vAlign w:val="bottom"/>
            <w:vMerge w:val="restart"/>
          </w:tcPr>
          <w:p>
            <w:pPr>
              <w:ind w:left="100"/>
              <w:spacing w:after="0"/>
              <w:rPr>
                <w:sz w:val="20"/>
                <w:szCs w:val="20"/>
                <w:color w:val="auto"/>
              </w:rPr>
            </w:pPr>
            <w:r>
              <w:rPr>
                <w:rFonts w:ascii="Arial" w:cs="Arial" w:eastAsia="Arial" w:hAnsi="Arial"/>
                <w:sz w:val="16"/>
                <w:szCs w:val="16"/>
                <w:color w:val="auto"/>
              </w:rPr>
              <w:t>TX</w:t>
            </w:r>
          </w:p>
        </w:tc>
        <w:tc>
          <w:tcPr>
            <w:tcW w:w="64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89"/>
              </w:rPr>
              <w:t>4,295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Rd</w:t>
            </w:r>
          </w:p>
        </w:tc>
        <w:tc>
          <w:tcPr>
            <w:tcW w:w="1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400" w:type="dxa"/>
            <w:vAlign w:val="bottom"/>
          </w:tcPr>
          <w:p>
            <w:pPr>
              <w:ind w:left="20"/>
              <w:spacing w:after="0"/>
              <w:rPr>
                <w:sz w:val="20"/>
                <w:szCs w:val="20"/>
                <w:color w:val="auto"/>
              </w:rPr>
            </w:pPr>
            <w:r>
              <w:rPr>
                <w:rFonts w:ascii="Arial" w:cs="Arial" w:eastAsia="Arial" w:hAnsi="Arial"/>
                <w:sz w:val="16"/>
                <w:szCs w:val="16"/>
                <w:color w:val="auto"/>
              </w:rPr>
              <w:t>Coppell / Denton</w:t>
            </w:r>
          </w:p>
        </w:tc>
        <w:tc>
          <w:tcPr>
            <w:tcW w:w="120" w:type="dxa"/>
            <w:vAlign w:val="bottom"/>
          </w:tcPr>
          <w:p>
            <w:pPr>
              <w:spacing w:after="0"/>
              <w:rPr>
                <w:sz w:val="21"/>
                <w:szCs w:val="21"/>
                <w:color w:val="auto"/>
              </w:rPr>
            </w:pPr>
          </w:p>
        </w:tc>
        <w:tc>
          <w:tcPr>
            <w:tcW w:w="400" w:type="dxa"/>
            <w:vAlign w:val="bottom"/>
            <w:vMerge w:val="restart"/>
          </w:tcPr>
          <w:p>
            <w:pPr>
              <w:ind w:left="100"/>
              <w:spacing w:after="0"/>
              <w:rPr>
                <w:sz w:val="20"/>
                <w:szCs w:val="20"/>
                <w:color w:val="auto"/>
              </w:rPr>
            </w:pPr>
            <w:r>
              <w:rPr>
                <w:rFonts w:ascii="Arial" w:cs="Arial" w:eastAsia="Arial" w:hAnsi="Arial"/>
                <w:sz w:val="16"/>
                <w:szCs w:val="16"/>
                <w:color w:val="auto"/>
              </w:rPr>
              <w:t>TX</w:t>
            </w:r>
          </w:p>
        </w:tc>
        <w:tc>
          <w:tcPr>
            <w:tcW w:w="100" w:type="dxa"/>
            <w:vAlign w:val="bottom"/>
          </w:tcPr>
          <w:p>
            <w:pPr>
              <w:spacing w:after="0"/>
              <w:rPr>
                <w:sz w:val="21"/>
                <w:szCs w:val="21"/>
                <w:color w:val="auto"/>
              </w:rPr>
            </w:pPr>
          </w:p>
        </w:tc>
        <w:tc>
          <w:tcPr>
            <w:tcW w:w="54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Tap Rd</w:t>
            </w:r>
          </w:p>
        </w:tc>
        <w:tc>
          <w:tcPr>
            <w:tcW w:w="1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4/15/2015</w:t>
            </w:r>
          </w:p>
        </w:tc>
        <w:tc>
          <w:tcPr>
            <w:tcW w:w="1400" w:type="dxa"/>
            <w:vAlign w:val="bottom"/>
          </w:tcPr>
          <w:p>
            <w:pPr>
              <w:ind w:left="20"/>
              <w:spacing w:after="0"/>
              <w:rPr>
                <w:sz w:val="20"/>
                <w:szCs w:val="20"/>
                <w:color w:val="auto"/>
              </w:rPr>
            </w:pPr>
            <w:r>
              <w:rPr>
                <w:rFonts w:ascii="Arial" w:cs="Arial" w:eastAsia="Arial" w:hAnsi="Arial"/>
                <w:sz w:val="16"/>
                <w:szCs w:val="16"/>
                <w:color w:val="auto"/>
              </w:rPr>
              <w:t>Dallas / Clark Rd</w:t>
            </w:r>
          </w:p>
        </w:tc>
        <w:tc>
          <w:tcPr>
            <w:tcW w:w="120" w:type="dxa"/>
            <w:vAlign w:val="bottom"/>
          </w:tcPr>
          <w:p>
            <w:pPr>
              <w:spacing w:after="0"/>
              <w:rPr>
                <w:sz w:val="22"/>
                <w:szCs w:val="22"/>
                <w:color w:val="auto"/>
              </w:rPr>
            </w:pPr>
          </w:p>
        </w:tc>
        <w:tc>
          <w:tcPr>
            <w:tcW w:w="400" w:type="dxa"/>
            <w:vAlign w:val="bottom"/>
          </w:tcPr>
          <w:p>
            <w:pPr>
              <w:ind w:left="100"/>
              <w:spacing w:after="0"/>
              <w:rPr>
                <w:sz w:val="20"/>
                <w:szCs w:val="20"/>
                <w:color w:val="auto"/>
              </w:rPr>
            </w:pPr>
            <w:r>
              <w:rPr>
                <w:rFonts w:ascii="Arial" w:cs="Arial" w:eastAsia="Arial" w:hAnsi="Arial"/>
                <w:sz w:val="16"/>
                <w:szCs w:val="16"/>
                <w:color w:val="auto"/>
              </w:rPr>
              <w:t>TX</w:t>
            </w:r>
          </w:p>
        </w:tc>
        <w:tc>
          <w:tcPr>
            <w:tcW w:w="64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4,910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8/26/2004</w:t>
            </w:r>
          </w:p>
        </w:tc>
        <w:tc>
          <w:tcPr>
            <w:tcW w:w="1400" w:type="dxa"/>
            <w:vAlign w:val="bottom"/>
          </w:tcPr>
          <w:p>
            <w:pPr>
              <w:ind w:left="20"/>
              <w:spacing w:after="0"/>
              <w:rPr>
                <w:sz w:val="20"/>
                <w:szCs w:val="20"/>
                <w:color w:val="auto"/>
              </w:rPr>
            </w:pPr>
            <w:r>
              <w:rPr>
                <w:rFonts w:ascii="Arial" w:cs="Arial" w:eastAsia="Arial" w:hAnsi="Arial"/>
                <w:sz w:val="16"/>
                <w:szCs w:val="16"/>
                <w:color w:val="auto"/>
                <w:w w:val="93"/>
              </w:rPr>
              <w:t>Dallas / E Northwest</w:t>
            </w:r>
          </w:p>
        </w:tc>
        <w:tc>
          <w:tcPr>
            <w:tcW w:w="120" w:type="dxa"/>
            <w:vAlign w:val="bottom"/>
          </w:tcPr>
          <w:p>
            <w:pPr>
              <w:spacing w:after="0"/>
              <w:rPr>
                <w:sz w:val="23"/>
                <w:szCs w:val="23"/>
                <w:color w:val="auto"/>
              </w:rPr>
            </w:pPr>
          </w:p>
        </w:tc>
        <w:tc>
          <w:tcPr>
            <w:tcW w:w="400" w:type="dxa"/>
            <w:vAlign w:val="bottom"/>
            <w:vMerge w:val="restart"/>
          </w:tcPr>
          <w:p>
            <w:pPr>
              <w:ind w:left="100"/>
              <w:spacing w:after="0"/>
              <w:rPr>
                <w:sz w:val="20"/>
                <w:szCs w:val="20"/>
                <w:color w:val="auto"/>
              </w:rPr>
            </w:pPr>
            <w:r>
              <w:rPr>
                <w:rFonts w:ascii="Arial" w:cs="Arial" w:eastAsia="Arial" w:hAnsi="Arial"/>
                <w:sz w:val="16"/>
                <w:szCs w:val="16"/>
                <w:color w:val="auto"/>
              </w:rPr>
              <w:t>TX</w:t>
            </w:r>
          </w:p>
        </w:tc>
        <w:tc>
          <w:tcPr>
            <w:tcW w:w="64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3"/>
              </w:rPr>
              <w:t>15,213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Hwy</w:t>
            </w:r>
          </w:p>
        </w:tc>
        <w:tc>
          <w:tcPr>
            <w:tcW w:w="1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4/13/2006</w:t>
            </w:r>
          </w:p>
        </w:tc>
        <w:tc>
          <w:tcPr>
            <w:tcW w:w="1400" w:type="dxa"/>
            <w:vAlign w:val="bottom"/>
          </w:tcPr>
          <w:p>
            <w:pPr>
              <w:ind w:left="20"/>
              <w:spacing w:after="0"/>
              <w:rPr>
                <w:sz w:val="20"/>
                <w:szCs w:val="20"/>
                <w:color w:val="auto"/>
              </w:rPr>
            </w:pPr>
            <w:r>
              <w:rPr>
                <w:rFonts w:ascii="Arial" w:cs="Arial" w:eastAsia="Arial" w:hAnsi="Arial"/>
                <w:sz w:val="16"/>
                <w:szCs w:val="16"/>
                <w:color w:val="auto"/>
                <w:w w:val="97"/>
              </w:rPr>
              <w:t>Dallas / Garland Rd</w:t>
            </w:r>
          </w:p>
        </w:tc>
        <w:tc>
          <w:tcPr>
            <w:tcW w:w="120" w:type="dxa"/>
            <w:vAlign w:val="bottom"/>
          </w:tcPr>
          <w:p>
            <w:pPr>
              <w:spacing w:after="0"/>
              <w:rPr>
                <w:sz w:val="22"/>
                <w:szCs w:val="22"/>
                <w:color w:val="auto"/>
              </w:rPr>
            </w:pPr>
          </w:p>
        </w:tc>
        <w:tc>
          <w:tcPr>
            <w:tcW w:w="400" w:type="dxa"/>
            <w:vAlign w:val="bottom"/>
          </w:tcPr>
          <w:p>
            <w:pPr>
              <w:ind w:left="100"/>
              <w:spacing w:after="0"/>
              <w:rPr>
                <w:sz w:val="20"/>
                <w:szCs w:val="20"/>
                <w:color w:val="auto"/>
              </w:rPr>
            </w:pPr>
            <w:r>
              <w:rPr>
                <w:rFonts w:ascii="Arial" w:cs="Arial" w:eastAsia="Arial" w:hAnsi="Arial"/>
                <w:sz w:val="16"/>
                <w:szCs w:val="16"/>
                <w:color w:val="auto"/>
              </w:rPr>
              <w:t>TX</w:t>
            </w:r>
          </w:p>
        </w:tc>
        <w:tc>
          <w:tcPr>
            <w:tcW w:w="64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4,475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4/15/2015</w:t>
            </w:r>
          </w:p>
        </w:tc>
        <w:tc>
          <w:tcPr>
            <w:tcW w:w="1400" w:type="dxa"/>
            <w:vAlign w:val="bottom"/>
          </w:tcPr>
          <w:p>
            <w:pPr>
              <w:ind w:left="20"/>
              <w:spacing w:after="0"/>
              <w:rPr>
                <w:sz w:val="20"/>
                <w:szCs w:val="20"/>
                <w:color w:val="auto"/>
              </w:rPr>
            </w:pPr>
            <w:r>
              <w:rPr>
                <w:rFonts w:ascii="Arial" w:cs="Arial" w:eastAsia="Arial" w:hAnsi="Arial"/>
                <w:sz w:val="16"/>
                <w:szCs w:val="16"/>
                <w:color w:val="auto"/>
                <w:w w:val="95"/>
              </w:rPr>
              <w:t>Dallas / Haskell Ave</w:t>
            </w:r>
          </w:p>
        </w:tc>
        <w:tc>
          <w:tcPr>
            <w:tcW w:w="120" w:type="dxa"/>
            <w:vAlign w:val="bottom"/>
          </w:tcPr>
          <w:p>
            <w:pPr>
              <w:spacing w:after="0"/>
              <w:rPr>
                <w:sz w:val="23"/>
                <w:szCs w:val="23"/>
                <w:color w:val="auto"/>
              </w:rPr>
            </w:pPr>
          </w:p>
        </w:tc>
        <w:tc>
          <w:tcPr>
            <w:tcW w:w="400" w:type="dxa"/>
            <w:vAlign w:val="bottom"/>
          </w:tcPr>
          <w:p>
            <w:pPr>
              <w:ind w:left="100"/>
              <w:spacing w:after="0"/>
              <w:rPr>
                <w:sz w:val="20"/>
                <w:szCs w:val="20"/>
                <w:color w:val="auto"/>
              </w:rPr>
            </w:pPr>
            <w:r>
              <w:rPr>
                <w:rFonts w:ascii="Arial" w:cs="Arial" w:eastAsia="Arial" w:hAnsi="Arial"/>
                <w:sz w:val="16"/>
                <w:szCs w:val="16"/>
                <w:color w:val="auto"/>
              </w:rPr>
              <w:t>TX</w:t>
            </w:r>
          </w:p>
        </w:tc>
        <w:tc>
          <w:tcPr>
            <w:tcW w:w="10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spacing w:after="0"/>
              <w:rPr>
                <w:sz w:val="20"/>
                <w:szCs w:val="20"/>
                <w:color w:val="auto"/>
              </w:rPr>
            </w:pPr>
            <w:r>
              <w:rPr>
                <w:rFonts w:ascii="Arial" w:cs="Arial" w:eastAsia="Arial" w:hAnsi="Arial"/>
                <w:sz w:val="16"/>
                <w:szCs w:val="16"/>
                <w:color w:val="auto"/>
                <w:w w:val="89"/>
              </w:rPr>
              <w:t>5/4/2006</w:t>
            </w:r>
          </w:p>
        </w:tc>
        <w:tc>
          <w:tcPr>
            <w:tcW w:w="1400" w:type="dxa"/>
            <w:vAlign w:val="bottom"/>
          </w:tcPr>
          <w:p>
            <w:pPr>
              <w:ind w:left="20"/>
              <w:spacing w:after="0"/>
              <w:rPr>
                <w:sz w:val="20"/>
                <w:szCs w:val="20"/>
                <w:color w:val="auto"/>
              </w:rPr>
            </w:pPr>
            <w:r>
              <w:rPr>
                <w:rFonts w:ascii="Arial" w:cs="Arial" w:eastAsia="Arial" w:hAnsi="Arial"/>
                <w:sz w:val="16"/>
                <w:szCs w:val="16"/>
                <w:color w:val="auto"/>
              </w:rPr>
              <w:t>Dallas / Inwood Rd</w:t>
            </w:r>
          </w:p>
        </w:tc>
        <w:tc>
          <w:tcPr>
            <w:tcW w:w="120" w:type="dxa"/>
            <w:vAlign w:val="bottom"/>
          </w:tcPr>
          <w:p>
            <w:pPr>
              <w:spacing w:after="0"/>
              <w:rPr>
                <w:sz w:val="23"/>
                <w:szCs w:val="23"/>
                <w:color w:val="auto"/>
              </w:rPr>
            </w:pPr>
          </w:p>
        </w:tc>
        <w:tc>
          <w:tcPr>
            <w:tcW w:w="400" w:type="dxa"/>
            <w:vAlign w:val="bottom"/>
          </w:tcPr>
          <w:p>
            <w:pPr>
              <w:ind w:left="100"/>
              <w:spacing w:after="0"/>
              <w:rPr>
                <w:sz w:val="20"/>
                <w:szCs w:val="20"/>
                <w:color w:val="auto"/>
              </w:rPr>
            </w:pPr>
            <w:r>
              <w:rPr>
                <w:rFonts w:ascii="Arial" w:cs="Arial" w:eastAsia="Arial" w:hAnsi="Arial"/>
                <w:sz w:val="16"/>
                <w:szCs w:val="16"/>
                <w:color w:val="auto"/>
              </w:rPr>
              <w:t>TX</w:t>
            </w:r>
          </w:p>
        </w:tc>
        <w:tc>
          <w:tcPr>
            <w:tcW w:w="64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13,330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4/15/2015</w:t>
            </w:r>
          </w:p>
        </w:tc>
        <w:tc>
          <w:tcPr>
            <w:tcW w:w="1400" w:type="dxa"/>
            <w:vAlign w:val="bottom"/>
          </w:tcPr>
          <w:p>
            <w:pPr>
              <w:ind w:left="20"/>
              <w:spacing w:after="0"/>
              <w:rPr>
                <w:sz w:val="20"/>
                <w:szCs w:val="20"/>
                <w:color w:val="auto"/>
              </w:rPr>
            </w:pPr>
            <w:r>
              <w:rPr>
                <w:rFonts w:ascii="Arial" w:cs="Arial" w:eastAsia="Arial" w:hAnsi="Arial"/>
                <w:sz w:val="16"/>
                <w:szCs w:val="16"/>
                <w:color w:val="auto"/>
              </w:rPr>
              <w:t>Dallas / Lyndon B</w:t>
            </w:r>
          </w:p>
        </w:tc>
        <w:tc>
          <w:tcPr>
            <w:tcW w:w="120" w:type="dxa"/>
            <w:vAlign w:val="bottom"/>
          </w:tcPr>
          <w:p>
            <w:pPr>
              <w:spacing w:after="0"/>
              <w:rPr>
                <w:sz w:val="23"/>
                <w:szCs w:val="23"/>
                <w:color w:val="auto"/>
              </w:rPr>
            </w:pPr>
          </w:p>
        </w:tc>
        <w:tc>
          <w:tcPr>
            <w:tcW w:w="400" w:type="dxa"/>
            <w:vAlign w:val="bottom"/>
            <w:vMerge w:val="restart"/>
          </w:tcPr>
          <w:p>
            <w:pPr>
              <w:ind w:left="100"/>
              <w:spacing w:after="0"/>
              <w:rPr>
                <w:sz w:val="20"/>
                <w:szCs w:val="20"/>
                <w:color w:val="auto"/>
              </w:rPr>
            </w:pPr>
            <w:r>
              <w:rPr>
                <w:rFonts w:ascii="Arial" w:cs="Arial" w:eastAsia="Arial" w:hAnsi="Arial"/>
                <w:sz w:val="16"/>
                <w:szCs w:val="16"/>
                <w:color w:val="auto"/>
              </w:rPr>
              <w:t>TX</w:t>
            </w:r>
          </w:p>
        </w:tc>
        <w:tc>
          <w:tcPr>
            <w:tcW w:w="64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89"/>
              </w:rPr>
              <w:t>4,546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Johnson Freeway</w:t>
            </w:r>
          </w:p>
        </w:tc>
        <w:tc>
          <w:tcPr>
            <w:tcW w:w="1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11/1/2013</w:t>
            </w:r>
          </w:p>
        </w:tc>
        <w:tc>
          <w:tcPr>
            <w:tcW w:w="1400" w:type="dxa"/>
            <w:vAlign w:val="bottom"/>
          </w:tcPr>
          <w:p>
            <w:pPr>
              <w:ind w:left="20"/>
              <w:spacing w:after="0"/>
              <w:rPr>
                <w:sz w:val="20"/>
                <w:szCs w:val="20"/>
                <w:color w:val="auto"/>
              </w:rPr>
            </w:pPr>
            <w:r>
              <w:rPr>
                <w:rFonts w:ascii="Arial" w:cs="Arial" w:eastAsia="Arial" w:hAnsi="Arial"/>
                <w:sz w:val="16"/>
                <w:szCs w:val="16"/>
                <w:color w:val="auto"/>
              </w:rPr>
              <w:t>Dallas / N Central</w:t>
            </w:r>
          </w:p>
        </w:tc>
        <w:tc>
          <w:tcPr>
            <w:tcW w:w="120" w:type="dxa"/>
            <w:vAlign w:val="bottom"/>
          </w:tcPr>
          <w:p>
            <w:pPr>
              <w:spacing w:after="0"/>
              <w:rPr>
                <w:sz w:val="21"/>
                <w:szCs w:val="21"/>
                <w:color w:val="auto"/>
              </w:rPr>
            </w:pPr>
          </w:p>
        </w:tc>
        <w:tc>
          <w:tcPr>
            <w:tcW w:w="400" w:type="dxa"/>
            <w:vAlign w:val="bottom"/>
            <w:vMerge w:val="restart"/>
          </w:tcPr>
          <w:p>
            <w:pPr>
              <w:ind w:left="100"/>
              <w:spacing w:after="0"/>
              <w:rPr>
                <w:sz w:val="20"/>
                <w:szCs w:val="20"/>
                <w:color w:val="auto"/>
              </w:rPr>
            </w:pPr>
            <w:r>
              <w:rPr>
                <w:rFonts w:ascii="Arial" w:cs="Arial" w:eastAsia="Arial" w:hAnsi="Arial"/>
                <w:sz w:val="16"/>
                <w:szCs w:val="16"/>
                <w:color w:val="auto"/>
              </w:rPr>
              <w:t>TX</w:t>
            </w:r>
          </w:p>
        </w:tc>
        <w:tc>
          <w:tcPr>
            <w:tcW w:w="64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3"/>
              </w:rPr>
              <w:t>16,794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Expressway</w:t>
            </w:r>
          </w:p>
        </w:tc>
        <w:tc>
          <w:tcPr>
            <w:tcW w:w="1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7/2/2012</w:t>
            </w:r>
          </w:p>
        </w:tc>
        <w:tc>
          <w:tcPr>
            <w:tcW w:w="1400" w:type="dxa"/>
            <w:vAlign w:val="bottom"/>
          </w:tcPr>
          <w:p>
            <w:pPr>
              <w:ind w:left="20"/>
              <w:spacing w:after="0"/>
              <w:rPr>
                <w:sz w:val="20"/>
                <w:szCs w:val="20"/>
                <w:color w:val="auto"/>
              </w:rPr>
            </w:pPr>
            <w:r>
              <w:rPr>
                <w:rFonts w:ascii="Arial" w:cs="Arial" w:eastAsia="Arial" w:hAnsi="Arial"/>
                <w:sz w:val="16"/>
                <w:szCs w:val="16"/>
                <w:color w:val="auto"/>
                <w:w w:val="98"/>
              </w:rPr>
              <w:t>Dallas / Preston Rd</w:t>
            </w:r>
          </w:p>
        </w:tc>
        <w:tc>
          <w:tcPr>
            <w:tcW w:w="120" w:type="dxa"/>
            <w:vAlign w:val="bottom"/>
          </w:tcPr>
          <w:p>
            <w:pPr>
              <w:spacing w:after="0"/>
              <w:rPr>
                <w:sz w:val="21"/>
                <w:szCs w:val="21"/>
                <w:color w:val="auto"/>
              </w:rPr>
            </w:pPr>
          </w:p>
        </w:tc>
        <w:tc>
          <w:tcPr>
            <w:tcW w:w="400" w:type="dxa"/>
            <w:vAlign w:val="bottom"/>
            <w:vMerge w:val="restart"/>
          </w:tcPr>
          <w:p>
            <w:pPr>
              <w:ind w:left="100"/>
              <w:spacing w:after="0"/>
              <w:rPr>
                <w:sz w:val="20"/>
                <w:szCs w:val="20"/>
                <w:color w:val="auto"/>
              </w:rPr>
            </w:pPr>
            <w:r>
              <w:rPr>
                <w:rFonts w:ascii="Arial" w:cs="Arial" w:eastAsia="Arial" w:hAnsi="Arial"/>
                <w:sz w:val="16"/>
                <w:szCs w:val="16"/>
                <w:color w:val="auto"/>
              </w:rPr>
              <w:t>TX</w:t>
            </w:r>
          </w:p>
        </w:tc>
        <w:tc>
          <w:tcPr>
            <w:tcW w:w="64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89"/>
              </w:rPr>
              <w:t>5,113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8/10/2012</w:t>
            </w:r>
          </w:p>
        </w:tc>
        <w:tc>
          <w:tcPr>
            <w:tcW w:w="1400" w:type="dxa"/>
            <w:vAlign w:val="bottom"/>
          </w:tcPr>
          <w:p>
            <w:pPr>
              <w:ind w:left="20"/>
              <w:spacing w:after="0"/>
              <w:rPr>
                <w:sz w:val="20"/>
                <w:szCs w:val="20"/>
                <w:color w:val="auto"/>
              </w:rPr>
            </w:pPr>
            <w:r>
              <w:rPr>
                <w:rFonts w:ascii="Arial" w:cs="Arial" w:eastAsia="Arial" w:hAnsi="Arial"/>
                <w:sz w:val="16"/>
                <w:szCs w:val="16"/>
                <w:color w:val="auto"/>
                <w:w w:val="98"/>
              </w:rPr>
              <w:t>Dallas / Preston Rd</w:t>
            </w:r>
          </w:p>
        </w:tc>
        <w:tc>
          <w:tcPr>
            <w:tcW w:w="120" w:type="dxa"/>
            <w:vAlign w:val="bottom"/>
          </w:tcPr>
          <w:p>
            <w:pPr>
              <w:spacing w:after="0"/>
              <w:rPr>
                <w:sz w:val="21"/>
                <w:szCs w:val="21"/>
                <w:color w:val="auto"/>
              </w:rPr>
            </w:pPr>
          </w:p>
        </w:tc>
        <w:tc>
          <w:tcPr>
            <w:tcW w:w="400" w:type="dxa"/>
            <w:vAlign w:val="bottom"/>
            <w:vMerge w:val="restart"/>
          </w:tcPr>
          <w:p>
            <w:pPr>
              <w:ind w:left="100"/>
              <w:spacing w:after="0"/>
              <w:rPr>
                <w:sz w:val="20"/>
                <w:szCs w:val="20"/>
                <w:color w:val="auto"/>
              </w:rPr>
            </w:pPr>
            <w:r>
              <w:rPr>
                <w:rFonts w:ascii="Arial" w:cs="Arial" w:eastAsia="Arial" w:hAnsi="Arial"/>
                <w:sz w:val="16"/>
                <w:szCs w:val="16"/>
                <w:color w:val="auto"/>
              </w:rPr>
              <w:t>TX</w:t>
            </w:r>
          </w:p>
        </w:tc>
        <w:tc>
          <w:tcPr>
            <w:tcW w:w="64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89"/>
              </w:rPr>
              <w:t>4,278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4/15/2015</w:t>
            </w:r>
          </w:p>
        </w:tc>
        <w:tc>
          <w:tcPr>
            <w:tcW w:w="1400" w:type="dxa"/>
            <w:vAlign w:val="bottom"/>
          </w:tcPr>
          <w:p>
            <w:pPr>
              <w:ind w:left="20"/>
              <w:spacing w:after="0"/>
              <w:rPr>
                <w:sz w:val="20"/>
                <w:szCs w:val="20"/>
                <w:color w:val="auto"/>
              </w:rPr>
            </w:pPr>
            <w:r>
              <w:rPr>
                <w:rFonts w:ascii="Arial" w:cs="Arial" w:eastAsia="Arial" w:hAnsi="Arial"/>
                <w:sz w:val="16"/>
                <w:szCs w:val="16"/>
                <w:color w:val="auto"/>
              </w:rPr>
              <w:t>Dallas / Shiloh Rd</w:t>
            </w:r>
          </w:p>
        </w:tc>
        <w:tc>
          <w:tcPr>
            <w:tcW w:w="120" w:type="dxa"/>
            <w:vAlign w:val="bottom"/>
          </w:tcPr>
          <w:p>
            <w:pPr>
              <w:spacing w:after="0"/>
              <w:rPr>
                <w:sz w:val="22"/>
                <w:szCs w:val="22"/>
                <w:color w:val="auto"/>
              </w:rPr>
            </w:pPr>
          </w:p>
        </w:tc>
        <w:tc>
          <w:tcPr>
            <w:tcW w:w="400" w:type="dxa"/>
            <w:vAlign w:val="bottom"/>
          </w:tcPr>
          <w:p>
            <w:pPr>
              <w:ind w:left="100"/>
              <w:spacing w:after="0"/>
              <w:rPr>
                <w:sz w:val="20"/>
                <w:szCs w:val="20"/>
                <w:color w:val="auto"/>
              </w:rPr>
            </w:pPr>
            <w:r>
              <w:rPr>
                <w:rFonts w:ascii="Arial" w:cs="Arial" w:eastAsia="Arial" w:hAnsi="Arial"/>
                <w:sz w:val="16"/>
                <w:szCs w:val="16"/>
                <w:color w:val="auto"/>
              </w:rPr>
              <w:t>TX</w:t>
            </w:r>
          </w:p>
        </w:tc>
        <w:tc>
          <w:tcPr>
            <w:tcW w:w="64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3,243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400" w:type="dxa"/>
            <w:vAlign w:val="bottom"/>
          </w:tcPr>
          <w:p>
            <w:pPr>
              <w:ind w:left="20"/>
              <w:spacing w:after="0"/>
              <w:rPr>
                <w:sz w:val="20"/>
                <w:szCs w:val="20"/>
                <w:color w:val="auto"/>
              </w:rPr>
            </w:pPr>
            <w:r>
              <w:rPr>
                <w:rFonts w:ascii="Arial" w:cs="Arial" w:eastAsia="Arial" w:hAnsi="Arial"/>
                <w:sz w:val="16"/>
                <w:szCs w:val="16"/>
                <w:color w:val="auto"/>
              </w:rPr>
              <w:t>Dallas / W</w:t>
            </w:r>
          </w:p>
        </w:tc>
        <w:tc>
          <w:tcPr>
            <w:tcW w:w="120" w:type="dxa"/>
            <w:vAlign w:val="bottom"/>
          </w:tcPr>
          <w:p>
            <w:pPr>
              <w:spacing w:after="0"/>
              <w:rPr>
                <w:sz w:val="23"/>
                <w:szCs w:val="23"/>
                <w:color w:val="auto"/>
              </w:rPr>
            </w:pPr>
          </w:p>
        </w:tc>
        <w:tc>
          <w:tcPr>
            <w:tcW w:w="400" w:type="dxa"/>
            <w:vAlign w:val="bottom"/>
            <w:vMerge w:val="restart"/>
          </w:tcPr>
          <w:p>
            <w:pPr>
              <w:ind w:left="100"/>
              <w:spacing w:after="0"/>
              <w:rPr>
                <w:sz w:val="20"/>
                <w:szCs w:val="20"/>
                <w:color w:val="auto"/>
              </w:rPr>
            </w:pPr>
            <w:r>
              <w:rPr>
                <w:rFonts w:ascii="Arial" w:cs="Arial" w:eastAsia="Arial" w:hAnsi="Arial"/>
                <w:sz w:val="16"/>
                <w:szCs w:val="16"/>
                <w:color w:val="auto"/>
              </w:rPr>
              <w:t>TX</w:t>
            </w:r>
          </w:p>
        </w:tc>
        <w:tc>
          <w:tcPr>
            <w:tcW w:w="100" w:type="dxa"/>
            <w:vAlign w:val="bottom"/>
          </w:tcPr>
          <w:p>
            <w:pPr>
              <w:spacing w:after="0"/>
              <w:rPr>
                <w:sz w:val="23"/>
                <w:szCs w:val="23"/>
                <w:color w:val="auto"/>
              </w:rPr>
            </w:pPr>
          </w:p>
        </w:tc>
        <w:tc>
          <w:tcPr>
            <w:tcW w:w="54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Northwest Hwy</w:t>
            </w:r>
          </w:p>
        </w:tc>
        <w:tc>
          <w:tcPr>
            <w:tcW w:w="1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4/15/2015</w:t>
            </w:r>
          </w:p>
        </w:tc>
        <w:tc>
          <w:tcPr>
            <w:tcW w:w="1400" w:type="dxa"/>
            <w:vAlign w:val="bottom"/>
          </w:tcPr>
          <w:p>
            <w:pPr>
              <w:ind w:left="20"/>
              <w:spacing w:after="0"/>
              <w:rPr>
                <w:sz w:val="20"/>
                <w:szCs w:val="20"/>
                <w:color w:val="auto"/>
              </w:rPr>
            </w:pPr>
            <w:r>
              <w:rPr>
                <w:rFonts w:ascii="Arial" w:cs="Arial" w:eastAsia="Arial" w:hAnsi="Arial"/>
                <w:sz w:val="16"/>
                <w:szCs w:val="16"/>
                <w:color w:val="auto"/>
              </w:rPr>
              <w:t>Dallas / Walton</w:t>
            </w:r>
          </w:p>
        </w:tc>
        <w:tc>
          <w:tcPr>
            <w:tcW w:w="120" w:type="dxa"/>
            <w:vAlign w:val="bottom"/>
          </w:tcPr>
          <w:p>
            <w:pPr>
              <w:spacing w:after="0"/>
              <w:rPr>
                <w:sz w:val="21"/>
                <w:szCs w:val="21"/>
                <w:color w:val="auto"/>
              </w:rPr>
            </w:pPr>
          </w:p>
        </w:tc>
        <w:tc>
          <w:tcPr>
            <w:tcW w:w="400" w:type="dxa"/>
            <w:vAlign w:val="bottom"/>
            <w:vMerge w:val="restart"/>
          </w:tcPr>
          <w:p>
            <w:pPr>
              <w:ind w:left="100"/>
              <w:spacing w:after="0"/>
              <w:rPr>
                <w:sz w:val="20"/>
                <w:szCs w:val="20"/>
                <w:color w:val="auto"/>
              </w:rPr>
            </w:pPr>
            <w:r>
              <w:rPr>
                <w:rFonts w:ascii="Arial" w:cs="Arial" w:eastAsia="Arial" w:hAnsi="Arial"/>
                <w:sz w:val="16"/>
                <w:szCs w:val="16"/>
                <w:color w:val="auto"/>
              </w:rPr>
              <w:t>TX</w:t>
            </w:r>
          </w:p>
        </w:tc>
        <w:tc>
          <w:tcPr>
            <w:tcW w:w="64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89"/>
              </w:rPr>
              <w:t>2,904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Walker Blvd</w:t>
            </w:r>
          </w:p>
        </w:tc>
        <w:tc>
          <w:tcPr>
            <w:tcW w:w="1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4/15/2015</w:t>
            </w:r>
          </w:p>
        </w:tc>
        <w:tc>
          <w:tcPr>
            <w:tcW w:w="1400" w:type="dxa"/>
            <w:vAlign w:val="bottom"/>
          </w:tcPr>
          <w:p>
            <w:pPr>
              <w:ind w:left="20"/>
              <w:spacing w:after="0"/>
              <w:rPr>
                <w:sz w:val="20"/>
                <w:szCs w:val="20"/>
                <w:color w:val="auto"/>
              </w:rPr>
            </w:pPr>
            <w:r>
              <w:rPr>
                <w:rFonts w:ascii="Arial" w:cs="Arial" w:eastAsia="Arial" w:hAnsi="Arial"/>
                <w:sz w:val="16"/>
                <w:szCs w:val="16"/>
                <w:color w:val="auto"/>
              </w:rPr>
              <w:t>DeSoto</w:t>
            </w:r>
          </w:p>
        </w:tc>
        <w:tc>
          <w:tcPr>
            <w:tcW w:w="120" w:type="dxa"/>
            <w:vAlign w:val="bottom"/>
          </w:tcPr>
          <w:p>
            <w:pPr>
              <w:spacing w:after="0"/>
              <w:rPr>
                <w:sz w:val="22"/>
                <w:szCs w:val="22"/>
                <w:color w:val="auto"/>
              </w:rPr>
            </w:pPr>
          </w:p>
        </w:tc>
        <w:tc>
          <w:tcPr>
            <w:tcW w:w="400" w:type="dxa"/>
            <w:vAlign w:val="bottom"/>
          </w:tcPr>
          <w:p>
            <w:pPr>
              <w:ind w:left="100"/>
              <w:spacing w:after="0"/>
              <w:rPr>
                <w:sz w:val="20"/>
                <w:szCs w:val="20"/>
                <w:color w:val="auto"/>
              </w:rPr>
            </w:pPr>
            <w:r>
              <w:rPr>
                <w:rFonts w:ascii="Arial" w:cs="Arial" w:eastAsia="Arial" w:hAnsi="Arial"/>
                <w:sz w:val="16"/>
                <w:szCs w:val="16"/>
                <w:color w:val="auto"/>
              </w:rPr>
              <w:t>TX</w:t>
            </w:r>
          </w:p>
        </w:tc>
        <w:tc>
          <w:tcPr>
            <w:tcW w:w="64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5,322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4/15/2015</w:t>
            </w:r>
          </w:p>
        </w:tc>
        <w:tc>
          <w:tcPr>
            <w:tcW w:w="1400" w:type="dxa"/>
            <w:vAlign w:val="bottom"/>
          </w:tcPr>
          <w:p>
            <w:pPr>
              <w:ind w:left="20"/>
              <w:spacing w:after="0"/>
              <w:rPr>
                <w:sz w:val="20"/>
                <w:szCs w:val="20"/>
                <w:color w:val="auto"/>
              </w:rPr>
            </w:pPr>
            <w:r>
              <w:rPr>
                <w:rFonts w:ascii="Arial" w:cs="Arial" w:eastAsia="Arial" w:hAnsi="Arial"/>
                <w:sz w:val="16"/>
                <w:szCs w:val="16"/>
                <w:color w:val="auto"/>
              </w:rPr>
              <w:t>Duncanville / E</w:t>
            </w:r>
          </w:p>
        </w:tc>
        <w:tc>
          <w:tcPr>
            <w:tcW w:w="120" w:type="dxa"/>
            <w:vAlign w:val="bottom"/>
          </w:tcPr>
          <w:p>
            <w:pPr>
              <w:spacing w:after="0"/>
              <w:rPr>
                <w:sz w:val="23"/>
                <w:szCs w:val="23"/>
                <w:color w:val="auto"/>
              </w:rPr>
            </w:pPr>
          </w:p>
        </w:tc>
        <w:tc>
          <w:tcPr>
            <w:tcW w:w="400" w:type="dxa"/>
            <w:vAlign w:val="bottom"/>
            <w:vMerge w:val="restart"/>
          </w:tcPr>
          <w:p>
            <w:pPr>
              <w:ind w:left="100"/>
              <w:spacing w:after="0"/>
              <w:rPr>
                <w:sz w:val="20"/>
                <w:szCs w:val="20"/>
                <w:color w:val="auto"/>
              </w:rPr>
            </w:pPr>
            <w:r>
              <w:rPr>
                <w:rFonts w:ascii="Arial" w:cs="Arial" w:eastAsia="Arial" w:hAnsi="Arial"/>
                <w:sz w:val="16"/>
                <w:szCs w:val="16"/>
                <w:color w:val="auto"/>
              </w:rPr>
              <w:t>TX</w:t>
            </w:r>
          </w:p>
        </w:tc>
        <w:tc>
          <w:tcPr>
            <w:tcW w:w="64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89"/>
              </w:rPr>
              <w:t>3,991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Hwy 67</w:t>
            </w:r>
          </w:p>
        </w:tc>
        <w:tc>
          <w:tcPr>
            <w:tcW w:w="1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4/15/2015</w:t>
            </w:r>
          </w:p>
        </w:tc>
        <w:tc>
          <w:tcPr>
            <w:tcW w:w="1400" w:type="dxa"/>
            <w:vAlign w:val="bottom"/>
          </w:tcPr>
          <w:p>
            <w:pPr>
              <w:ind w:left="20"/>
              <w:spacing w:after="0"/>
              <w:rPr>
                <w:sz w:val="20"/>
                <w:szCs w:val="20"/>
                <w:color w:val="auto"/>
              </w:rPr>
            </w:pPr>
            <w:r>
              <w:rPr>
                <w:rFonts w:ascii="Arial" w:cs="Arial" w:eastAsia="Arial" w:hAnsi="Arial"/>
                <w:sz w:val="16"/>
                <w:szCs w:val="16"/>
                <w:color w:val="auto"/>
              </w:rPr>
              <w:t>Duncanville / E</w:t>
            </w:r>
          </w:p>
        </w:tc>
        <w:tc>
          <w:tcPr>
            <w:tcW w:w="120" w:type="dxa"/>
            <w:vAlign w:val="bottom"/>
          </w:tcPr>
          <w:p>
            <w:pPr>
              <w:spacing w:after="0"/>
              <w:rPr>
                <w:sz w:val="21"/>
                <w:szCs w:val="21"/>
                <w:color w:val="auto"/>
              </w:rPr>
            </w:pPr>
          </w:p>
        </w:tc>
        <w:tc>
          <w:tcPr>
            <w:tcW w:w="400" w:type="dxa"/>
            <w:vAlign w:val="bottom"/>
            <w:vMerge w:val="restart"/>
          </w:tcPr>
          <w:p>
            <w:pPr>
              <w:ind w:left="100"/>
              <w:spacing w:after="0"/>
              <w:rPr>
                <w:sz w:val="20"/>
                <w:szCs w:val="20"/>
                <w:color w:val="auto"/>
              </w:rPr>
            </w:pPr>
            <w:r>
              <w:rPr>
                <w:rFonts w:ascii="Arial" w:cs="Arial" w:eastAsia="Arial" w:hAnsi="Arial"/>
                <w:sz w:val="16"/>
                <w:szCs w:val="16"/>
                <w:color w:val="auto"/>
              </w:rPr>
              <w:t>TX</w:t>
            </w:r>
          </w:p>
        </w:tc>
        <w:tc>
          <w:tcPr>
            <w:tcW w:w="64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89"/>
              </w:rPr>
              <w:t>3,650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Wheatland Rd</w:t>
            </w:r>
          </w:p>
        </w:tc>
        <w:tc>
          <w:tcPr>
            <w:tcW w:w="1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400" w:type="dxa"/>
            <w:vAlign w:val="bottom"/>
          </w:tcPr>
          <w:p>
            <w:pPr>
              <w:ind w:left="20"/>
              <w:spacing w:after="0"/>
              <w:rPr>
                <w:sz w:val="20"/>
                <w:szCs w:val="20"/>
                <w:color w:val="auto"/>
              </w:rPr>
            </w:pPr>
            <w:r>
              <w:rPr>
                <w:rFonts w:ascii="Arial" w:cs="Arial" w:eastAsia="Arial" w:hAnsi="Arial"/>
                <w:sz w:val="16"/>
                <w:szCs w:val="16"/>
                <w:color w:val="auto"/>
              </w:rPr>
              <w:t>El Paso / Desert</w:t>
            </w:r>
          </w:p>
        </w:tc>
        <w:tc>
          <w:tcPr>
            <w:tcW w:w="120" w:type="dxa"/>
            <w:vAlign w:val="bottom"/>
          </w:tcPr>
          <w:p>
            <w:pPr>
              <w:spacing w:after="0"/>
              <w:rPr>
                <w:sz w:val="21"/>
                <w:szCs w:val="21"/>
                <w:color w:val="auto"/>
              </w:rPr>
            </w:pPr>
          </w:p>
        </w:tc>
        <w:tc>
          <w:tcPr>
            <w:tcW w:w="400" w:type="dxa"/>
            <w:vAlign w:val="bottom"/>
            <w:vMerge w:val="restart"/>
          </w:tcPr>
          <w:p>
            <w:pPr>
              <w:ind w:left="100"/>
              <w:spacing w:after="0"/>
              <w:rPr>
                <w:sz w:val="20"/>
                <w:szCs w:val="20"/>
                <w:color w:val="auto"/>
              </w:rPr>
            </w:pPr>
            <w:r>
              <w:rPr>
                <w:rFonts w:ascii="Arial" w:cs="Arial" w:eastAsia="Arial" w:hAnsi="Arial"/>
                <w:sz w:val="16"/>
                <w:szCs w:val="16"/>
                <w:color w:val="auto"/>
              </w:rPr>
              <w:t>TX</w:t>
            </w:r>
          </w:p>
        </w:tc>
        <w:tc>
          <w:tcPr>
            <w:tcW w:w="100" w:type="dxa"/>
            <w:vAlign w:val="bottom"/>
          </w:tcPr>
          <w:p>
            <w:pPr>
              <w:spacing w:after="0"/>
              <w:rPr>
                <w:sz w:val="21"/>
                <w:szCs w:val="21"/>
                <w:color w:val="auto"/>
              </w:rPr>
            </w:pPr>
          </w:p>
        </w:tc>
        <w:tc>
          <w:tcPr>
            <w:tcW w:w="54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Blvd</w:t>
            </w:r>
          </w:p>
        </w:tc>
        <w:tc>
          <w:tcPr>
            <w:tcW w:w="1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400" w:type="dxa"/>
            <w:vAlign w:val="bottom"/>
          </w:tcPr>
          <w:p>
            <w:pPr>
              <w:ind w:left="20"/>
              <w:spacing w:after="0"/>
              <w:rPr>
                <w:sz w:val="20"/>
                <w:szCs w:val="20"/>
                <w:color w:val="auto"/>
              </w:rPr>
            </w:pPr>
            <w:r>
              <w:rPr>
                <w:rFonts w:ascii="Arial" w:cs="Arial" w:eastAsia="Arial" w:hAnsi="Arial"/>
                <w:sz w:val="16"/>
                <w:szCs w:val="16"/>
                <w:color w:val="auto"/>
              </w:rPr>
              <w:t>El Paso / Dyer St</w:t>
            </w:r>
          </w:p>
        </w:tc>
        <w:tc>
          <w:tcPr>
            <w:tcW w:w="120" w:type="dxa"/>
            <w:vAlign w:val="bottom"/>
          </w:tcPr>
          <w:p>
            <w:pPr>
              <w:spacing w:after="0"/>
              <w:rPr>
                <w:sz w:val="22"/>
                <w:szCs w:val="22"/>
                <w:color w:val="auto"/>
              </w:rPr>
            </w:pPr>
          </w:p>
        </w:tc>
        <w:tc>
          <w:tcPr>
            <w:tcW w:w="400" w:type="dxa"/>
            <w:vAlign w:val="bottom"/>
          </w:tcPr>
          <w:p>
            <w:pPr>
              <w:ind w:left="100"/>
              <w:spacing w:after="0"/>
              <w:rPr>
                <w:sz w:val="20"/>
                <w:szCs w:val="20"/>
                <w:color w:val="auto"/>
              </w:rPr>
            </w:pPr>
            <w:r>
              <w:rPr>
                <w:rFonts w:ascii="Arial" w:cs="Arial" w:eastAsia="Arial" w:hAnsi="Arial"/>
                <w:sz w:val="16"/>
                <w:szCs w:val="16"/>
                <w:color w:val="auto"/>
              </w:rPr>
              <w:t>TX</w:t>
            </w:r>
          </w:p>
        </w:tc>
        <w:tc>
          <w:tcPr>
            <w:tcW w:w="10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400" w:type="dxa"/>
            <w:vAlign w:val="bottom"/>
          </w:tcPr>
          <w:p>
            <w:pPr>
              <w:ind w:left="20"/>
              <w:spacing w:after="0"/>
              <w:rPr>
                <w:sz w:val="20"/>
                <w:szCs w:val="20"/>
                <w:color w:val="auto"/>
              </w:rPr>
            </w:pPr>
            <w:r>
              <w:rPr>
                <w:rFonts w:ascii="Arial" w:cs="Arial" w:eastAsia="Arial" w:hAnsi="Arial"/>
                <w:sz w:val="16"/>
                <w:szCs w:val="16"/>
                <w:color w:val="auto"/>
                <w:w w:val="97"/>
              </w:rPr>
              <w:t>El Paso / Joe Battle</w:t>
            </w:r>
          </w:p>
        </w:tc>
        <w:tc>
          <w:tcPr>
            <w:tcW w:w="120" w:type="dxa"/>
            <w:vAlign w:val="bottom"/>
          </w:tcPr>
          <w:p>
            <w:pPr>
              <w:spacing w:after="0"/>
              <w:rPr>
                <w:sz w:val="23"/>
                <w:szCs w:val="23"/>
                <w:color w:val="auto"/>
              </w:rPr>
            </w:pPr>
          </w:p>
        </w:tc>
        <w:tc>
          <w:tcPr>
            <w:tcW w:w="400" w:type="dxa"/>
            <w:vAlign w:val="bottom"/>
            <w:vMerge w:val="restart"/>
          </w:tcPr>
          <w:p>
            <w:pPr>
              <w:ind w:left="100"/>
              <w:spacing w:after="0"/>
              <w:rPr>
                <w:sz w:val="20"/>
                <w:szCs w:val="20"/>
                <w:color w:val="auto"/>
              </w:rPr>
            </w:pPr>
            <w:r>
              <w:rPr>
                <w:rFonts w:ascii="Arial" w:cs="Arial" w:eastAsia="Arial" w:hAnsi="Arial"/>
                <w:sz w:val="16"/>
                <w:szCs w:val="16"/>
                <w:color w:val="auto"/>
              </w:rPr>
              <w:t>TX</w:t>
            </w:r>
          </w:p>
        </w:tc>
        <w:tc>
          <w:tcPr>
            <w:tcW w:w="100" w:type="dxa"/>
            <w:vAlign w:val="bottom"/>
          </w:tcPr>
          <w:p>
            <w:pPr>
              <w:spacing w:after="0"/>
              <w:rPr>
                <w:sz w:val="23"/>
                <w:szCs w:val="23"/>
                <w:color w:val="auto"/>
              </w:rPr>
            </w:pPr>
          </w:p>
        </w:tc>
        <w:tc>
          <w:tcPr>
            <w:tcW w:w="54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Blvd 1</w:t>
            </w:r>
          </w:p>
        </w:tc>
        <w:tc>
          <w:tcPr>
            <w:tcW w:w="1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400" w:type="dxa"/>
            <w:vAlign w:val="bottom"/>
          </w:tcPr>
          <w:p>
            <w:pPr>
              <w:ind w:left="20"/>
              <w:spacing w:after="0"/>
              <w:rPr>
                <w:sz w:val="20"/>
                <w:szCs w:val="20"/>
                <w:color w:val="auto"/>
              </w:rPr>
            </w:pPr>
            <w:r>
              <w:rPr>
                <w:rFonts w:ascii="Arial" w:cs="Arial" w:eastAsia="Arial" w:hAnsi="Arial"/>
                <w:sz w:val="16"/>
                <w:szCs w:val="16"/>
                <w:color w:val="auto"/>
                <w:w w:val="97"/>
              </w:rPr>
              <w:t>El Paso / Joe Battle</w:t>
            </w:r>
          </w:p>
        </w:tc>
        <w:tc>
          <w:tcPr>
            <w:tcW w:w="120" w:type="dxa"/>
            <w:vAlign w:val="bottom"/>
          </w:tcPr>
          <w:p>
            <w:pPr>
              <w:spacing w:after="0"/>
              <w:rPr>
                <w:sz w:val="21"/>
                <w:szCs w:val="21"/>
                <w:color w:val="auto"/>
              </w:rPr>
            </w:pPr>
          </w:p>
        </w:tc>
        <w:tc>
          <w:tcPr>
            <w:tcW w:w="400" w:type="dxa"/>
            <w:vAlign w:val="bottom"/>
            <w:vMerge w:val="restart"/>
          </w:tcPr>
          <w:p>
            <w:pPr>
              <w:ind w:left="100"/>
              <w:spacing w:after="0"/>
              <w:rPr>
                <w:sz w:val="20"/>
                <w:szCs w:val="20"/>
                <w:color w:val="auto"/>
              </w:rPr>
            </w:pPr>
            <w:r>
              <w:rPr>
                <w:rFonts w:ascii="Arial" w:cs="Arial" w:eastAsia="Arial" w:hAnsi="Arial"/>
                <w:sz w:val="16"/>
                <w:szCs w:val="16"/>
                <w:color w:val="auto"/>
              </w:rPr>
              <w:t>TX</w:t>
            </w:r>
          </w:p>
        </w:tc>
        <w:tc>
          <w:tcPr>
            <w:tcW w:w="100" w:type="dxa"/>
            <w:vAlign w:val="bottom"/>
          </w:tcPr>
          <w:p>
            <w:pPr>
              <w:spacing w:after="0"/>
              <w:rPr>
                <w:sz w:val="21"/>
                <w:szCs w:val="21"/>
                <w:color w:val="auto"/>
              </w:rPr>
            </w:pPr>
          </w:p>
        </w:tc>
        <w:tc>
          <w:tcPr>
            <w:tcW w:w="54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Blvd 2</w:t>
            </w:r>
          </w:p>
        </w:tc>
        <w:tc>
          <w:tcPr>
            <w:tcW w:w="1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400" w:type="dxa"/>
            <w:vAlign w:val="bottom"/>
          </w:tcPr>
          <w:p>
            <w:pPr>
              <w:ind w:left="20"/>
              <w:spacing w:after="0"/>
              <w:rPr>
                <w:sz w:val="20"/>
                <w:szCs w:val="20"/>
                <w:color w:val="auto"/>
              </w:rPr>
            </w:pPr>
            <w:r>
              <w:rPr>
                <w:rFonts w:ascii="Arial" w:cs="Arial" w:eastAsia="Arial" w:hAnsi="Arial"/>
                <w:sz w:val="16"/>
                <w:szCs w:val="16"/>
                <w:color w:val="auto"/>
                <w:w w:val="99"/>
              </w:rPr>
              <w:t>El Paso / Woodrow</w:t>
            </w:r>
          </w:p>
        </w:tc>
        <w:tc>
          <w:tcPr>
            <w:tcW w:w="120" w:type="dxa"/>
            <w:vAlign w:val="bottom"/>
          </w:tcPr>
          <w:p>
            <w:pPr>
              <w:spacing w:after="0"/>
              <w:rPr>
                <w:sz w:val="21"/>
                <w:szCs w:val="21"/>
                <w:color w:val="auto"/>
              </w:rPr>
            </w:pPr>
          </w:p>
        </w:tc>
        <w:tc>
          <w:tcPr>
            <w:tcW w:w="400" w:type="dxa"/>
            <w:vAlign w:val="bottom"/>
            <w:vMerge w:val="restart"/>
          </w:tcPr>
          <w:p>
            <w:pPr>
              <w:ind w:left="100"/>
              <w:spacing w:after="0"/>
              <w:rPr>
                <w:sz w:val="20"/>
                <w:szCs w:val="20"/>
                <w:color w:val="auto"/>
              </w:rPr>
            </w:pPr>
            <w:r>
              <w:rPr>
                <w:rFonts w:ascii="Arial" w:cs="Arial" w:eastAsia="Arial" w:hAnsi="Arial"/>
                <w:sz w:val="16"/>
                <w:szCs w:val="16"/>
                <w:color w:val="auto"/>
              </w:rPr>
              <w:t>TX</w:t>
            </w:r>
          </w:p>
        </w:tc>
        <w:tc>
          <w:tcPr>
            <w:tcW w:w="100" w:type="dxa"/>
            <w:vAlign w:val="bottom"/>
          </w:tcPr>
          <w:p>
            <w:pPr>
              <w:spacing w:after="0"/>
              <w:rPr>
                <w:sz w:val="21"/>
                <w:szCs w:val="21"/>
                <w:color w:val="auto"/>
              </w:rPr>
            </w:pPr>
          </w:p>
        </w:tc>
        <w:tc>
          <w:tcPr>
            <w:tcW w:w="54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Bean Dr</w:t>
            </w:r>
          </w:p>
        </w:tc>
        <w:tc>
          <w:tcPr>
            <w:tcW w:w="1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5/8/2013</w:t>
            </w:r>
          </w:p>
        </w:tc>
        <w:tc>
          <w:tcPr>
            <w:tcW w:w="1400" w:type="dxa"/>
            <w:vAlign w:val="bottom"/>
          </w:tcPr>
          <w:p>
            <w:pPr>
              <w:ind w:left="20"/>
              <w:spacing w:after="0"/>
              <w:rPr>
                <w:sz w:val="20"/>
                <w:szCs w:val="20"/>
                <w:color w:val="auto"/>
              </w:rPr>
            </w:pPr>
            <w:r>
              <w:rPr>
                <w:rFonts w:ascii="Arial" w:cs="Arial" w:eastAsia="Arial" w:hAnsi="Arial"/>
                <w:sz w:val="16"/>
                <w:szCs w:val="16"/>
                <w:color w:val="auto"/>
              </w:rPr>
              <w:t>Euless / Mid/Cities</w:t>
            </w:r>
          </w:p>
        </w:tc>
        <w:tc>
          <w:tcPr>
            <w:tcW w:w="120" w:type="dxa"/>
            <w:vAlign w:val="bottom"/>
          </w:tcPr>
          <w:p>
            <w:pPr>
              <w:spacing w:after="0"/>
              <w:rPr>
                <w:sz w:val="21"/>
                <w:szCs w:val="21"/>
                <w:color w:val="auto"/>
              </w:rPr>
            </w:pPr>
          </w:p>
        </w:tc>
        <w:tc>
          <w:tcPr>
            <w:tcW w:w="400" w:type="dxa"/>
            <w:vAlign w:val="bottom"/>
            <w:vMerge w:val="restart"/>
          </w:tcPr>
          <w:p>
            <w:pPr>
              <w:ind w:left="100"/>
              <w:spacing w:after="0"/>
              <w:rPr>
                <w:sz w:val="20"/>
                <w:szCs w:val="20"/>
                <w:color w:val="auto"/>
              </w:rPr>
            </w:pPr>
            <w:r>
              <w:rPr>
                <w:rFonts w:ascii="Arial" w:cs="Arial" w:eastAsia="Arial" w:hAnsi="Arial"/>
                <w:sz w:val="16"/>
                <w:szCs w:val="16"/>
                <w:color w:val="auto"/>
              </w:rPr>
              <w:t>TX</w:t>
            </w:r>
          </w:p>
        </w:tc>
        <w:tc>
          <w:tcPr>
            <w:tcW w:w="64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89"/>
              </w:rPr>
              <w:t>4,240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Blvd</w:t>
            </w:r>
          </w:p>
        </w:tc>
        <w:tc>
          <w:tcPr>
            <w:tcW w:w="1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4/1/2011</w:t>
            </w:r>
          </w:p>
        </w:tc>
        <w:tc>
          <w:tcPr>
            <w:tcW w:w="1400" w:type="dxa"/>
            <w:vAlign w:val="bottom"/>
          </w:tcPr>
          <w:p>
            <w:pPr>
              <w:ind w:left="20"/>
              <w:spacing w:after="0"/>
              <w:rPr>
                <w:sz w:val="20"/>
                <w:szCs w:val="20"/>
                <w:color w:val="auto"/>
              </w:rPr>
            </w:pPr>
            <w:r>
              <w:rPr>
                <w:rFonts w:ascii="Arial" w:cs="Arial" w:eastAsia="Arial" w:hAnsi="Arial"/>
                <w:sz w:val="16"/>
                <w:szCs w:val="16"/>
                <w:color w:val="auto"/>
              </w:rPr>
              <w:t>Euless / W Euless</w:t>
            </w:r>
          </w:p>
        </w:tc>
        <w:tc>
          <w:tcPr>
            <w:tcW w:w="120" w:type="dxa"/>
            <w:vAlign w:val="bottom"/>
          </w:tcPr>
          <w:p>
            <w:pPr>
              <w:spacing w:after="0"/>
              <w:rPr>
                <w:sz w:val="21"/>
                <w:szCs w:val="21"/>
                <w:color w:val="auto"/>
              </w:rPr>
            </w:pPr>
          </w:p>
        </w:tc>
        <w:tc>
          <w:tcPr>
            <w:tcW w:w="400" w:type="dxa"/>
            <w:vAlign w:val="bottom"/>
            <w:vMerge w:val="restart"/>
          </w:tcPr>
          <w:p>
            <w:pPr>
              <w:ind w:left="100"/>
              <w:spacing w:after="0"/>
              <w:rPr>
                <w:sz w:val="20"/>
                <w:szCs w:val="20"/>
                <w:color w:val="auto"/>
              </w:rPr>
            </w:pPr>
            <w:r>
              <w:rPr>
                <w:rFonts w:ascii="Arial" w:cs="Arial" w:eastAsia="Arial" w:hAnsi="Arial"/>
                <w:sz w:val="16"/>
                <w:szCs w:val="16"/>
                <w:color w:val="auto"/>
              </w:rPr>
              <w:t>TX</w:t>
            </w:r>
          </w:p>
        </w:tc>
        <w:tc>
          <w:tcPr>
            <w:tcW w:w="64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89"/>
              </w:rPr>
              <w:t>2,810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Blvd</w:t>
            </w:r>
          </w:p>
        </w:tc>
        <w:tc>
          <w:tcPr>
            <w:tcW w:w="1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12/9/2013</w:t>
            </w:r>
          </w:p>
        </w:tc>
        <w:tc>
          <w:tcPr>
            <w:tcW w:w="1400" w:type="dxa"/>
            <w:vAlign w:val="bottom"/>
          </w:tcPr>
          <w:p>
            <w:pPr>
              <w:ind w:left="20"/>
              <w:spacing w:after="0"/>
              <w:rPr>
                <w:sz w:val="20"/>
                <w:szCs w:val="20"/>
                <w:color w:val="auto"/>
              </w:rPr>
            </w:pPr>
            <w:r>
              <w:rPr>
                <w:rFonts w:ascii="Arial" w:cs="Arial" w:eastAsia="Arial" w:hAnsi="Arial"/>
                <w:sz w:val="16"/>
                <w:szCs w:val="16"/>
                <w:color w:val="auto"/>
                <w:w w:val="99"/>
              </w:rPr>
              <w:t>Fort Worth / Mandy</w:t>
            </w:r>
          </w:p>
        </w:tc>
        <w:tc>
          <w:tcPr>
            <w:tcW w:w="120" w:type="dxa"/>
            <w:vAlign w:val="bottom"/>
          </w:tcPr>
          <w:p>
            <w:pPr>
              <w:spacing w:after="0"/>
              <w:rPr>
                <w:sz w:val="21"/>
                <w:szCs w:val="21"/>
                <w:color w:val="auto"/>
              </w:rPr>
            </w:pPr>
          </w:p>
        </w:tc>
        <w:tc>
          <w:tcPr>
            <w:tcW w:w="400" w:type="dxa"/>
            <w:vAlign w:val="bottom"/>
            <w:vMerge w:val="restart"/>
          </w:tcPr>
          <w:p>
            <w:pPr>
              <w:ind w:left="100"/>
              <w:spacing w:after="0"/>
              <w:rPr>
                <w:sz w:val="20"/>
                <w:szCs w:val="20"/>
                <w:color w:val="auto"/>
              </w:rPr>
            </w:pPr>
            <w:r>
              <w:rPr>
                <w:rFonts w:ascii="Arial" w:cs="Arial" w:eastAsia="Arial" w:hAnsi="Arial"/>
                <w:sz w:val="16"/>
                <w:szCs w:val="16"/>
                <w:color w:val="auto"/>
              </w:rPr>
              <w:t>TX</w:t>
            </w:r>
          </w:p>
        </w:tc>
        <w:tc>
          <w:tcPr>
            <w:tcW w:w="64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89"/>
              </w:rPr>
              <w:t>2,060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6"/>
                <w:szCs w:val="16"/>
                <w:color w:val="auto"/>
              </w:rPr>
              <w:t>Lane</w:t>
            </w:r>
          </w:p>
        </w:tc>
        <w:tc>
          <w:tcPr>
            <w:tcW w:w="1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1,301</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4,722</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4</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1,301</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4,726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6,027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20</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390</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2,598</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1,279</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390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3,877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4,267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1,341</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901</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5,553</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309</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901</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5,862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6,763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1,626</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534</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2,525</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619</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534</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3,144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3,678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1,165</w:t>
            </w:r>
          </w:p>
        </w:tc>
      </w:tr>
      <w:tr>
        <w:trPr>
          <w:trHeight w:val="459"/>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630</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5,214</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365</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630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5,579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6,209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187</w:t>
            </w:r>
          </w:p>
        </w:tc>
      </w:tr>
      <w:tr>
        <w:trPr>
          <w:trHeight w:val="459"/>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567</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5,340</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353</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567</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5,693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6,260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272</w:t>
            </w:r>
          </w:p>
        </w:tc>
      </w:tr>
      <w:tr>
        <w:trPr>
          <w:trHeight w:val="459"/>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698</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3,862</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258</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698</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4,120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4,818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209</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807</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7,689</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170</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807</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7,859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8,666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406</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1,155</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8,552</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187</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1,155</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8,739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9,894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461</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870</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4,455</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532</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870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4,987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5,857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1,686</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10,117</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13,248</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163</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10,117</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13,411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23,528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693</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3,411</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4,502</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83</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3,411</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4,585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7,996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740</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1,047</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9,969</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186</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1,047</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10,155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11,202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638</w:t>
            </w:r>
          </w:p>
        </w:tc>
      </w:tr>
      <w:tr>
        <w:trPr>
          <w:trHeight w:val="459"/>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2,039</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8,006</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443</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2,039</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8,449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10,488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214</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619</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7,861</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90</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619</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7,951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8,570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311</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801</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2,550</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444</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801</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2,994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3,795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83</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655</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8,191</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119</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655</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8,310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8,965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215</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724</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5,743</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206</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724</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5,949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6,673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271</w:t>
            </w:r>
          </w:p>
        </w:tc>
      </w:tr>
      <w:tr>
        <w:trPr>
          <w:trHeight w:val="459"/>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2,270</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9,333</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158</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2,270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9,491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11,761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307</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1,837</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8,426</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395</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1,837</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8,821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10,658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407</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4,432</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6,181</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1,371</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4,432</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7,552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11,984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2,514</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337</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2,216</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642</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337</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2,858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3,195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1,056</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275</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11,183</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278</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275</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11,461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11,736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516</w:t>
            </w:r>
          </w:p>
        </w:tc>
      </w:tr>
      <w:tr>
        <w:trPr>
          <w:trHeight w:val="270"/>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1,980</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12,501</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565</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1,979</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13,067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15,046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3,721</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1,729</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7,876</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437</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1,729</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8,313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10,042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384</w:t>
            </w:r>
          </w:p>
        </w:tc>
      </w:tr>
      <w:tr>
        <w:trPr>
          <w:trHeight w:val="459"/>
        </w:trPr>
        <w:tc>
          <w:tcPr>
            <w:tcW w:w="740" w:type="dxa"/>
            <w:vAlign w:val="bottom"/>
          </w:tcPr>
          <w:p>
            <w:pPr>
              <w:jc w:val="center"/>
              <w:ind w:right="199"/>
              <w:spacing w:after="0"/>
              <w:rPr>
                <w:sz w:val="20"/>
                <w:szCs w:val="20"/>
                <w:color w:val="auto"/>
              </w:rPr>
            </w:pPr>
            <w:r>
              <w:rPr>
                <w:rFonts w:ascii="Arial" w:cs="Arial" w:eastAsia="Arial" w:hAnsi="Arial"/>
                <w:sz w:val="16"/>
                <w:szCs w:val="16"/>
                <w:color w:val="auto"/>
                <w:w w:val="93"/>
              </w:rPr>
              <w:t>13,392</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15,019</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778</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13,392</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15,797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29,189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1,351</w:t>
            </w:r>
          </w:p>
        </w:tc>
      </w:tr>
      <w:tr>
        <w:trPr>
          <w:trHeight w:val="459"/>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921</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7,656</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140</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921</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7,796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8,717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939</w:t>
            </w:r>
          </w:p>
        </w:tc>
      </w:tr>
      <w:tr>
        <w:trPr>
          <w:trHeight w:val="459"/>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2,542</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3,274</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283</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2,542</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3,557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6,099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485</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781</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7,104</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317</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781</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7,421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8,202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342</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1,320</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6,547</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460</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1,320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7,007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8,327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233</w:t>
            </w:r>
          </w:p>
        </w:tc>
      </w:tr>
      <w:tr>
        <w:trPr>
          <w:trHeight w:val="459"/>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547</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5,970</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301</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547</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6,271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6,818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290</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821</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8,298</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234</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821</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8,532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9,353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387</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1,328</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4,997</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251</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1,328</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5,248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6,576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245</w:t>
            </w:r>
          </w:p>
        </w:tc>
      </w:tr>
      <w:tr>
        <w:trPr>
          <w:trHeight w:val="459"/>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793</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7,062</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233</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793</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7,295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8,088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341</w:t>
            </w:r>
          </w:p>
        </w:tc>
      </w:tr>
      <w:tr>
        <w:trPr>
          <w:trHeight w:val="459"/>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890</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3,207</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288</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890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3,495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4,385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109</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1,510</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5,034</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433</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1,510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5,467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6,977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179</w:t>
            </w:r>
          </w:p>
        </w:tc>
      </w:tr>
      <w:tr>
        <w:trPr>
          <w:trHeight w:val="364"/>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1,010</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5,238</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251</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1,010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5,489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6,499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181</w:t>
            </w:r>
          </w:p>
        </w:tc>
      </w:tr>
      <w:tr>
        <w:trPr>
          <w:trHeight w:val="459"/>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850</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2,775</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262</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850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3,037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3,887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102</w:t>
            </w:r>
          </w:p>
        </w:tc>
      </w:tr>
      <w:tr>
        <w:trPr>
          <w:trHeight w:val="459"/>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420</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1,752</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176</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420</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1,928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2,348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65</w:t>
            </w:r>
          </w:p>
        </w:tc>
      </w:tr>
      <w:tr>
        <w:trPr>
          <w:trHeight w:val="459"/>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1,374</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5,636</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137</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1,374</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5,773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7,147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571</w:t>
            </w:r>
          </w:p>
        </w:tc>
      </w:tr>
      <w:tr>
        <w:trPr>
          <w:trHeight w:val="459"/>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671</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3,213</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2,036</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671</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5,249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5,920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811</w:t>
            </w:r>
          </w:p>
        </w:tc>
      </w:tr>
      <w:tr>
        <w:trPr>
          <w:trHeight w:val="459"/>
        </w:trPr>
        <w:tc>
          <w:tcPr>
            <w:tcW w:w="740" w:type="dxa"/>
            <w:vAlign w:val="bottom"/>
          </w:tcPr>
          <w:p>
            <w:pPr>
              <w:jc w:val="center"/>
              <w:ind w:right="219"/>
              <w:spacing w:after="0"/>
              <w:rPr>
                <w:sz w:val="20"/>
                <w:szCs w:val="20"/>
                <w:color w:val="auto"/>
              </w:rPr>
            </w:pPr>
            <w:r>
              <w:rPr>
                <w:rFonts w:ascii="Arial" w:cs="Arial" w:eastAsia="Arial" w:hAnsi="Arial"/>
                <w:sz w:val="16"/>
                <w:szCs w:val="16"/>
                <w:color w:val="auto"/>
                <w:w w:val="89"/>
              </w:rPr>
              <w:t>2,033</w:t>
            </w:r>
          </w:p>
        </w:tc>
        <w:tc>
          <w:tcPr>
            <w:tcW w:w="1160" w:type="dxa"/>
            <w:vAlign w:val="bottom"/>
          </w:tcPr>
          <w:p>
            <w:pPr>
              <w:jc w:val="center"/>
              <w:ind w:right="79"/>
              <w:spacing w:after="0"/>
              <w:rPr>
                <w:sz w:val="20"/>
                <w:szCs w:val="20"/>
                <w:color w:val="auto"/>
              </w:rPr>
            </w:pPr>
            <w:r>
              <w:rPr>
                <w:rFonts w:ascii="Arial" w:cs="Arial" w:eastAsia="Arial" w:hAnsi="Arial"/>
                <w:sz w:val="16"/>
                <w:szCs w:val="16"/>
                <w:color w:val="auto"/>
                <w:w w:val="89"/>
              </w:rPr>
              <w:t>2,495</w:t>
            </w:r>
          </w:p>
        </w:tc>
        <w:tc>
          <w:tcPr>
            <w:tcW w:w="1380" w:type="dxa"/>
            <w:vAlign w:val="bottom"/>
          </w:tcPr>
          <w:p>
            <w:pPr>
              <w:jc w:val="center"/>
              <w:ind w:right="99"/>
              <w:spacing w:after="0"/>
              <w:rPr>
                <w:sz w:val="20"/>
                <w:szCs w:val="20"/>
                <w:color w:val="auto"/>
              </w:rPr>
            </w:pPr>
            <w:r>
              <w:rPr>
                <w:rFonts w:ascii="Arial" w:cs="Arial" w:eastAsia="Arial" w:hAnsi="Arial"/>
                <w:sz w:val="16"/>
                <w:szCs w:val="16"/>
                <w:color w:val="auto"/>
                <w:w w:val="89"/>
              </w:rPr>
              <w:t>154</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89"/>
              </w:rPr>
              <w:t>2,033</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2,649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4,682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-10368915</wp:posOffset>
            </wp:positionV>
            <wp:extent cx="4951095" cy="11112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951095" cy="11112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-9932035</wp:posOffset>
            </wp:positionV>
            <wp:extent cx="7246620" cy="1714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-9589135</wp:posOffset>
            </wp:positionV>
            <wp:extent cx="7246620" cy="2914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-9006840</wp:posOffset>
            </wp:positionV>
            <wp:extent cx="7246620" cy="2914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-8424545</wp:posOffset>
            </wp:positionV>
            <wp:extent cx="7246620" cy="1714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-8081645</wp:posOffset>
            </wp:positionV>
            <wp:extent cx="7246620" cy="1714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-7619365</wp:posOffset>
            </wp:positionV>
            <wp:extent cx="7246620" cy="1714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-7156450</wp:posOffset>
            </wp:positionV>
            <wp:extent cx="7246620" cy="2914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-6694170</wp:posOffset>
            </wp:positionV>
            <wp:extent cx="7246620" cy="1714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-6351270</wp:posOffset>
            </wp:positionV>
            <wp:extent cx="7246620" cy="2914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-5768975</wp:posOffset>
            </wp:positionV>
            <wp:extent cx="7246620" cy="1714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-5306695</wp:posOffset>
            </wp:positionV>
            <wp:extent cx="7246620" cy="1714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-4963795</wp:posOffset>
            </wp:positionV>
            <wp:extent cx="7246620" cy="1714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-4501515</wp:posOffset>
            </wp:positionV>
            <wp:extent cx="7246620" cy="2914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-3918585</wp:posOffset>
            </wp:positionV>
            <wp:extent cx="7246620" cy="2914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-3456305</wp:posOffset>
            </wp:positionV>
            <wp:extent cx="7246620" cy="2914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-2874010</wp:posOffset>
            </wp:positionV>
            <wp:extent cx="7246620" cy="1714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-2411095</wp:posOffset>
            </wp:positionV>
            <wp:extent cx="7246620" cy="2914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-1828800</wp:posOffset>
            </wp:positionV>
            <wp:extent cx="7246620" cy="1714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-1365885</wp:posOffset>
            </wp:positionV>
            <wp:extent cx="7246620" cy="2914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-783590</wp:posOffset>
            </wp:positionV>
            <wp:extent cx="7246620" cy="2914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-201295</wp:posOffset>
            </wp:positionV>
            <wp:extent cx="7246620" cy="2914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ectPr>
          <w:pgSz w:w="11900" w:h="16838" w:orient="portrait"/>
          <w:cols w:equalWidth="0" w:num="2">
            <w:col w:w="3620" w:space="160"/>
            <w:col w:w="7340"/>
          </w:cols>
          <w:pgMar w:left="240" w:top="131" w:right="539" w:bottom="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02"/>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10/25/2016</w:t>
            </w:r>
          </w:p>
        </w:tc>
        <w:tc>
          <w:tcPr>
            <w:tcW w:w="1540" w:type="dxa"/>
            <w:vAlign w:val="bottom"/>
          </w:tcPr>
          <w:p>
            <w:pPr>
              <w:ind w:left="60"/>
              <w:spacing w:after="0"/>
              <w:rPr>
                <w:sz w:val="20"/>
                <w:szCs w:val="20"/>
                <w:color w:val="auto"/>
              </w:rPr>
            </w:pPr>
            <w:r>
              <w:rPr>
                <w:rFonts w:ascii="Arial" w:cs="Arial" w:eastAsia="Arial" w:hAnsi="Arial"/>
                <w:sz w:val="16"/>
                <w:szCs w:val="16"/>
                <w:color w:val="auto"/>
              </w:rPr>
              <w:t>Fort Worth /</w:t>
            </w:r>
          </w:p>
        </w:tc>
        <w:tc>
          <w:tcPr>
            <w:tcW w:w="440" w:type="dxa"/>
            <w:vAlign w:val="bottom"/>
          </w:tcPr>
          <w:p>
            <w:pPr>
              <w:ind w:left="120"/>
              <w:spacing w:after="0"/>
              <w:rPr>
                <w:sz w:val="20"/>
                <w:szCs w:val="20"/>
                <w:color w:val="auto"/>
              </w:rPr>
            </w:pPr>
            <w:r>
              <w:rPr>
                <w:rFonts w:ascii="Arial" w:cs="Arial" w:eastAsia="Arial" w:hAnsi="Arial"/>
                <w:sz w:val="16"/>
                <w:szCs w:val="16"/>
                <w:color w:val="auto"/>
              </w:rPr>
              <w:t>TX</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1540" w:type="dxa"/>
            <w:vAlign w:val="bottom"/>
          </w:tcPr>
          <w:p>
            <w:pPr>
              <w:ind w:left="60"/>
              <w:spacing w:after="0"/>
              <w:rPr>
                <w:sz w:val="20"/>
                <w:szCs w:val="20"/>
                <w:color w:val="auto"/>
              </w:rPr>
            </w:pPr>
            <w:r>
              <w:rPr>
                <w:rFonts w:ascii="Arial" w:cs="Arial" w:eastAsia="Arial" w:hAnsi="Arial"/>
                <w:sz w:val="16"/>
                <w:szCs w:val="16"/>
                <w:color w:val="auto"/>
              </w:rPr>
              <w:t>Mansfield Hwy</w:t>
            </w: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8/26/2004</w:t>
            </w:r>
          </w:p>
        </w:tc>
        <w:tc>
          <w:tcPr>
            <w:tcW w:w="1540" w:type="dxa"/>
            <w:vAlign w:val="bottom"/>
          </w:tcPr>
          <w:p>
            <w:pPr>
              <w:ind w:left="60"/>
              <w:spacing w:after="0"/>
              <w:rPr>
                <w:sz w:val="20"/>
                <w:szCs w:val="20"/>
                <w:color w:val="auto"/>
              </w:rPr>
            </w:pPr>
            <w:r>
              <w:rPr>
                <w:rFonts w:ascii="Arial" w:cs="Arial" w:eastAsia="Arial" w:hAnsi="Arial"/>
                <w:sz w:val="16"/>
                <w:szCs w:val="16"/>
                <w:color w:val="auto"/>
              </w:rPr>
              <w:t>Fort Worth / W</w:t>
            </w:r>
          </w:p>
        </w:tc>
        <w:tc>
          <w:tcPr>
            <w:tcW w:w="440" w:type="dxa"/>
            <w:vAlign w:val="bottom"/>
            <w:vMerge w:val="restart"/>
          </w:tcPr>
          <w:p>
            <w:pPr>
              <w:ind w:left="120"/>
              <w:spacing w:after="0"/>
              <w:rPr>
                <w:sz w:val="20"/>
                <w:szCs w:val="20"/>
                <w:color w:val="auto"/>
              </w:rPr>
            </w:pPr>
            <w:r>
              <w:rPr>
                <w:rFonts w:ascii="Arial" w:cs="Arial" w:eastAsia="Arial" w:hAnsi="Arial"/>
                <w:sz w:val="16"/>
                <w:szCs w:val="16"/>
                <w:color w:val="auto"/>
              </w:rPr>
              <w:t>TX</w:t>
            </w: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w w:val="89"/>
              </w:rPr>
              <w:t>4,000</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540" w:type="dxa"/>
            <w:vAlign w:val="bottom"/>
            <w:vMerge w:val="restart"/>
          </w:tcPr>
          <w:p>
            <w:pPr>
              <w:ind w:left="60"/>
              <w:spacing w:after="0"/>
              <w:rPr>
                <w:sz w:val="20"/>
                <w:szCs w:val="20"/>
                <w:color w:val="auto"/>
              </w:rPr>
            </w:pPr>
            <w:r>
              <w:rPr>
                <w:rFonts w:ascii="Arial" w:cs="Arial" w:eastAsia="Arial" w:hAnsi="Arial"/>
                <w:sz w:val="16"/>
                <w:szCs w:val="16"/>
                <w:color w:val="auto"/>
              </w:rPr>
              <w:t>Rosedale St</w:t>
            </w:r>
          </w:p>
        </w:tc>
        <w:tc>
          <w:tcPr>
            <w:tcW w:w="4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11/4/2013</w:t>
            </w:r>
          </w:p>
        </w:tc>
        <w:tc>
          <w:tcPr>
            <w:tcW w:w="1540" w:type="dxa"/>
            <w:vAlign w:val="bottom"/>
          </w:tcPr>
          <w:p>
            <w:pPr>
              <w:ind w:left="60"/>
              <w:spacing w:after="0"/>
              <w:rPr>
                <w:sz w:val="20"/>
                <w:szCs w:val="20"/>
                <w:color w:val="auto"/>
              </w:rPr>
            </w:pPr>
            <w:r>
              <w:rPr>
                <w:rFonts w:ascii="Arial" w:cs="Arial" w:eastAsia="Arial" w:hAnsi="Arial"/>
                <w:sz w:val="16"/>
                <w:szCs w:val="16"/>
                <w:color w:val="auto"/>
              </w:rPr>
              <w:t>Fort Worth / White</w:t>
            </w:r>
          </w:p>
        </w:tc>
        <w:tc>
          <w:tcPr>
            <w:tcW w:w="440" w:type="dxa"/>
            <w:vAlign w:val="bottom"/>
            <w:vMerge w:val="restart"/>
          </w:tcPr>
          <w:p>
            <w:pPr>
              <w:ind w:left="120"/>
              <w:spacing w:after="0"/>
              <w:rPr>
                <w:sz w:val="20"/>
                <w:szCs w:val="20"/>
                <w:color w:val="auto"/>
              </w:rPr>
            </w:pPr>
            <w:r>
              <w:rPr>
                <w:rFonts w:ascii="Arial" w:cs="Arial" w:eastAsia="Arial" w:hAnsi="Arial"/>
                <w:sz w:val="16"/>
                <w:szCs w:val="16"/>
                <w:color w:val="auto"/>
              </w:rPr>
              <w:t>TX</w:t>
            </w: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w w:val="89"/>
              </w:rPr>
              <w:t>3,585</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540" w:type="dxa"/>
            <w:vAlign w:val="bottom"/>
            <w:vMerge w:val="restart"/>
          </w:tcPr>
          <w:p>
            <w:pPr>
              <w:ind w:left="60"/>
              <w:spacing w:after="0"/>
              <w:rPr>
                <w:sz w:val="20"/>
                <w:szCs w:val="20"/>
                <w:color w:val="auto"/>
              </w:rPr>
            </w:pPr>
            <w:r>
              <w:rPr>
                <w:rFonts w:ascii="Arial" w:cs="Arial" w:eastAsia="Arial" w:hAnsi="Arial"/>
                <w:sz w:val="16"/>
                <w:szCs w:val="16"/>
                <w:color w:val="auto"/>
              </w:rPr>
              <w:t>Settlement Rd</w:t>
            </w:r>
          </w:p>
        </w:tc>
        <w:tc>
          <w:tcPr>
            <w:tcW w:w="4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11/4/2013</w:t>
            </w:r>
          </w:p>
        </w:tc>
        <w:tc>
          <w:tcPr>
            <w:tcW w:w="1540" w:type="dxa"/>
            <w:vAlign w:val="bottom"/>
          </w:tcPr>
          <w:p>
            <w:pPr>
              <w:ind w:left="60"/>
              <w:spacing w:after="0"/>
              <w:rPr>
                <w:sz w:val="20"/>
                <w:szCs w:val="20"/>
                <w:color w:val="auto"/>
              </w:rPr>
            </w:pPr>
            <w:r>
              <w:rPr>
                <w:rFonts w:ascii="Arial" w:cs="Arial" w:eastAsia="Arial" w:hAnsi="Arial"/>
                <w:sz w:val="16"/>
                <w:szCs w:val="16"/>
                <w:color w:val="auto"/>
              </w:rPr>
              <w:t>Garland / Beltline</w:t>
            </w:r>
          </w:p>
        </w:tc>
        <w:tc>
          <w:tcPr>
            <w:tcW w:w="440" w:type="dxa"/>
            <w:vAlign w:val="bottom"/>
            <w:vMerge w:val="restart"/>
          </w:tcPr>
          <w:p>
            <w:pPr>
              <w:ind w:left="120"/>
              <w:spacing w:after="0"/>
              <w:rPr>
                <w:sz w:val="20"/>
                <w:szCs w:val="20"/>
                <w:color w:val="auto"/>
              </w:rPr>
            </w:pPr>
            <w:r>
              <w:rPr>
                <w:rFonts w:ascii="Arial" w:cs="Arial" w:eastAsia="Arial" w:hAnsi="Arial"/>
                <w:sz w:val="16"/>
                <w:szCs w:val="16"/>
                <w:color w:val="auto"/>
              </w:rPr>
              <w:t>TX</w:t>
            </w: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w w:val="89"/>
              </w:rPr>
              <w:t>3,267</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540" w:type="dxa"/>
            <w:vAlign w:val="bottom"/>
            <w:vMerge w:val="restart"/>
          </w:tcPr>
          <w:p>
            <w:pPr>
              <w:ind w:left="60"/>
              <w:spacing w:after="0"/>
              <w:rPr>
                <w:sz w:val="20"/>
                <w:szCs w:val="20"/>
                <w:color w:val="auto"/>
              </w:rPr>
            </w:pPr>
            <w:r>
              <w:rPr>
                <w:rFonts w:ascii="Arial" w:cs="Arial" w:eastAsia="Arial" w:hAnsi="Arial"/>
                <w:sz w:val="16"/>
                <w:szCs w:val="16"/>
                <w:color w:val="auto"/>
              </w:rPr>
              <w:t>Rd</w:t>
            </w:r>
          </w:p>
        </w:tc>
        <w:tc>
          <w:tcPr>
            <w:tcW w:w="4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4/15/2015</w:t>
            </w:r>
          </w:p>
        </w:tc>
        <w:tc>
          <w:tcPr>
            <w:tcW w:w="1540" w:type="dxa"/>
            <w:vAlign w:val="bottom"/>
          </w:tcPr>
          <w:p>
            <w:pPr>
              <w:ind w:left="60"/>
              <w:spacing w:after="0"/>
              <w:rPr>
                <w:sz w:val="20"/>
                <w:szCs w:val="20"/>
                <w:color w:val="auto"/>
              </w:rPr>
            </w:pPr>
            <w:r>
              <w:rPr>
                <w:rFonts w:ascii="Arial" w:cs="Arial" w:eastAsia="Arial" w:hAnsi="Arial"/>
                <w:sz w:val="16"/>
                <w:szCs w:val="16"/>
                <w:color w:val="auto"/>
              </w:rPr>
              <w:t>Garland / Texas 66</w:t>
            </w:r>
          </w:p>
        </w:tc>
        <w:tc>
          <w:tcPr>
            <w:tcW w:w="440" w:type="dxa"/>
            <w:vAlign w:val="bottom"/>
          </w:tcPr>
          <w:p>
            <w:pPr>
              <w:ind w:left="120"/>
              <w:spacing w:after="0"/>
              <w:rPr>
                <w:sz w:val="20"/>
                <w:szCs w:val="20"/>
                <w:color w:val="auto"/>
              </w:rPr>
            </w:pPr>
            <w:r>
              <w:rPr>
                <w:rFonts w:ascii="Arial" w:cs="Arial" w:eastAsia="Arial" w:hAnsi="Arial"/>
                <w:sz w:val="16"/>
                <w:szCs w:val="16"/>
                <w:color w:val="auto"/>
              </w:rPr>
              <w:t>TX</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89"/>
              </w:rPr>
              <w:t>4,598</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1/7/2016</w:t>
            </w:r>
          </w:p>
        </w:tc>
        <w:tc>
          <w:tcPr>
            <w:tcW w:w="1540" w:type="dxa"/>
            <w:vAlign w:val="bottom"/>
          </w:tcPr>
          <w:p>
            <w:pPr>
              <w:ind w:left="60"/>
              <w:spacing w:after="0"/>
              <w:rPr>
                <w:sz w:val="20"/>
                <w:szCs w:val="20"/>
                <w:color w:val="auto"/>
              </w:rPr>
            </w:pPr>
            <w:r>
              <w:rPr>
                <w:rFonts w:ascii="Arial" w:cs="Arial" w:eastAsia="Arial" w:hAnsi="Arial"/>
                <w:sz w:val="16"/>
                <w:szCs w:val="16"/>
                <w:color w:val="auto"/>
              </w:rPr>
              <w:t>Georgetown / Dawn</w:t>
            </w:r>
          </w:p>
        </w:tc>
        <w:tc>
          <w:tcPr>
            <w:tcW w:w="440" w:type="dxa"/>
            <w:vAlign w:val="bottom"/>
            <w:vMerge w:val="restart"/>
          </w:tcPr>
          <w:p>
            <w:pPr>
              <w:ind w:left="120"/>
              <w:spacing w:after="0"/>
              <w:rPr>
                <w:sz w:val="20"/>
                <w:szCs w:val="20"/>
                <w:color w:val="auto"/>
              </w:rPr>
            </w:pPr>
            <w:r>
              <w:rPr>
                <w:rFonts w:ascii="Arial" w:cs="Arial" w:eastAsia="Arial" w:hAnsi="Arial"/>
                <w:sz w:val="16"/>
                <w:szCs w:val="16"/>
                <w:color w:val="auto"/>
              </w:rPr>
              <w:t>TX</w:t>
            </w: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540" w:type="dxa"/>
            <w:vAlign w:val="bottom"/>
            <w:vMerge w:val="restart"/>
          </w:tcPr>
          <w:p>
            <w:pPr>
              <w:ind w:left="60"/>
              <w:spacing w:after="0"/>
              <w:rPr>
                <w:sz w:val="20"/>
                <w:szCs w:val="20"/>
                <w:color w:val="auto"/>
              </w:rPr>
            </w:pPr>
            <w:r>
              <w:rPr>
                <w:rFonts w:ascii="Arial" w:cs="Arial" w:eastAsia="Arial" w:hAnsi="Arial"/>
                <w:sz w:val="16"/>
                <w:szCs w:val="16"/>
                <w:color w:val="auto"/>
              </w:rPr>
              <w:t>Dr</w:t>
            </w:r>
          </w:p>
        </w:tc>
        <w:tc>
          <w:tcPr>
            <w:tcW w:w="4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8/26/2004</w:t>
            </w:r>
          </w:p>
        </w:tc>
        <w:tc>
          <w:tcPr>
            <w:tcW w:w="1540" w:type="dxa"/>
            <w:vAlign w:val="bottom"/>
          </w:tcPr>
          <w:p>
            <w:pPr>
              <w:ind w:left="60"/>
              <w:spacing w:after="0"/>
              <w:rPr>
                <w:sz w:val="20"/>
                <w:szCs w:val="20"/>
                <w:color w:val="auto"/>
              </w:rPr>
            </w:pPr>
            <w:r>
              <w:rPr>
                <w:rFonts w:ascii="Arial" w:cs="Arial" w:eastAsia="Arial" w:hAnsi="Arial"/>
                <w:sz w:val="16"/>
                <w:szCs w:val="16"/>
                <w:color w:val="auto"/>
              </w:rPr>
              <w:t>Grand Prairie / N</w:t>
            </w:r>
          </w:p>
        </w:tc>
        <w:tc>
          <w:tcPr>
            <w:tcW w:w="440" w:type="dxa"/>
            <w:vAlign w:val="bottom"/>
            <w:vMerge w:val="restart"/>
          </w:tcPr>
          <w:p>
            <w:pPr>
              <w:ind w:left="120"/>
              <w:spacing w:after="0"/>
              <w:rPr>
                <w:sz w:val="20"/>
                <w:szCs w:val="20"/>
                <w:color w:val="auto"/>
              </w:rPr>
            </w:pPr>
            <w:r>
              <w:rPr>
                <w:rFonts w:ascii="Arial" w:cs="Arial" w:eastAsia="Arial" w:hAnsi="Arial"/>
                <w:sz w:val="16"/>
                <w:szCs w:val="16"/>
                <w:color w:val="auto"/>
              </w:rPr>
              <w:t>TX</w:t>
            </w: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w w:val="89"/>
              </w:rPr>
              <w:t>2,370</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540" w:type="dxa"/>
            <w:vAlign w:val="bottom"/>
            <w:vMerge w:val="restart"/>
          </w:tcPr>
          <w:p>
            <w:pPr>
              <w:ind w:left="60"/>
              <w:spacing w:after="0"/>
              <w:rPr>
                <w:sz w:val="20"/>
                <w:szCs w:val="20"/>
                <w:color w:val="auto"/>
              </w:rPr>
            </w:pPr>
            <w:r>
              <w:rPr>
                <w:rFonts w:ascii="Arial" w:cs="Arial" w:eastAsia="Arial" w:hAnsi="Arial"/>
                <w:sz w:val="16"/>
                <w:szCs w:val="16"/>
                <w:color w:val="auto"/>
              </w:rPr>
              <w:t>Hwy 360 1</w:t>
            </w:r>
          </w:p>
        </w:tc>
        <w:tc>
          <w:tcPr>
            <w:tcW w:w="4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8/10/2012</w:t>
            </w:r>
          </w:p>
        </w:tc>
        <w:tc>
          <w:tcPr>
            <w:tcW w:w="1540" w:type="dxa"/>
            <w:vAlign w:val="bottom"/>
          </w:tcPr>
          <w:p>
            <w:pPr>
              <w:ind w:left="60"/>
              <w:spacing w:after="0"/>
              <w:rPr>
                <w:sz w:val="20"/>
                <w:szCs w:val="20"/>
                <w:color w:val="auto"/>
              </w:rPr>
            </w:pPr>
            <w:r>
              <w:rPr>
                <w:rFonts w:ascii="Arial" w:cs="Arial" w:eastAsia="Arial" w:hAnsi="Arial"/>
                <w:sz w:val="16"/>
                <w:szCs w:val="16"/>
                <w:color w:val="auto"/>
              </w:rPr>
              <w:t>Grand Prairie / N</w:t>
            </w:r>
          </w:p>
        </w:tc>
        <w:tc>
          <w:tcPr>
            <w:tcW w:w="440" w:type="dxa"/>
            <w:vAlign w:val="bottom"/>
            <w:vMerge w:val="restart"/>
          </w:tcPr>
          <w:p>
            <w:pPr>
              <w:ind w:left="120"/>
              <w:spacing w:after="0"/>
              <w:rPr>
                <w:sz w:val="20"/>
                <w:szCs w:val="20"/>
                <w:color w:val="auto"/>
              </w:rPr>
            </w:pPr>
            <w:r>
              <w:rPr>
                <w:rFonts w:ascii="Arial" w:cs="Arial" w:eastAsia="Arial" w:hAnsi="Arial"/>
                <w:sz w:val="16"/>
                <w:szCs w:val="16"/>
                <w:color w:val="auto"/>
              </w:rPr>
              <w:t>TX</w:t>
            </w: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w w:val="89"/>
              </w:rPr>
              <w:t>3,048</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540" w:type="dxa"/>
            <w:vAlign w:val="bottom"/>
            <w:vMerge w:val="restart"/>
          </w:tcPr>
          <w:p>
            <w:pPr>
              <w:ind w:left="60"/>
              <w:spacing w:after="0"/>
              <w:rPr>
                <w:sz w:val="20"/>
                <w:szCs w:val="20"/>
                <w:color w:val="auto"/>
              </w:rPr>
            </w:pPr>
            <w:r>
              <w:rPr>
                <w:rFonts w:ascii="Arial" w:cs="Arial" w:eastAsia="Arial" w:hAnsi="Arial"/>
                <w:sz w:val="16"/>
                <w:szCs w:val="16"/>
                <w:color w:val="auto"/>
              </w:rPr>
              <w:t>Hwy 360 2</w:t>
            </w:r>
          </w:p>
        </w:tc>
        <w:tc>
          <w:tcPr>
            <w:tcW w:w="4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3/21/2016</w:t>
            </w:r>
          </w:p>
        </w:tc>
        <w:tc>
          <w:tcPr>
            <w:tcW w:w="1540" w:type="dxa"/>
            <w:vAlign w:val="bottom"/>
          </w:tcPr>
          <w:p>
            <w:pPr>
              <w:ind w:left="60"/>
              <w:spacing w:after="0"/>
              <w:rPr>
                <w:sz w:val="20"/>
                <w:szCs w:val="20"/>
                <w:color w:val="auto"/>
              </w:rPr>
            </w:pPr>
            <w:r>
              <w:rPr>
                <w:rFonts w:ascii="Arial" w:cs="Arial" w:eastAsia="Arial" w:hAnsi="Arial"/>
                <w:sz w:val="16"/>
                <w:szCs w:val="16"/>
                <w:color w:val="auto"/>
              </w:rPr>
              <w:t>Houston / Eldridge</w:t>
            </w:r>
          </w:p>
        </w:tc>
        <w:tc>
          <w:tcPr>
            <w:tcW w:w="440" w:type="dxa"/>
            <w:vAlign w:val="bottom"/>
            <w:vMerge w:val="restart"/>
          </w:tcPr>
          <w:p>
            <w:pPr>
              <w:ind w:left="120"/>
              <w:spacing w:after="0"/>
              <w:rPr>
                <w:sz w:val="20"/>
                <w:szCs w:val="20"/>
                <w:color w:val="auto"/>
              </w:rPr>
            </w:pPr>
            <w:r>
              <w:rPr>
                <w:rFonts w:ascii="Arial" w:cs="Arial" w:eastAsia="Arial" w:hAnsi="Arial"/>
                <w:sz w:val="16"/>
                <w:szCs w:val="16"/>
                <w:color w:val="auto"/>
              </w:rPr>
              <w:t>TX</w:t>
            </w: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540" w:type="dxa"/>
            <w:vAlign w:val="bottom"/>
            <w:vMerge w:val="restart"/>
          </w:tcPr>
          <w:p>
            <w:pPr>
              <w:ind w:left="60"/>
              <w:spacing w:after="0"/>
              <w:rPr>
                <w:sz w:val="20"/>
                <w:szCs w:val="20"/>
                <w:color w:val="auto"/>
              </w:rPr>
            </w:pPr>
            <w:r>
              <w:rPr>
                <w:rFonts w:ascii="Arial" w:cs="Arial" w:eastAsia="Arial" w:hAnsi="Arial"/>
                <w:sz w:val="16"/>
                <w:szCs w:val="16"/>
                <w:color w:val="auto"/>
              </w:rPr>
              <w:t>Pwy</w:t>
            </w:r>
          </w:p>
        </w:tc>
        <w:tc>
          <w:tcPr>
            <w:tcW w:w="4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10/6/2016</w:t>
            </w:r>
          </w:p>
        </w:tc>
        <w:tc>
          <w:tcPr>
            <w:tcW w:w="1540" w:type="dxa"/>
            <w:vAlign w:val="bottom"/>
          </w:tcPr>
          <w:p>
            <w:pPr>
              <w:ind w:left="60"/>
              <w:spacing w:after="0"/>
              <w:rPr>
                <w:sz w:val="20"/>
                <w:szCs w:val="20"/>
                <w:color w:val="auto"/>
              </w:rPr>
            </w:pPr>
            <w:r>
              <w:rPr>
                <w:rFonts w:ascii="Arial" w:cs="Arial" w:eastAsia="Arial" w:hAnsi="Arial"/>
                <w:sz w:val="16"/>
                <w:szCs w:val="16"/>
                <w:color w:val="auto"/>
              </w:rPr>
              <w:t>Houston / Fuqua St</w:t>
            </w:r>
          </w:p>
        </w:tc>
        <w:tc>
          <w:tcPr>
            <w:tcW w:w="440" w:type="dxa"/>
            <w:vAlign w:val="bottom"/>
          </w:tcPr>
          <w:p>
            <w:pPr>
              <w:ind w:left="120"/>
              <w:spacing w:after="0"/>
              <w:rPr>
                <w:sz w:val="20"/>
                <w:szCs w:val="20"/>
                <w:color w:val="auto"/>
              </w:rPr>
            </w:pPr>
            <w:r>
              <w:rPr>
                <w:rFonts w:ascii="Arial" w:cs="Arial" w:eastAsia="Arial" w:hAnsi="Arial"/>
                <w:sz w:val="16"/>
                <w:szCs w:val="16"/>
                <w:color w:val="auto"/>
              </w:rPr>
              <w:t>TX</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2/5/2014</w:t>
            </w:r>
          </w:p>
        </w:tc>
        <w:tc>
          <w:tcPr>
            <w:tcW w:w="1540" w:type="dxa"/>
            <w:vAlign w:val="bottom"/>
          </w:tcPr>
          <w:p>
            <w:pPr>
              <w:ind w:left="60"/>
              <w:spacing w:after="0"/>
              <w:rPr>
                <w:sz w:val="20"/>
                <w:szCs w:val="20"/>
                <w:color w:val="auto"/>
              </w:rPr>
            </w:pPr>
            <w:r>
              <w:rPr>
                <w:rFonts w:ascii="Arial" w:cs="Arial" w:eastAsia="Arial" w:hAnsi="Arial"/>
                <w:sz w:val="16"/>
                <w:szCs w:val="16"/>
                <w:color w:val="auto"/>
              </w:rPr>
              <w:t>Houston / Katy Fwy</w:t>
            </w:r>
          </w:p>
        </w:tc>
        <w:tc>
          <w:tcPr>
            <w:tcW w:w="440" w:type="dxa"/>
            <w:vAlign w:val="bottom"/>
            <w:vMerge w:val="restart"/>
          </w:tcPr>
          <w:p>
            <w:pPr>
              <w:ind w:left="120"/>
              <w:spacing w:after="0"/>
              <w:rPr>
                <w:sz w:val="20"/>
                <w:szCs w:val="20"/>
                <w:color w:val="auto"/>
              </w:rPr>
            </w:pPr>
            <w:r>
              <w:rPr>
                <w:rFonts w:ascii="Arial" w:cs="Arial" w:eastAsia="Arial" w:hAnsi="Arial"/>
                <w:sz w:val="16"/>
                <w:szCs w:val="16"/>
                <w:color w:val="auto"/>
              </w:rPr>
              <w:t>TX</w:t>
            </w: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540" w:type="dxa"/>
            <w:vAlign w:val="bottom"/>
            <w:vMerge w:val="restart"/>
          </w:tcPr>
          <w:p>
            <w:pPr>
              <w:ind w:left="60"/>
              <w:spacing w:after="0"/>
              <w:rPr>
                <w:sz w:val="20"/>
                <w:szCs w:val="20"/>
                <w:color w:val="auto"/>
              </w:rPr>
            </w:pPr>
            <w:r>
              <w:rPr>
                <w:rFonts w:ascii="Arial" w:cs="Arial" w:eastAsia="Arial" w:hAnsi="Arial"/>
                <w:sz w:val="16"/>
                <w:szCs w:val="16"/>
                <w:color w:val="auto"/>
              </w:rPr>
              <w:t>1</w:t>
            </w:r>
          </w:p>
        </w:tc>
        <w:tc>
          <w:tcPr>
            <w:tcW w:w="4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11/13/2015</w:t>
            </w:r>
          </w:p>
        </w:tc>
        <w:tc>
          <w:tcPr>
            <w:tcW w:w="1540" w:type="dxa"/>
            <w:vAlign w:val="bottom"/>
          </w:tcPr>
          <w:p>
            <w:pPr>
              <w:ind w:left="60"/>
              <w:spacing w:after="0"/>
              <w:rPr>
                <w:sz w:val="20"/>
                <w:szCs w:val="20"/>
                <w:color w:val="auto"/>
              </w:rPr>
            </w:pPr>
            <w:r>
              <w:rPr>
                <w:rFonts w:ascii="Arial" w:cs="Arial" w:eastAsia="Arial" w:hAnsi="Arial"/>
                <w:sz w:val="16"/>
                <w:szCs w:val="16"/>
                <w:color w:val="auto"/>
              </w:rPr>
              <w:t>Houston / Katy Fwy</w:t>
            </w:r>
          </w:p>
        </w:tc>
        <w:tc>
          <w:tcPr>
            <w:tcW w:w="440" w:type="dxa"/>
            <w:vAlign w:val="bottom"/>
          </w:tcPr>
          <w:p>
            <w:pPr>
              <w:ind w:left="120"/>
              <w:spacing w:after="0"/>
              <w:rPr>
                <w:sz w:val="20"/>
                <w:szCs w:val="20"/>
                <w:color w:val="auto"/>
              </w:rPr>
            </w:pPr>
            <w:r>
              <w:rPr>
                <w:rFonts w:ascii="Arial" w:cs="Arial" w:eastAsia="Arial" w:hAnsi="Arial"/>
                <w:sz w:val="16"/>
                <w:szCs w:val="16"/>
                <w:color w:val="auto"/>
              </w:rPr>
              <w:t>TX</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1540" w:type="dxa"/>
            <w:vAlign w:val="bottom"/>
          </w:tcPr>
          <w:p>
            <w:pPr>
              <w:ind w:left="60"/>
              <w:spacing w:after="0"/>
              <w:rPr>
                <w:sz w:val="20"/>
                <w:szCs w:val="20"/>
                <w:color w:val="auto"/>
              </w:rPr>
            </w:pPr>
            <w:r>
              <w:rPr>
                <w:rFonts w:ascii="Arial" w:cs="Arial" w:eastAsia="Arial" w:hAnsi="Arial"/>
                <w:sz w:val="16"/>
                <w:szCs w:val="16"/>
                <w:color w:val="auto"/>
              </w:rPr>
              <w:t>2</w:t>
            </w: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800" w:type="dxa"/>
            <w:vAlign w:val="bottom"/>
          </w:tcPr>
          <w:p>
            <w:pPr>
              <w:jc w:val="center"/>
              <w:spacing w:after="0"/>
              <w:rPr>
                <w:sz w:val="20"/>
                <w:szCs w:val="20"/>
                <w:color w:val="auto"/>
              </w:rPr>
            </w:pPr>
            <w:r>
              <w:rPr>
                <w:rFonts w:ascii="Arial" w:cs="Arial" w:eastAsia="Arial" w:hAnsi="Arial"/>
                <w:sz w:val="16"/>
                <w:szCs w:val="16"/>
                <w:color w:val="auto"/>
                <w:w w:val="89"/>
              </w:rPr>
              <w:t>12/14/2010</w:t>
            </w:r>
          </w:p>
        </w:tc>
        <w:tc>
          <w:tcPr>
            <w:tcW w:w="1540" w:type="dxa"/>
            <w:vAlign w:val="bottom"/>
          </w:tcPr>
          <w:p>
            <w:pPr>
              <w:ind w:left="60"/>
              <w:spacing w:after="0"/>
              <w:rPr>
                <w:sz w:val="20"/>
                <w:szCs w:val="20"/>
                <w:color w:val="auto"/>
              </w:rPr>
            </w:pPr>
            <w:r>
              <w:rPr>
                <w:rFonts w:ascii="Arial" w:cs="Arial" w:eastAsia="Arial" w:hAnsi="Arial"/>
                <w:sz w:val="16"/>
                <w:szCs w:val="16"/>
                <w:color w:val="auto"/>
              </w:rPr>
              <w:t>Houston / Ryewater</w:t>
            </w:r>
          </w:p>
        </w:tc>
        <w:tc>
          <w:tcPr>
            <w:tcW w:w="440" w:type="dxa"/>
            <w:vAlign w:val="bottom"/>
          </w:tcPr>
          <w:p>
            <w:pPr>
              <w:ind w:left="120"/>
              <w:spacing w:after="0"/>
              <w:rPr>
                <w:sz w:val="20"/>
                <w:szCs w:val="20"/>
                <w:color w:val="auto"/>
              </w:rPr>
            </w:pPr>
            <w:r>
              <w:rPr>
                <w:rFonts w:ascii="Arial" w:cs="Arial" w:eastAsia="Arial" w:hAnsi="Arial"/>
                <w:sz w:val="16"/>
                <w:szCs w:val="16"/>
                <w:color w:val="auto"/>
              </w:rPr>
              <w:t>TX</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1540" w:type="dxa"/>
            <w:vAlign w:val="bottom"/>
          </w:tcPr>
          <w:p>
            <w:pPr>
              <w:ind w:left="60"/>
              <w:spacing w:after="0"/>
              <w:rPr>
                <w:sz w:val="20"/>
                <w:szCs w:val="20"/>
                <w:color w:val="auto"/>
              </w:rPr>
            </w:pPr>
            <w:r>
              <w:rPr>
                <w:rFonts w:ascii="Arial" w:cs="Arial" w:eastAsia="Arial" w:hAnsi="Arial"/>
                <w:sz w:val="16"/>
                <w:szCs w:val="16"/>
                <w:color w:val="auto"/>
              </w:rPr>
              <w:t>Dr</w:t>
            </w: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540" w:type="dxa"/>
            <w:vAlign w:val="bottom"/>
          </w:tcPr>
          <w:p>
            <w:pPr>
              <w:ind w:left="60"/>
              <w:spacing w:after="0"/>
              <w:rPr>
                <w:sz w:val="20"/>
                <w:szCs w:val="20"/>
                <w:color w:val="auto"/>
              </w:rPr>
            </w:pPr>
            <w:r>
              <w:rPr>
                <w:rFonts w:ascii="Arial" w:cs="Arial" w:eastAsia="Arial" w:hAnsi="Arial"/>
                <w:sz w:val="16"/>
                <w:szCs w:val="16"/>
                <w:color w:val="auto"/>
              </w:rPr>
              <w:t>Houston / Senate</w:t>
            </w:r>
          </w:p>
        </w:tc>
        <w:tc>
          <w:tcPr>
            <w:tcW w:w="440" w:type="dxa"/>
            <w:vAlign w:val="bottom"/>
            <w:vMerge w:val="restart"/>
          </w:tcPr>
          <w:p>
            <w:pPr>
              <w:ind w:left="120"/>
              <w:spacing w:after="0"/>
              <w:rPr>
                <w:sz w:val="20"/>
                <w:szCs w:val="20"/>
                <w:color w:val="auto"/>
              </w:rPr>
            </w:pPr>
            <w:r>
              <w:rPr>
                <w:rFonts w:ascii="Arial" w:cs="Arial" w:eastAsia="Arial" w:hAnsi="Arial"/>
                <w:sz w:val="16"/>
                <w:szCs w:val="16"/>
                <w:color w:val="auto"/>
              </w:rPr>
              <w:t>TX</w:t>
            </w: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540" w:type="dxa"/>
            <w:vAlign w:val="bottom"/>
            <w:vMerge w:val="restart"/>
          </w:tcPr>
          <w:p>
            <w:pPr>
              <w:ind w:left="60"/>
              <w:spacing w:after="0"/>
              <w:rPr>
                <w:sz w:val="20"/>
                <w:szCs w:val="20"/>
                <w:color w:val="auto"/>
              </w:rPr>
            </w:pPr>
            <w:r>
              <w:rPr>
                <w:rFonts w:ascii="Arial" w:cs="Arial" w:eastAsia="Arial" w:hAnsi="Arial"/>
                <w:sz w:val="16"/>
                <w:szCs w:val="16"/>
                <w:color w:val="auto"/>
              </w:rPr>
              <w:t>Ave</w:t>
            </w:r>
          </w:p>
        </w:tc>
        <w:tc>
          <w:tcPr>
            <w:tcW w:w="4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11/1/2013</w:t>
            </w:r>
          </w:p>
        </w:tc>
        <w:tc>
          <w:tcPr>
            <w:tcW w:w="1540" w:type="dxa"/>
            <w:vAlign w:val="bottom"/>
          </w:tcPr>
          <w:p>
            <w:pPr>
              <w:ind w:left="60"/>
              <w:spacing w:after="0"/>
              <w:rPr>
                <w:sz w:val="20"/>
                <w:szCs w:val="20"/>
                <w:color w:val="auto"/>
              </w:rPr>
            </w:pPr>
            <w:r>
              <w:rPr>
                <w:rFonts w:ascii="Arial" w:cs="Arial" w:eastAsia="Arial" w:hAnsi="Arial"/>
                <w:sz w:val="16"/>
                <w:szCs w:val="16"/>
                <w:color w:val="auto"/>
              </w:rPr>
              <w:t>Houston / South</w:t>
            </w:r>
          </w:p>
        </w:tc>
        <w:tc>
          <w:tcPr>
            <w:tcW w:w="440" w:type="dxa"/>
            <w:vAlign w:val="bottom"/>
            <w:vMerge w:val="restart"/>
          </w:tcPr>
          <w:p>
            <w:pPr>
              <w:ind w:left="120"/>
              <w:spacing w:after="0"/>
              <w:rPr>
                <w:sz w:val="20"/>
                <w:szCs w:val="20"/>
                <w:color w:val="auto"/>
              </w:rPr>
            </w:pPr>
            <w:r>
              <w:rPr>
                <w:rFonts w:ascii="Arial" w:cs="Arial" w:eastAsia="Arial" w:hAnsi="Arial"/>
                <w:sz w:val="16"/>
                <w:szCs w:val="16"/>
                <w:color w:val="auto"/>
              </w:rPr>
              <w:t>TX</w:t>
            </w: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w w:val="89"/>
              </w:rPr>
              <w:t>4,196</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540" w:type="dxa"/>
            <w:vAlign w:val="bottom"/>
            <w:vMerge w:val="restart"/>
          </w:tcPr>
          <w:p>
            <w:pPr>
              <w:ind w:left="60"/>
              <w:spacing w:after="0"/>
              <w:rPr>
                <w:sz w:val="20"/>
                <w:szCs w:val="20"/>
                <w:color w:val="auto"/>
              </w:rPr>
            </w:pPr>
            <w:r>
              <w:rPr>
                <w:rFonts w:ascii="Arial" w:cs="Arial" w:eastAsia="Arial" w:hAnsi="Arial"/>
                <w:sz w:val="16"/>
                <w:szCs w:val="16"/>
                <w:color w:val="auto"/>
              </w:rPr>
              <w:t>Main</w:t>
            </w:r>
          </w:p>
        </w:tc>
        <w:tc>
          <w:tcPr>
            <w:tcW w:w="4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4/13/2006</w:t>
            </w:r>
          </w:p>
        </w:tc>
        <w:tc>
          <w:tcPr>
            <w:tcW w:w="1540" w:type="dxa"/>
            <w:vAlign w:val="bottom"/>
          </w:tcPr>
          <w:p>
            <w:pPr>
              <w:ind w:left="60"/>
              <w:spacing w:after="0"/>
              <w:rPr>
                <w:sz w:val="20"/>
                <w:szCs w:val="20"/>
                <w:color w:val="auto"/>
              </w:rPr>
            </w:pPr>
            <w:r>
              <w:rPr>
                <w:rFonts w:ascii="Arial" w:cs="Arial" w:eastAsia="Arial" w:hAnsi="Arial"/>
                <w:sz w:val="16"/>
                <w:szCs w:val="16"/>
                <w:color w:val="auto"/>
                <w:w w:val="98"/>
              </w:rPr>
              <w:t>Houston / Southwest</w:t>
            </w:r>
          </w:p>
        </w:tc>
        <w:tc>
          <w:tcPr>
            <w:tcW w:w="440" w:type="dxa"/>
            <w:vAlign w:val="bottom"/>
            <w:vMerge w:val="restart"/>
          </w:tcPr>
          <w:p>
            <w:pPr>
              <w:ind w:left="120"/>
              <w:spacing w:after="0"/>
              <w:rPr>
                <w:sz w:val="20"/>
                <w:szCs w:val="20"/>
                <w:color w:val="auto"/>
              </w:rPr>
            </w:pPr>
            <w:r>
              <w:rPr>
                <w:rFonts w:ascii="Arial" w:cs="Arial" w:eastAsia="Arial" w:hAnsi="Arial"/>
                <w:sz w:val="16"/>
                <w:szCs w:val="16"/>
                <w:color w:val="auto"/>
              </w:rPr>
              <w:t>TX</w:t>
            </w: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w w:val="89"/>
              </w:rPr>
              <w:t>8,555</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540" w:type="dxa"/>
            <w:vAlign w:val="bottom"/>
            <w:vMerge w:val="restart"/>
          </w:tcPr>
          <w:p>
            <w:pPr>
              <w:ind w:left="60"/>
              <w:spacing w:after="0"/>
              <w:rPr>
                <w:sz w:val="20"/>
                <w:szCs w:val="20"/>
                <w:color w:val="auto"/>
              </w:rPr>
            </w:pPr>
            <w:r>
              <w:rPr>
                <w:rFonts w:ascii="Arial" w:cs="Arial" w:eastAsia="Arial" w:hAnsi="Arial"/>
                <w:sz w:val="16"/>
                <w:szCs w:val="16"/>
                <w:color w:val="auto"/>
              </w:rPr>
              <w:t>Freeway</w:t>
            </w:r>
          </w:p>
        </w:tc>
        <w:tc>
          <w:tcPr>
            <w:tcW w:w="4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2/29/2012</w:t>
            </w:r>
          </w:p>
        </w:tc>
        <w:tc>
          <w:tcPr>
            <w:tcW w:w="1540" w:type="dxa"/>
            <w:vAlign w:val="bottom"/>
          </w:tcPr>
          <w:p>
            <w:pPr>
              <w:ind w:left="60"/>
              <w:spacing w:after="0"/>
              <w:rPr>
                <w:sz w:val="20"/>
                <w:szCs w:val="20"/>
                <w:color w:val="auto"/>
              </w:rPr>
            </w:pPr>
            <w:r>
              <w:rPr>
                <w:rFonts w:ascii="Arial" w:cs="Arial" w:eastAsia="Arial" w:hAnsi="Arial"/>
                <w:sz w:val="16"/>
                <w:szCs w:val="16"/>
                <w:color w:val="auto"/>
              </w:rPr>
              <w:t>Houston / Space</w:t>
            </w:r>
          </w:p>
        </w:tc>
        <w:tc>
          <w:tcPr>
            <w:tcW w:w="440" w:type="dxa"/>
            <w:vAlign w:val="bottom"/>
            <w:vMerge w:val="restart"/>
          </w:tcPr>
          <w:p>
            <w:pPr>
              <w:ind w:left="120"/>
              <w:spacing w:after="0"/>
              <w:rPr>
                <w:sz w:val="20"/>
                <w:szCs w:val="20"/>
                <w:color w:val="auto"/>
              </w:rPr>
            </w:pPr>
            <w:r>
              <w:rPr>
                <w:rFonts w:ascii="Arial" w:cs="Arial" w:eastAsia="Arial" w:hAnsi="Arial"/>
                <w:sz w:val="16"/>
                <w:szCs w:val="16"/>
                <w:color w:val="auto"/>
              </w:rPr>
              <w:t>TX</w:t>
            </w: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w w:val="89"/>
              </w:rPr>
              <w:t>5,470</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540" w:type="dxa"/>
            <w:vAlign w:val="bottom"/>
            <w:vMerge w:val="restart"/>
          </w:tcPr>
          <w:p>
            <w:pPr>
              <w:ind w:left="60"/>
              <w:spacing w:after="0"/>
              <w:rPr>
                <w:sz w:val="20"/>
                <w:szCs w:val="20"/>
                <w:color w:val="auto"/>
              </w:rPr>
            </w:pPr>
            <w:r>
              <w:rPr>
                <w:rFonts w:ascii="Arial" w:cs="Arial" w:eastAsia="Arial" w:hAnsi="Arial"/>
                <w:sz w:val="16"/>
                <w:szCs w:val="16"/>
                <w:color w:val="auto"/>
              </w:rPr>
              <w:t>Center Blvd</w:t>
            </w:r>
          </w:p>
        </w:tc>
        <w:tc>
          <w:tcPr>
            <w:tcW w:w="4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4/15/2015</w:t>
            </w:r>
          </w:p>
        </w:tc>
        <w:tc>
          <w:tcPr>
            <w:tcW w:w="1540" w:type="dxa"/>
            <w:vAlign w:val="bottom"/>
          </w:tcPr>
          <w:p>
            <w:pPr>
              <w:ind w:left="60"/>
              <w:spacing w:after="0"/>
              <w:rPr>
                <w:sz w:val="20"/>
                <w:szCs w:val="20"/>
                <w:color w:val="auto"/>
              </w:rPr>
            </w:pPr>
            <w:r>
              <w:rPr>
                <w:rFonts w:ascii="Arial" w:cs="Arial" w:eastAsia="Arial" w:hAnsi="Arial"/>
                <w:sz w:val="16"/>
                <w:szCs w:val="16"/>
                <w:color w:val="auto"/>
              </w:rPr>
              <w:t>Irving / N State Hwy</w:t>
            </w:r>
          </w:p>
        </w:tc>
        <w:tc>
          <w:tcPr>
            <w:tcW w:w="440" w:type="dxa"/>
            <w:vAlign w:val="bottom"/>
            <w:vMerge w:val="restart"/>
          </w:tcPr>
          <w:p>
            <w:pPr>
              <w:ind w:left="120"/>
              <w:spacing w:after="0"/>
              <w:rPr>
                <w:sz w:val="20"/>
                <w:szCs w:val="20"/>
                <w:color w:val="auto"/>
              </w:rPr>
            </w:pPr>
            <w:r>
              <w:rPr>
                <w:rFonts w:ascii="Arial" w:cs="Arial" w:eastAsia="Arial" w:hAnsi="Arial"/>
                <w:sz w:val="16"/>
                <w:szCs w:val="16"/>
                <w:color w:val="auto"/>
              </w:rPr>
              <w:t>TX</w:t>
            </w: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540" w:type="dxa"/>
            <w:vAlign w:val="bottom"/>
            <w:vMerge w:val="restart"/>
          </w:tcPr>
          <w:p>
            <w:pPr>
              <w:ind w:left="60"/>
              <w:spacing w:after="0"/>
              <w:rPr>
                <w:sz w:val="20"/>
                <w:szCs w:val="20"/>
                <w:color w:val="auto"/>
              </w:rPr>
            </w:pPr>
            <w:r>
              <w:rPr>
                <w:rFonts w:ascii="Arial" w:cs="Arial" w:eastAsia="Arial" w:hAnsi="Arial"/>
                <w:sz w:val="16"/>
                <w:szCs w:val="16"/>
                <w:color w:val="auto"/>
              </w:rPr>
              <w:t>161</w:t>
            </w:r>
          </w:p>
        </w:tc>
        <w:tc>
          <w:tcPr>
            <w:tcW w:w="4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4/15/2015</w:t>
            </w:r>
          </w:p>
        </w:tc>
        <w:tc>
          <w:tcPr>
            <w:tcW w:w="1540" w:type="dxa"/>
            <w:vAlign w:val="bottom"/>
          </w:tcPr>
          <w:p>
            <w:pPr>
              <w:ind w:left="60"/>
              <w:spacing w:after="0"/>
              <w:rPr>
                <w:sz w:val="20"/>
                <w:szCs w:val="20"/>
                <w:color w:val="auto"/>
              </w:rPr>
            </w:pPr>
            <w:r>
              <w:rPr>
                <w:rFonts w:ascii="Arial" w:cs="Arial" w:eastAsia="Arial" w:hAnsi="Arial"/>
                <w:sz w:val="16"/>
                <w:szCs w:val="16"/>
                <w:color w:val="auto"/>
              </w:rPr>
              <w:t>Irving / Story Rd</w:t>
            </w:r>
          </w:p>
        </w:tc>
        <w:tc>
          <w:tcPr>
            <w:tcW w:w="440" w:type="dxa"/>
            <w:vAlign w:val="bottom"/>
          </w:tcPr>
          <w:p>
            <w:pPr>
              <w:ind w:left="120"/>
              <w:spacing w:after="0"/>
              <w:rPr>
                <w:sz w:val="20"/>
                <w:szCs w:val="20"/>
                <w:color w:val="auto"/>
              </w:rPr>
            </w:pPr>
            <w:r>
              <w:rPr>
                <w:rFonts w:ascii="Arial" w:cs="Arial" w:eastAsia="Arial" w:hAnsi="Arial"/>
                <w:sz w:val="16"/>
                <w:szCs w:val="16"/>
                <w:color w:val="auto"/>
              </w:rPr>
              <w:t>TX</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540" w:type="dxa"/>
            <w:vAlign w:val="bottom"/>
          </w:tcPr>
          <w:p>
            <w:pPr>
              <w:ind w:left="60"/>
              <w:spacing w:after="0"/>
              <w:rPr>
                <w:sz w:val="20"/>
                <w:szCs w:val="20"/>
                <w:color w:val="auto"/>
              </w:rPr>
            </w:pPr>
            <w:r>
              <w:rPr>
                <w:rFonts w:ascii="Arial" w:cs="Arial" w:eastAsia="Arial" w:hAnsi="Arial"/>
                <w:sz w:val="16"/>
                <w:szCs w:val="16"/>
                <w:color w:val="auto"/>
              </w:rPr>
              <w:t>Kemah</w:t>
            </w:r>
          </w:p>
        </w:tc>
        <w:tc>
          <w:tcPr>
            <w:tcW w:w="440" w:type="dxa"/>
            <w:vAlign w:val="bottom"/>
          </w:tcPr>
          <w:p>
            <w:pPr>
              <w:ind w:left="120"/>
              <w:spacing w:after="0"/>
              <w:rPr>
                <w:sz w:val="20"/>
                <w:szCs w:val="20"/>
                <w:color w:val="auto"/>
              </w:rPr>
            </w:pPr>
            <w:r>
              <w:rPr>
                <w:rFonts w:ascii="Arial" w:cs="Arial" w:eastAsia="Arial" w:hAnsi="Arial"/>
                <w:sz w:val="16"/>
                <w:szCs w:val="16"/>
                <w:color w:val="auto"/>
              </w:rPr>
              <w:t>TX</w:t>
            </w:r>
          </w:p>
        </w:tc>
        <w:tc>
          <w:tcPr>
            <w:tcW w:w="580" w:type="dxa"/>
            <w:vAlign w:val="bottom"/>
          </w:tcPr>
          <w:p>
            <w:pPr>
              <w:jc w:val="center"/>
              <w:ind w:left="39"/>
              <w:spacing w:after="0"/>
              <w:rPr>
                <w:sz w:val="20"/>
                <w:szCs w:val="20"/>
                <w:color w:val="auto"/>
              </w:rPr>
            </w:pPr>
            <w:r>
              <w:rPr>
                <w:rFonts w:ascii="Arial" w:cs="Arial" w:eastAsia="Arial" w:hAnsi="Arial"/>
                <w:sz w:val="16"/>
                <w:szCs w:val="16"/>
                <w:color w:val="auto"/>
                <w:w w:val="93"/>
              </w:rPr>
              <w:t>12,305</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1/7/2016</w:t>
            </w:r>
          </w:p>
        </w:tc>
        <w:tc>
          <w:tcPr>
            <w:tcW w:w="1540" w:type="dxa"/>
            <w:vAlign w:val="bottom"/>
          </w:tcPr>
          <w:p>
            <w:pPr>
              <w:ind w:left="60"/>
              <w:spacing w:after="0"/>
              <w:rPr>
                <w:sz w:val="20"/>
                <w:szCs w:val="20"/>
                <w:color w:val="auto"/>
              </w:rPr>
            </w:pPr>
            <w:r>
              <w:rPr>
                <w:rFonts w:ascii="Arial" w:cs="Arial" w:eastAsia="Arial" w:hAnsi="Arial"/>
                <w:sz w:val="16"/>
                <w:szCs w:val="16"/>
                <w:color w:val="auto"/>
              </w:rPr>
              <w:t>Killeen / Fort Hood</w:t>
            </w:r>
          </w:p>
        </w:tc>
        <w:tc>
          <w:tcPr>
            <w:tcW w:w="440" w:type="dxa"/>
            <w:vAlign w:val="bottom"/>
            <w:vMerge w:val="restart"/>
          </w:tcPr>
          <w:p>
            <w:pPr>
              <w:ind w:left="120"/>
              <w:spacing w:after="0"/>
              <w:rPr>
                <w:sz w:val="20"/>
                <w:szCs w:val="20"/>
                <w:color w:val="auto"/>
              </w:rPr>
            </w:pPr>
            <w:r>
              <w:rPr>
                <w:rFonts w:ascii="Arial" w:cs="Arial" w:eastAsia="Arial" w:hAnsi="Arial"/>
                <w:sz w:val="16"/>
                <w:szCs w:val="16"/>
                <w:color w:val="auto"/>
              </w:rPr>
              <w:t>TX</w:t>
            </w: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540" w:type="dxa"/>
            <w:vAlign w:val="bottom"/>
            <w:vMerge w:val="restart"/>
          </w:tcPr>
          <w:p>
            <w:pPr>
              <w:ind w:left="60"/>
              <w:spacing w:after="0"/>
              <w:rPr>
                <w:sz w:val="20"/>
                <w:szCs w:val="20"/>
                <w:color w:val="auto"/>
              </w:rPr>
            </w:pPr>
            <w:r>
              <w:rPr>
                <w:rFonts w:ascii="Arial" w:cs="Arial" w:eastAsia="Arial" w:hAnsi="Arial"/>
                <w:sz w:val="16"/>
                <w:szCs w:val="16"/>
                <w:color w:val="auto"/>
              </w:rPr>
              <w:t>St</w:t>
            </w:r>
          </w:p>
        </w:tc>
        <w:tc>
          <w:tcPr>
            <w:tcW w:w="4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11/4/2013</w:t>
            </w:r>
          </w:p>
        </w:tc>
        <w:tc>
          <w:tcPr>
            <w:tcW w:w="1540" w:type="dxa"/>
            <w:vAlign w:val="bottom"/>
          </w:tcPr>
          <w:p>
            <w:pPr>
              <w:ind w:left="60"/>
              <w:spacing w:after="0"/>
              <w:rPr>
                <w:sz w:val="20"/>
                <w:szCs w:val="20"/>
                <w:color w:val="auto"/>
              </w:rPr>
            </w:pPr>
            <w:r>
              <w:rPr>
                <w:rFonts w:ascii="Arial" w:cs="Arial" w:eastAsia="Arial" w:hAnsi="Arial"/>
                <w:sz w:val="16"/>
                <w:szCs w:val="16"/>
                <w:color w:val="auto"/>
              </w:rPr>
              <w:t>Killeen / Jasper Rd</w:t>
            </w:r>
          </w:p>
        </w:tc>
        <w:tc>
          <w:tcPr>
            <w:tcW w:w="440" w:type="dxa"/>
            <w:vAlign w:val="bottom"/>
          </w:tcPr>
          <w:p>
            <w:pPr>
              <w:ind w:left="120"/>
              <w:spacing w:after="0"/>
              <w:rPr>
                <w:sz w:val="20"/>
                <w:szCs w:val="20"/>
                <w:color w:val="auto"/>
              </w:rPr>
            </w:pPr>
            <w:r>
              <w:rPr>
                <w:rFonts w:ascii="Arial" w:cs="Arial" w:eastAsia="Arial" w:hAnsi="Arial"/>
                <w:sz w:val="16"/>
                <w:szCs w:val="16"/>
                <w:color w:val="auto"/>
              </w:rPr>
              <w:t>TX</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89"/>
              </w:rPr>
              <w:t>2,601</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12/14/2010</w:t>
            </w:r>
          </w:p>
        </w:tc>
        <w:tc>
          <w:tcPr>
            <w:tcW w:w="1540" w:type="dxa"/>
            <w:vAlign w:val="bottom"/>
          </w:tcPr>
          <w:p>
            <w:pPr>
              <w:ind w:left="60"/>
              <w:spacing w:after="0"/>
              <w:rPr>
                <w:sz w:val="20"/>
                <w:szCs w:val="20"/>
                <w:color w:val="auto"/>
              </w:rPr>
            </w:pPr>
            <w:r>
              <w:rPr>
                <w:rFonts w:ascii="Arial" w:cs="Arial" w:eastAsia="Arial" w:hAnsi="Arial"/>
                <w:sz w:val="16"/>
                <w:szCs w:val="16"/>
                <w:color w:val="auto"/>
              </w:rPr>
              <w:t>La Porte</w:t>
            </w:r>
          </w:p>
        </w:tc>
        <w:tc>
          <w:tcPr>
            <w:tcW w:w="440" w:type="dxa"/>
            <w:vAlign w:val="bottom"/>
          </w:tcPr>
          <w:p>
            <w:pPr>
              <w:ind w:left="120"/>
              <w:spacing w:after="0"/>
              <w:rPr>
                <w:sz w:val="20"/>
                <w:szCs w:val="20"/>
                <w:color w:val="auto"/>
              </w:rPr>
            </w:pPr>
            <w:r>
              <w:rPr>
                <w:rFonts w:ascii="Arial" w:cs="Arial" w:eastAsia="Arial" w:hAnsi="Arial"/>
                <w:sz w:val="16"/>
                <w:szCs w:val="16"/>
                <w:color w:val="auto"/>
              </w:rPr>
              <w:t>TX</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8/12/2016</w:t>
            </w:r>
          </w:p>
        </w:tc>
        <w:tc>
          <w:tcPr>
            <w:tcW w:w="1540" w:type="dxa"/>
            <w:vAlign w:val="bottom"/>
          </w:tcPr>
          <w:p>
            <w:pPr>
              <w:ind w:left="60"/>
              <w:spacing w:after="0"/>
              <w:rPr>
                <w:sz w:val="20"/>
                <w:szCs w:val="20"/>
                <w:color w:val="auto"/>
              </w:rPr>
            </w:pPr>
            <w:r>
              <w:rPr>
                <w:rFonts w:ascii="Arial" w:cs="Arial" w:eastAsia="Arial" w:hAnsi="Arial"/>
                <w:sz w:val="16"/>
                <w:szCs w:val="16"/>
                <w:color w:val="auto"/>
              </w:rPr>
              <w:t>Lewisville /</w:t>
            </w:r>
          </w:p>
        </w:tc>
        <w:tc>
          <w:tcPr>
            <w:tcW w:w="440" w:type="dxa"/>
            <w:vAlign w:val="bottom"/>
            <w:vMerge w:val="restart"/>
          </w:tcPr>
          <w:p>
            <w:pPr>
              <w:ind w:left="120"/>
              <w:spacing w:after="0"/>
              <w:rPr>
                <w:sz w:val="20"/>
                <w:szCs w:val="20"/>
                <w:color w:val="auto"/>
              </w:rPr>
            </w:pPr>
            <w:r>
              <w:rPr>
                <w:rFonts w:ascii="Arial" w:cs="Arial" w:eastAsia="Arial" w:hAnsi="Arial"/>
                <w:sz w:val="16"/>
                <w:szCs w:val="16"/>
                <w:color w:val="auto"/>
              </w:rPr>
              <w:t>TX</w:t>
            </w: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540" w:type="dxa"/>
            <w:vAlign w:val="bottom"/>
            <w:vMerge w:val="restart"/>
          </w:tcPr>
          <w:p>
            <w:pPr>
              <w:ind w:left="60"/>
              <w:spacing w:after="0"/>
              <w:rPr>
                <w:sz w:val="20"/>
                <w:szCs w:val="20"/>
                <w:color w:val="auto"/>
              </w:rPr>
            </w:pPr>
            <w:r>
              <w:rPr>
                <w:rFonts w:ascii="Arial" w:cs="Arial" w:eastAsia="Arial" w:hAnsi="Arial"/>
                <w:sz w:val="16"/>
                <w:szCs w:val="16"/>
                <w:color w:val="auto"/>
              </w:rPr>
              <w:t>Interstate 35 E</w:t>
            </w:r>
          </w:p>
        </w:tc>
        <w:tc>
          <w:tcPr>
            <w:tcW w:w="4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4/15/2015</w:t>
            </w:r>
          </w:p>
        </w:tc>
        <w:tc>
          <w:tcPr>
            <w:tcW w:w="1540" w:type="dxa"/>
            <w:vAlign w:val="bottom"/>
          </w:tcPr>
          <w:p>
            <w:pPr>
              <w:ind w:left="60"/>
              <w:spacing w:after="0"/>
              <w:rPr>
                <w:sz w:val="20"/>
                <w:szCs w:val="20"/>
                <w:color w:val="auto"/>
              </w:rPr>
            </w:pPr>
            <w:r>
              <w:rPr>
                <w:rFonts w:ascii="Arial" w:cs="Arial" w:eastAsia="Arial" w:hAnsi="Arial"/>
                <w:sz w:val="16"/>
                <w:szCs w:val="16"/>
                <w:color w:val="auto"/>
              </w:rPr>
              <w:t>Lewisville / State</w:t>
            </w:r>
          </w:p>
        </w:tc>
        <w:tc>
          <w:tcPr>
            <w:tcW w:w="440" w:type="dxa"/>
            <w:vAlign w:val="bottom"/>
            <w:vMerge w:val="restart"/>
          </w:tcPr>
          <w:p>
            <w:pPr>
              <w:ind w:left="120"/>
              <w:spacing w:after="0"/>
              <w:rPr>
                <w:sz w:val="20"/>
                <w:szCs w:val="20"/>
                <w:color w:val="auto"/>
              </w:rPr>
            </w:pPr>
            <w:r>
              <w:rPr>
                <w:rFonts w:ascii="Arial" w:cs="Arial" w:eastAsia="Arial" w:hAnsi="Arial"/>
                <w:sz w:val="16"/>
                <w:szCs w:val="16"/>
                <w:color w:val="auto"/>
              </w:rPr>
              <w:t>TX</w:t>
            </w: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w w:val="89"/>
              </w:rPr>
              <w:t>4,929</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540" w:type="dxa"/>
            <w:vAlign w:val="bottom"/>
            <w:vMerge w:val="restart"/>
          </w:tcPr>
          <w:p>
            <w:pPr>
              <w:ind w:left="60"/>
              <w:spacing w:after="0"/>
              <w:rPr>
                <w:sz w:val="20"/>
                <w:szCs w:val="20"/>
                <w:color w:val="auto"/>
              </w:rPr>
            </w:pPr>
            <w:r>
              <w:rPr>
                <w:rFonts w:ascii="Arial" w:cs="Arial" w:eastAsia="Arial" w:hAnsi="Arial"/>
                <w:sz w:val="16"/>
                <w:szCs w:val="16"/>
                <w:color w:val="auto"/>
              </w:rPr>
              <w:t>Hwy 121</w:t>
            </w:r>
          </w:p>
        </w:tc>
        <w:tc>
          <w:tcPr>
            <w:tcW w:w="4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1/7/2016</w:t>
            </w:r>
          </w:p>
        </w:tc>
        <w:tc>
          <w:tcPr>
            <w:tcW w:w="1540" w:type="dxa"/>
            <w:vAlign w:val="bottom"/>
          </w:tcPr>
          <w:p>
            <w:pPr>
              <w:ind w:left="60"/>
              <w:spacing w:after="0"/>
              <w:rPr>
                <w:sz w:val="20"/>
                <w:szCs w:val="20"/>
                <w:color w:val="auto"/>
              </w:rPr>
            </w:pPr>
            <w:r>
              <w:rPr>
                <w:rFonts w:ascii="Arial" w:cs="Arial" w:eastAsia="Arial" w:hAnsi="Arial"/>
                <w:sz w:val="16"/>
                <w:szCs w:val="16"/>
                <w:color w:val="auto"/>
              </w:rPr>
              <w:t>Manor / Harris</w:t>
            </w:r>
          </w:p>
        </w:tc>
        <w:tc>
          <w:tcPr>
            <w:tcW w:w="440" w:type="dxa"/>
            <w:vAlign w:val="bottom"/>
            <w:vMerge w:val="restart"/>
          </w:tcPr>
          <w:p>
            <w:pPr>
              <w:ind w:left="120"/>
              <w:spacing w:after="0"/>
              <w:rPr>
                <w:sz w:val="20"/>
                <w:szCs w:val="20"/>
                <w:color w:val="auto"/>
              </w:rPr>
            </w:pPr>
            <w:r>
              <w:rPr>
                <w:rFonts w:ascii="Arial" w:cs="Arial" w:eastAsia="Arial" w:hAnsi="Arial"/>
                <w:sz w:val="16"/>
                <w:szCs w:val="16"/>
                <w:color w:val="auto"/>
              </w:rPr>
              <w:t>TX</w:t>
            </w: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540" w:type="dxa"/>
            <w:vAlign w:val="bottom"/>
            <w:vMerge w:val="restart"/>
          </w:tcPr>
          <w:p>
            <w:pPr>
              <w:ind w:left="60"/>
              <w:spacing w:after="0"/>
              <w:rPr>
                <w:sz w:val="20"/>
                <w:szCs w:val="20"/>
                <w:color w:val="auto"/>
              </w:rPr>
            </w:pPr>
            <w:r>
              <w:rPr>
                <w:rFonts w:ascii="Arial" w:cs="Arial" w:eastAsia="Arial" w:hAnsi="Arial"/>
                <w:sz w:val="16"/>
                <w:szCs w:val="16"/>
                <w:color w:val="auto"/>
              </w:rPr>
              <w:t>Branch Pkwy</w:t>
            </w:r>
          </w:p>
        </w:tc>
        <w:tc>
          <w:tcPr>
            <w:tcW w:w="4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4/15/2015</w:t>
            </w:r>
          </w:p>
        </w:tc>
        <w:tc>
          <w:tcPr>
            <w:tcW w:w="1540" w:type="dxa"/>
            <w:vAlign w:val="bottom"/>
          </w:tcPr>
          <w:p>
            <w:pPr>
              <w:ind w:left="60"/>
              <w:spacing w:after="0"/>
              <w:rPr>
                <w:sz w:val="20"/>
                <w:szCs w:val="20"/>
                <w:color w:val="auto"/>
              </w:rPr>
            </w:pPr>
            <w:r>
              <w:rPr>
                <w:rFonts w:ascii="Arial" w:cs="Arial" w:eastAsia="Arial" w:hAnsi="Arial"/>
                <w:sz w:val="16"/>
                <w:szCs w:val="16"/>
                <w:color w:val="auto"/>
              </w:rPr>
              <w:t>Mansfield</w:t>
            </w:r>
          </w:p>
        </w:tc>
        <w:tc>
          <w:tcPr>
            <w:tcW w:w="440" w:type="dxa"/>
            <w:vAlign w:val="bottom"/>
          </w:tcPr>
          <w:p>
            <w:pPr>
              <w:ind w:left="120"/>
              <w:spacing w:after="0"/>
              <w:rPr>
                <w:sz w:val="20"/>
                <w:szCs w:val="20"/>
                <w:color w:val="auto"/>
              </w:rPr>
            </w:pPr>
            <w:r>
              <w:rPr>
                <w:rFonts w:ascii="Arial" w:cs="Arial" w:eastAsia="Arial" w:hAnsi="Arial"/>
                <w:sz w:val="16"/>
                <w:szCs w:val="16"/>
                <w:color w:val="auto"/>
              </w:rPr>
              <w:t>TX</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89"/>
              </w:rPr>
              <w:t>4,243</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4/15/2015</w:t>
            </w:r>
          </w:p>
        </w:tc>
        <w:tc>
          <w:tcPr>
            <w:tcW w:w="1540" w:type="dxa"/>
            <w:vAlign w:val="bottom"/>
          </w:tcPr>
          <w:p>
            <w:pPr>
              <w:ind w:left="60"/>
              <w:spacing w:after="0"/>
              <w:rPr>
                <w:sz w:val="20"/>
                <w:szCs w:val="20"/>
                <w:color w:val="auto"/>
              </w:rPr>
            </w:pPr>
            <w:r>
              <w:rPr>
                <w:rFonts w:ascii="Arial" w:cs="Arial" w:eastAsia="Arial" w:hAnsi="Arial"/>
                <w:sz w:val="16"/>
                <w:szCs w:val="16"/>
                <w:color w:val="auto"/>
              </w:rPr>
              <w:t>Mesquite</w:t>
            </w:r>
          </w:p>
        </w:tc>
        <w:tc>
          <w:tcPr>
            <w:tcW w:w="440" w:type="dxa"/>
            <w:vAlign w:val="bottom"/>
          </w:tcPr>
          <w:p>
            <w:pPr>
              <w:ind w:left="120"/>
              <w:spacing w:after="0"/>
              <w:rPr>
                <w:sz w:val="20"/>
                <w:szCs w:val="20"/>
                <w:color w:val="auto"/>
              </w:rPr>
            </w:pPr>
            <w:r>
              <w:rPr>
                <w:rFonts w:ascii="Arial" w:cs="Arial" w:eastAsia="Arial" w:hAnsi="Arial"/>
                <w:sz w:val="16"/>
                <w:szCs w:val="16"/>
                <w:color w:val="auto"/>
              </w:rPr>
              <w:t>TX</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89"/>
              </w:rPr>
              <w:t>5,536</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6/2/2016</w:t>
            </w:r>
          </w:p>
        </w:tc>
        <w:tc>
          <w:tcPr>
            <w:tcW w:w="1540" w:type="dxa"/>
            <w:vAlign w:val="bottom"/>
          </w:tcPr>
          <w:p>
            <w:pPr>
              <w:ind w:left="60"/>
              <w:spacing w:after="0"/>
              <w:rPr>
                <w:sz w:val="20"/>
                <w:szCs w:val="20"/>
                <w:color w:val="auto"/>
              </w:rPr>
            </w:pPr>
            <w:r>
              <w:rPr>
                <w:rFonts w:ascii="Arial" w:cs="Arial" w:eastAsia="Arial" w:hAnsi="Arial"/>
                <w:sz w:val="16"/>
                <w:szCs w:val="16"/>
                <w:color w:val="auto"/>
              </w:rPr>
              <w:t>Midland / 2504 N</w:t>
            </w:r>
          </w:p>
        </w:tc>
        <w:tc>
          <w:tcPr>
            <w:tcW w:w="440" w:type="dxa"/>
            <w:vAlign w:val="bottom"/>
            <w:vMerge w:val="restart"/>
          </w:tcPr>
          <w:p>
            <w:pPr>
              <w:ind w:left="120"/>
              <w:spacing w:after="0"/>
              <w:rPr>
                <w:sz w:val="20"/>
                <w:szCs w:val="20"/>
                <w:color w:val="auto"/>
              </w:rPr>
            </w:pPr>
            <w:r>
              <w:rPr>
                <w:rFonts w:ascii="Arial" w:cs="Arial" w:eastAsia="Arial" w:hAnsi="Arial"/>
                <w:sz w:val="16"/>
                <w:szCs w:val="16"/>
                <w:color w:val="auto"/>
              </w:rPr>
              <w:t>TX</w:t>
            </w: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540" w:type="dxa"/>
            <w:vAlign w:val="bottom"/>
            <w:vMerge w:val="restart"/>
          </w:tcPr>
          <w:p>
            <w:pPr>
              <w:ind w:left="60"/>
              <w:spacing w:after="0"/>
              <w:rPr>
                <w:sz w:val="20"/>
                <w:szCs w:val="20"/>
                <w:color w:val="auto"/>
              </w:rPr>
            </w:pPr>
            <w:r>
              <w:rPr>
                <w:rFonts w:ascii="Arial" w:cs="Arial" w:eastAsia="Arial" w:hAnsi="Arial"/>
                <w:sz w:val="16"/>
                <w:szCs w:val="16"/>
                <w:color w:val="auto"/>
              </w:rPr>
              <w:t>Loop 250 W</w:t>
            </w:r>
          </w:p>
        </w:tc>
        <w:tc>
          <w:tcPr>
            <w:tcW w:w="4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540" w:type="dxa"/>
            <w:vAlign w:val="bottom"/>
          </w:tcPr>
          <w:p>
            <w:pPr>
              <w:ind w:left="60"/>
              <w:spacing w:after="0"/>
              <w:rPr>
                <w:sz w:val="20"/>
                <w:szCs w:val="20"/>
                <w:color w:val="auto"/>
              </w:rPr>
            </w:pPr>
            <w:r>
              <w:rPr>
                <w:rFonts w:ascii="Arial" w:cs="Arial" w:eastAsia="Arial" w:hAnsi="Arial"/>
                <w:sz w:val="16"/>
                <w:szCs w:val="16"/>
                <w:color w:val="auto"/>
              </w:rPr>
              <w:t>Midland / Andrews</w:t>
            </w:r>
          </w:p>
        </w:tc>
        <w:tc>
          <w:tcPr>
            <w:tcW w:w="440" w:type="dxa"/>
            <w:vAlign w:val="bottom"/>
            <w:vMerge w:val="restart"/>
          </w:tcPr>
          <w:p>
            <w:pPr>
              <w:ind w:left="120"/>
              <w:spacing w:after="0"/>
              <w:rPr>
                <w:sz w:val="20"/>
                <w:szCs w:val="20"/>
                <w:color w:val="auto"/>
              </w:rPr>
            </w:pPr>
            <w:r>
              <w:rPr>
                <w:rFonts w:ascii="Arial" w:cs="Arial" w:eastAsia="Arial" w:hAnsi="Arial"/>
                <w:sz w:val="16"/>
                <w:szCs w:val="16"/>
                <w:color w:val="auto"/>
              </w:rPr>
              <w:t>TX</w:t>
            </w: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540" w:type="dxa"/>
            <w:vAlign w:val="bottom"/>
            <w:vMerge w:val="restart"/>
          </w:tcPr>
          <w:p>
            <w:pPr>
              <w:ind w:left="60"/>
              <w:spacing w:after="0"/>
              <w:rPr>
                <w:sz w:val="20"/>
                <w:szCs w:val="20"/>
                <w:color w:val="auto"/>
              </w:rPr>
            </w:pPr>
            <w:r>
              <w:rPr>
                <w:rFonts w:ascii="Arial" w:cs="Arial" w:eastAsia="Arial" w:hAnsi="Arial"/>
                <w:sz w:val="16"/>
                <w:szCs w:val="16"/>
                <w:color w:val="auto"/>
              </w:rPr>
              <w:t>Hwy</w:t>
            </w:r>
          </w:p>
        </w:tc>
        <w:tc>
          <w:tcPr>
            <w:tcW w:w="4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6/2/2016</w:t>
            </w:r>
          </w:p>
        </w:tc>
        <w:tc>
          <w:tcPr>
            <w:tcW w:w="1540" w:type="dxa"/>
            <w:vAlign w:val="bottom"/>
          </w:tcPr>
          <w:p>
            <w:pPr>
              <w:ind w:left="60"/>
              <w:spacing w:after="0"/>
              <w:rPr>
                <w:sz w:val="20"/>
                <w:szCs w:val="20"/>
                <w:color w:val="auto"/>
              </w:rPr>
            </w:pPr>
            <w:r>
              <w:rPr>
                <w:rFonts w:ascii="Arial" w:cs="Arial" w:eastAsia="Arial" w:hAnsi="Arial"/>
                <w:sz w:val="16"/>
                <w:szCs w:val="16"/>
                <w:color w:val="auto"/>
              </w:rPr>
              <w:t>Midland / Caldera</w:t>
            </w:r>
          </w:p>
        </w:tc>
        <w:tc>
          <w:tcPr>
            <w:tcW w:w="440" w:type="dxa"/>
            <w:vAlign w:val="bottom"/>
            <w:vMerge w:val="restart"/>
          </w:tcPr>
          <w:p>
            <w:pPr>
              <w:ind w:left="120"/>
              <w:spacing w:after="0"/>
              <w:rPr>
                <w:sz w:val="20"/>
                <w:szCs w:val="20"/>
                <w:color w:val="auto"/>
              </w:rPr>
            </w:pPr>
            <w:r>
              <w:rPr>
                <w:rFonts w:ascii="Arial" w:cs="Arial" w:eastAsia="Arial" w:hAnsi="Arial"/>
                <w:sz w:val="16"/>
                <w:szCs w:val="16"/>
                <w:color w:val="auto"/>
              </w:rPr>
              <w:t>TX</w:t>
            </w: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540" w:type="dxa"/>
            <w:vAlign w:val="bottom"/>
            <w:vMerge w:val="restart"/>
          </w:tcPr>
          <w:p>
            <w:pPr>
              <w:ind w:left="60"/>
              <w:spacing w:after="0"/>
              <w:rPr>
                <w:sz w:val="20"/>
                <w:szCs w:val="20"/>
                <w:color w:val="auto"/>
              </w:rPr>
            </w:pPr>
            <w:r>
              <w:rPr>
                <w:rFonts w:ascii="Arial" w:cs="Arial" w:eastAsia="Arial" w:hAnsi="Arial"/>
                <w:sz w:val="16"/>
                <w:szCs w:val="16"/>
                <w:color w:val="auto"/>
              </w:rPr>
              <w:t>Blvd</w:t>
            </w:r>
          </w:p>
        </w:tc>
        <w:tc>
          <w:tcPr>
            <w:tcW w:w="4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10/1/2015</w:t>
            </w:r>
          </w:p>
        </w:tc>
        <w:tc>
          <w:tcPr>
            <w:tcW w:w="1540" w:type="dxa"/>
            <w:vAlign w:val="bottom"/>
          </w:tcPr>
          <w:p>
            <w:pPr>
              <w:ind w:left="60"/>
              <w:spacing w:after="0"/>
              <w:rPr>
                <w:sz w:val="20"/>
                <w:szCs w:val="20"/>
                <w:color w:val="auto"/>
              </w:rPr>
            </w:pPr>
            <w:r>
              <w:rPr>
                <w:rFonts w:ascii="Arial" w:cs="Arial" w:eastAsia="Arial" w:hAnsi="Arial"/>
                <w:sz w:val="16"/>
                <w:szCs w:val="16"/>
                <w:color w:val="auto"/>
              </w:rPr>
              <w:t>Midland / Loop 250</w:t>
            </w:r>
          </w:p>
        </w:tc>
        <w:tc>
          <w:tcPr>
            <w:tcW w:w="440" w:type="dxa"/>
            <w:vAlign w:val="bottom"/>
            <w:vMerge w:val="restart"/>
          </w:tcPr>
          <w:p>
            <w:pPr>
              <w:ind w:left="120"/>
              <w:spacing w:after="0"/>
              <w:rPr>
                <w:sz w:val="20"/>
                <w:szCs w:val="20"/>
                <w:color w:val="auto"/>
              </w:rPr>
            </w:pPr>
            <w:r>
              <w:rPr>
                <w:rFonts w:ascii="Arial" w:cs="Arial" w:eastAsia="Arial" w:hAnsi="Arial"/>
                <w:sz w:val="16"/>
                <w:szCs w:val="16"/>
                <w:color w:val="auto"/>
              </w:rPr>
              <w:t>TX</w:t>
            </w: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540" w:type="dxa"/>
            <w:vAlign w:val="bottom"/>
            <w:vMerge w:val="restart"/>
          </w:tcPr>
          <w:p>
            <w:pPr>
              <w:ind w:left="60"/>
              <w:spacing w:after="0"/>
              <w:rPr>
                <w:sz w:val="20"/>
                <w:szCs w:val="20"/>
                <w:color w:val="auto"/>
              </w:rPr>
            </w:pPr>
            <w:r>
              <w:rPr>
                <w:rFonts w:ascii="Arial" w:cs="Arial" w:eastAsia="Arial" w:hAnsi="Arial"/>
                <w:sz w:val="16"/>
                <w:szCs w:val="16"/>
                <w:color w:val="auto"/>
              </w:rPr>
              <w:t>N</w:t>
            </w:r>
          </w:p>
        </w:tc>
        <w:tc>
          <w:tcPr>
            <w:tcW w:w="4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6/2/2016</w:t>
            </w:r>
          </w:p>
        </w:tc>
        <w:tc>
          <w:tcPr>
            <w:tcW w:w="1540" w:type="dxa"/>
            <w:vAlign w:val="bottom"/>
          </w:tcPr>
          <w:p>
            <w:pPr>
              <w:ind w:left="60"/>
              <w:spacing w:after="0"/>
              <w:rPr>
                <w:sz w:val="20"/>
                <w:szCs w:val="20"/>
                <w:color w:val="auto"/>
              </w:rPr>
            </w:pPr>
            <w:r>
              <w:rPr>
                <w:rFonts w:ascii="Arial" w:cs="Arial" w:eastAsia="Arial" w:hAnsi="Arial"/>
                <w:sz w:val="16"/>
                <w:szCs w:val="16"/>
                <w:color w:val="auto"/>
              </w:rPr>
              <w:t>Odessa / Grandview</w:t>
            </w:r>
          </w:p>
        </w:tc>
        <w:tc>
          <w:tcPr>
            <w:tcW w:w="440" w:type="dxa"/>
            <w:vAlign w:val="bottom"/>
            <w:vMerge w:val="restart"/>
          </w:tcPr>
          <w:p>
            <w:pPr>
              <w:ind w:left="120"/>
              <w:spacing w:after="0"/>
              <w:rPr>
                <w:sz w:val="20"/>
                <w:szCs w:val="20"/>
                <w:color w:val="auto"/>
              </w:rPr>
            </w:pPr>
            <w:r>
              <w:rPr>
                <w:rFonts w:ascii="Arial" w:cs="Arial" w:eastAsia="Arial" w:hAnsi="Arial"/>
                <w:sz w:val="16"/>
                <w:szCs w:val="16"/>
                <w:color w:val="auto"/>
              </w:rPr>
              <w:t>TX</w:t>
            </w: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540" w:type="dxa"/>
            <w:vAlign w:val="bottom"/>
            <w:vMerge w:val="restart"/>
          </w:tcPr>
          <w:p>
            <w:pPr>
              <w:ind w:left="60"/>
              <w:spacing w:after="0"/>
              <w:rPr>
                <w:sz w:val="20"/>
                <w:szCs w:val="20"/>
                <w:color w:val="auto"/>
              </w:rPr>
            </w:pPr>
            <w:r>
              <w:rPr>
                <w:rFonts w:ascii="Arial" w:cs="Arial" w:eastAsia="Arial" w:hAnsi="Arial"/>
                <w:sz w:val="16"/>
                <w:szCs w:val="16"/>
                <w:color w:val="auto"/>
              </w:rPr>
              <w:t>Ave</w:t>
            </w:r>
          </w:p>
        </w:tc>
        <w:tc>
          <w:tcPr>
            <w:tcW w:w="4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6/2/2016</w:t>
            </w:r>
          </w:p>
        </w:tc>
        <w:tc>
          <w:tcPr>
            <w:tcW w:w="1540" w:type="dxa"/>
            <w:vAlign w:val="bottom"/>
          </w:tcPr>
          <w:p>
            <w:pPr>
              <w:ind w:left="60"/>
              <w:spacing w:after="0"/>
              <w:rPr>
                <w:sz w:val="20"/>
                <w:szCs w:val="20"/>
                <w:color w:val="auto"/>
              </w:rPr>
            </w:pPr>
            <w:r>
              <w:rPr>
                <w:rFonts w:ascii="Arial" w:cs="Arial" w:eastAsia="Arial" w:hAnsi="Arial"/>
                <w:sz w:val="16"/>
                <w:szCs w:val="16"/>
                <w:color w:val="auto"/>
              </w:rPr>
              <w:t>Odessa / Kermit</w:t>
            </w:r>
          </w:p>
        </w:tc>
        <w:tc>
          <w:tcPr>
            <w:tcW w:w="440" w:type="dxa"/>
            <w:vAlign w:val="bottom"/>
            <w:vMerge w:val="restart"/>
          </w:tcPr>
          <w:p>
            <w:pPr>
              <w:ind w:left="120"/>
              <w:spacing w:after="0"/>
              <w:rPr>
                <w:sz w:val="20"/>
                <w:szCs w:val="20"/>
                <w:color w:val="auto"/>
              </w:rPr>
            </w:pPr>
            <w:r>
              <w:rPr>
                <w:rFonts w:ascii="Arial" w:cs="Arial" w:eastAsia="Arial" w:hAnsi="Arial"/>
                <w:sz w:val="16"/>
                <w:szCs w:val="16"/>
                <w:color w:val="auto"/>
              </w:rPr>
              <w:t>TX</w:t>
            </w: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540" w:type="dxa"/>
            <w:vAlign w:val="bottom"/>
            <w:vMerge w:val="restart"/>
          </w:tcPr>
          <w:p>
            <w:pPr>
              <w:ind w:left="60"/>
              <w:spacing w:after="0"/>
              <w:rPr>
                <w:sz w:val="20"/>
                <w:szCs w:val="20"/>
                <w:color w:val="auto"/>
              </w:rPr>
            </w:pPr>
            <w:r>
              <w:rPr>
                <w:rFonts w:ascii="Arial" w:cs="Arial" w:eastAsia="Arial" w:hAnsi="Arial"/>
                <w:sz w:val="16"/>
                <w:szCs w:val="16"/>
                <w:color w:val="auto"/>
              </w:rPr>
              <w:t>Hwy</w:t>
            </w:r>
          </w:p>
        </w:tc>
        <w:tc>
          <w:tcPr>
            <w:tcW w:w="4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540" w:type="dxa"/>
            <w:vAlign w:val="bottom"/>
          </w:tcPr>
          <w:p>
            <w:pPr>
              <w:ind w:left="60"/>
              <w:spacing w:after="0"/>
              <w:rPr>
                <w:sz w:val="20"/>
                <w:szCs w:val="20"/>
                <w:color w:val="auto"/>
              </w:rPr>
            </w:pPr>
            <w:r>
              <w:rPr>
                <w:rFonts w:ascii="Arial" w:cs="Arial" w:eastAsia="Arial" w:hAnsi="Arial"/>
                <w:sz w:val="16"/>
                <w:szCs w:val="16"/>
                <w:color w:val="auto"/>
              </w:rPr>
              <w:t>Pearland</w:t>
            </w:r>
          </w:p>
        </w:tc>
        <w:tc>
          <w:tcPr>
            <w:tcW w:w="440" w:type="dxa"/>
            <w:vAlign w:val="bottom"/>
          </w:tcPr>
          <w:p>
            <w:pPr>
              <w:ind w:left="120"/>
              <w:spacing w:after="0"/>
              <w:rPr>
                <w:sz w:val="20"/>
                <w:szCs w:val="20"/>
                <w:color w:val="auto"/>
              </w:rPr>
            </w:pPr>
            <w:r>
              <w:rPr>
                <w:rFonts w:ascii="Arial" w:cs="Arial" w:eastAsia="Arial" w:hAnsi="Arial"/>
                <w:sz w:val="16"/>
                <w:szCs w:val="16"/>
                <w:color w:val="auto"/>
              </w:rPr>
              <w:t>TX</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89"/>
              </w:rPr>
              <w:t>5,738</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4/15/2015</w:t>
            </w:r>
          </w:p>
        </w:tc>
        <w:tc>
          <w:tcPr>
            <w:tcW w:w="1540" w:type="dxa"/>
            <w:vAlign w:val="bottom"/>
          </w:tcPr>
          <w:p>
            <w:pPr>
              <w:ind w:left="60"/>
              <w:spacing w:after="0"/>
              <w:rPr>
                <w:sz w:val="20"/>
                <w:szCs w:val="20"/>
                <w:color w:val="auto"/>
              </w:rPr>
            </w:pPr>
            <w:r>
              <w:rPr>
                <w:rFonts w:ascii="Arial" w:cs="Arial" w:eastAsia="Arial" w:hAnsi="Arial"/>
                <w:sz w:val="16"/>
                <w:szCs w:val="16"/>
                <w:color w:val="auto"/>
              </w:rPr>
              <w:t>Plano / 14th Street</w:t>
            </w:r>
          </w:p>
        </w:tc>
        <w:tc>
          <w:tcPr>
            <w:tcW w:w="440" w:type="dxa"/>
            <w:vAlign w:val="bottom"/>
          </w:tcPr>
          <w:p>
            <w:pPr>
              <w:ind w:left="120"/>
              <w:spacing w:after="0"/>
              <w:rPr>
                <w:sz w:val="20"/>
                <w:szCs w:val="20"/>
                <w:color w:val="auto"/>
              </w:rPr>
            </w:pPr>
            <w:r>
              <w:rPr>
                <w:rFonts w:ascii="Arial" w:cs="Arial" w:eastAsia="Arial" w:hAnsi="Arial"/>
                <w:sz w:val="16"/>
                <w:szCs w:val="16"/>
                <w:color w:val="auto"/>
              </w:rPr>
              <w:t>TX</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89"/>
              </w:rPr>
              <w:t>5,354</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4/15/2015</w:t>
            </w:r>
          </w:p>
        </w:tc>
        <w:tc>
          <w:tcPr>
            <w:tcW w:w="1540" w:type="dxa"/>
            <w:vAlign w:val="bottom"/>
          </w:tcPr>
          <w:p>
            <w:pPr>
              <w:ind w:left="60"/>
              <w:spacing w:after="0"/>
              <w:rPr>
                <w:sz w:val="20"/>
                <w:szCs w:val="20"/>
                <w:color w:val="auto"/>
              </w:rPr>
            </w:pPr>
            <w:r>
              <w:rPr>
                <w:rFonts w:ascii="Arial" w:cs="Arial" w:eastAsia="Arial" w:hAnsi="Arial"/>
                <w:sz w:val="16"/>
                <w:szCs w:val="16"/>
                <w:color w:val="auto"/>
              </w:rPr>
              <w:t>Plano / K Ave 1</w:t>
            </w:r>
          </w:p>
        </w:tc>
        <w:tc>
          <w:tcPr>
            <w:tcW w:w="440" w:type="dxa"/>
            <w:vAlign w:val="bottom"/>
          </w:tcPr>
          <w:p>
            <w:pPr>
              <w:ind w:left="120"/>
              <w:spacing w:after="0"/>
              <w:rPr>
                <w:sz w:val="20"/>
                <w:szCs w:val="20"/>
                <w:color w:val="auto"/>
              </w:rPr>
            </w:pPr>
            <w:r>
              <w:rPr>
                <w:rFonts w:ascii="Arial" w:cs="Arial" w:eastAsia="Arial" w:hAnsi="Arial"/>
                <w:sz w:val="16"/>
                <w:szCs w:val="16"/>
                <w:color w:val="auto"/>
              </w:rPr>
              <w:t>TX</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89"/>
              </w:rPr>
              <w:t>5,445</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4/15/2015</w:t>
            </w:r>
          </w:p>
        </w:tc>
        <w:tc>
          <w:tcPr>
            <w:tcW w:w="1540" w:type="dxa"/>
            <w:vAlign w:val="bottom"/>
          </w:tcPr>
          <w:p>
            <w:pPr>
              <w:ind w:left="60"/>
              <w:spacing w:after="0"/>
              <w:rPr>
                <w:sz w:val="20"/>
                <w:szCs w:val="20"/>
                <w:color w:val="auto"/>
              </w:rPr>
            </w:pPr>
            <w:r>
              <w:rPr>
                <w:rFonts w:ascii="Arial" w:cs="Arial" w:eastAsia="Arial" w:hAnsi="Arial"/>
                <w:sz w:val="16"/>
                <w:szCs w:val="16"/>
                <w:color w:val="auto"/>
              </w:rPr>
              <w:t>Plano / K Ave 2</w:t>
            </w:r>
          </w:p>
        </w:tc>
        <w:tc>
          <w:tcPr>
            <w:tcW w:w="440" w:type="dxa"/>
            <w:vAlign w:val="bottom"/>
          </w:tcPr>
          <w:p>
            <w:pPr>
              <w:ind w:left="120"/>
              <w:spacing w:after="0"/>
              <w:rPr>
                <w:sz w:val="20"/>
                <w:szCs w:val="20"/>
                <w:color w:val="auto"/>
              </w:rPr>
            </w:pPr>
            <w:r>
              <w:rPr>
                <w:rFonts w:ascii="Arial" w:cs="Arial" w:eastAsia="Arial" w:hAnsi="Arial"/>
                <w:sz w:val="16"/>
                <w:szCs w:val="16"/>
                <w:color w:val="auto"/>
              </w:rPr>
              <w:t>TX</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89"/>
              </w:rPr>
              <w:t>4,041</w:t>
            </w:r>
          </w:p>
        </w:tc>
        <w:tc>
          <w:tcPr>
            <w:tcW w:w="0" w:type="dxa"/>
            <w:vAlign w:val="bottom"/>
          </w:tcPr>
          <w:p>
            <w:pPr>
              <w:spacing w:after="0"/>
              <w:rPr>
                <w:sz w:val="1"/>
                <w:szCs w:val="1"/>
                <w:color w:val="auto"/>
              </w:rPr>
            </w:pPr>
          </w:p>
        </w:tc>
      </w:tr>
      <w:tr>
        <w:trPr>
          <w:trHeight w:val="31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11/22/2006</w:t>
            </w:r>
          </w:p>
        </w:tc>
        <w:tc>
          <w:tcPr>
            <w:tcW w:w="1540" w:type="dxa"/>
            <w:vAlign w:val="bottom"/>
          </w:tcPr>
          <w:p>
            <w:pPr>
              <w:ind w:left="60"/>
              <w:spacing w:after="0"/>
              <w:rPr>
                <w:sz w:val="20"/>
                <w:szCs w:val="20"/>
                <w:color w:val="auto"/>
              </w:rPr>
            </w:pPr>
            <w:r>
              <w:rPr>
                <w:rFonts w:ascii="Arial" w:cs="Arial" w:eastAsia="Arial" w:hAnsi="Arial"/>
                <w:sz w:val="16"/>
                <w:szCs w:val="16"/>
                <w:color w:val="auto"/>
              </w:rPr>
              <w:t>Plano / Plano</w:t>
            </w:r>
          </w:p>
        </w:tc>
        <w:tc>
          <w:tcPr>
            <w:tcW w:w="440" w:type="dxa"/>
            <w:vAlign w:val="bottom"/>
          </w:tcPr>
          <w:p>
            <w:pPr>
              <w:ind w:left="120"/>
              <w:spacing w:after="0"/>
              <w:rPr>
                <w:sz w:val="20"/>
                <w:szCs w:val="20"/>
                <w:color w:val="auto"/>
              </w:rPr>
            </w:pPr>
            <w:r>
              <w:rPr>
                <w:rFonts w:ascii="Arial" w:cs="Arial" w:eastAsia="Arial" w:hAnsi="Arial"/>
                <w:sz w:val="16"/>
                <w:szCs w:val="16"/>
                <w:color w:val="auto"/>
              </w:rPr>
              <w:t>TX</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89"/>
              </w:rPr>
              <w:t>5,080</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1540" w:type="dxa"/>
            <w:vAlign w:val="bottom"/>
          </w:tcPr>
          <w:p>
            <w:pPr>
              <w:ind w:left="60"/>
              <w:spacing w:after="0"/>
              <w:rPr>
                <w:sz w:val="20"/>
                <w:szCs w:val="20"/>
                <w:color w:val="auto"/>
              </w:rPr>
            </w:pPr>
            <w:r>
              <w:rPr>
                <w:rFonts w:ascii="Arial" w:cs="Arial" w:eastAsia="Arial" w:hAnsi="Arial"/>
                <w:sz w:val="16"/>
                <w:szCs w:val="16"/>
                <w:color w:val="auto"/>
              </w:rPr>
              <w:t>Parkway</w:t>
            </w: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11/22/2006</w:t>
            </w:r>
          </w:p>
        </w:tc>
        <w:tc>
          <w:tcPr>
            <w:tcW w:w="1540" w:type="dxa"/>
            <w:vAlign w:val="bottom"/>
          </w:tcPr>
          <w:p>
            <w:pPr>
              <w:ind w:left="60"/>
              <w:spacing w:after="0"/>
              <w:rPr>
                <w:sz w:val="20"/>
                <w:szCs w:val="20"/>
                <w:color w:val="auto"/>
              </w:rPr>
            </w:pPr>
            <w:r>
              <w:rPr>
                <w:rFonts w:ascii="Arial" w:cs="Arial" w:eastAsia="Arial" w:hAnsi="Arial"/>
                <w:sz w:val="16"/>
                <w:szCs w:val="16"/>
                <w:color w:val="auto"/>
                <w:w w:val="98"/>
              </w:rPr>
              <w:t>Plano / Spring Creek</w:t>
            </w:r>
          </w:p>
        </w:tc>
        <w:tc>
          <w:tcPr>
            <w:tcW w:w="440" w:type="dxa"/>
            <w:vAlign w:val="bottom"/>
          </w:tcPr>
          <w:p>
            <w:pPr>
              <w:ind w:left="120"/>
              <w:spacing w:after="0"/>
              <w:rPr>
                <w:sz w:val="20"/>
                <w:szCs w:val="20"/>
                <w:color w:val="auto"/>
              </w:rPr>
            </w:pPr>
            <w:r>
              <w:rPr>
                <w:rFonts w:ascii="Arial" w:cs="Arial" w:eastAsia="Arial" w:hAnsi="Arial"/>
                <w:sz w:val="16"/>
                <w:szCs w:val="16"/>
                <w:color w:val="auto"/>
              </w:rPr>
              <w:t>TX</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89"/>
              </w:rPr>
              <w:t>4,413</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11/1/2013</w:t>
            </w:r>
          </w:p>
        </w:tc>
        <w:tc>
          <w:tcPr>
            <w:tcW w:w="1540" w:type="dxa"/>
            <w:vAlign w:val="bottom"/>
          </w:tcPr>
          <w:p>
            <w:pPr>
              <w:ind w:left="60"/>
              <w:spacing w:after="0"/>
              <w:rPr>
                <w:sz w:val="20"/>
                <w:szCs w:val="20"/>
                <w:color w:val="auto"/>
              </w:rPr>
            </w:pPr>
            <w:r>
              <w:rPr>
                <w:rFonts w:ascii="Arial" w:cs="Arial" w:eastAsia="Arial" w:hAnsi="Arial"/>
                <w:sz w:val="16"/>
                <w:szCs w:val="16"/>
                <w:color w:val="auto"/>
                <w:w w:val="99"/>
              </w:rPr>
              <w:t>Plano / Wagner Way</w:t>
            </w:r>
          </w:p>
        </w:tc>
        <w:tc>
          <w:tcPr>
            <w:tcW w:w="440" w:type="dxa"/>
            <w:vAlign w:val="bottom"/>
          </w:tcPr>
          <w:p>
            <w:pPr>
              <w:ind w:left="120"/>
              <w:spacing w:after="0"/>
              <w:rPr>
                <w:sz w:val="20"/>
                <w:szCs w:val="20"/>
                <w:color w:val="auto"/>
              </w:rPr>
            </w:pPr>
            <w:r>
              <w:rPr>
                <w:rFonts w:ascii="Arial" w:cs="Arial" w:eastAsia="Arial" w:hAnsi="Arial"/>
                <w:sz w:val="16"/>
                <w:szCs w:val="16"/>
                <w:color w:val="auto"/>
              </w:rPr>
              <w:t>TX</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89"/>
              </w:rPr>
              <w:t>5,890</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10/6/2016</w:t>
            </w:r>
          </w:p>
        </w:tc>
        <w:tc>
          <w:tcPr>
            <w:tcW w:w="1540" w:type="dxa"/>
            <w:vAlign w:val="bottom"/>
          </w:tcPr>
          <w:p>
            <w:pPr>
              <w:ind w:left="60"/>
              <w:spacing w:after="0"/>
              <w:rPr>
                <w:sz w:val="20"/>
                <w:szCs w:val="20"/>
                <w:color w:val="auto"/>
              </w:rPr>
            </w:pPr>
            <w:r>
              <w:rPr>
                <w:rFonts w:ascii="Arial" w:cs="Arial" w:eastAsia="Arial" w:hAnsi="Arial"/>
                <w:sz w:val="16"/>
                <w:szCs w:val="16"/>
                <w:color w:val="auto"/>
              </w:rPr>
              <w:t>Rosenberg</w:t>
            </w:r>
          </w:p>
        </w:tc>
        <w:tc>
          <w:tcPr>
            <w:tcW w:w="440" w:type="dxa"/>
            <w:vAlign w:val="bottom"/>
          </w:tcPr>
          <w:p>
            <w:pPr>
              <w:ind w:left="120"/>
              <w:spacing w:after="0"/>
              <w:rPr>
                <w:sz w:val="20"/>
                <w:szCs w:val="20"/>
                <w:color w:val="auto"/>
              </w:rPr>
            </w:pPr>
            <w:r>
              <w:rPr>
                <w:rFonts w:ascii="Arial" w:cs="Arial" w:eastAsia="Arial" w:hAnsi="Arial"/>
                <w:sz w:val="16"/>
                <w:szCs w:val="16"/>
                <w:color w:val="auto"/>
              </w:rPr>
              <w:t>TX</w:t>
            </w:r>
          </w:p>
        </w:tc>
        <w:tc>
          <w:tcPr>
            <w:tcW w:w="58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772</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5,880</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63</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772</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5,943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6,715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38</w:t>
            </w:r>
          </w:p>
        </w:tc>
      </w:tr>
      <w:tr>
        <w:trPr>
          <w:trHeight w:val="553"/>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631</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5,794</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425</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630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6,220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6,850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2,093</w:t>
            </w:r>
          </w:p>
        </w:tc>
      </w:tr>
      <w:tr>
        <w:trPr>
          <w:trHeight w:val="459"/>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3,158</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2,512</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89</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3,158</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2,601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5,759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229</w:t>
            </w:r>
          </w:p>
        </w:tc>
      </w:tr>
      <w:tr>
        <w:trPr>
          <w:trHeight w:val="459"/>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1,424</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2,209</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217</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1,424</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2,426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3,850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226</w:t>
            </w:r>
          </w:p>
        </w:tc>
      </w:tr>
      <w:tr>
        <w:trPr>
          <w:trHeight w:val="364"/>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991</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6,999</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200</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991</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7,199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8,190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335</w:t>
            </w:r>
          </w:p>
        </w:tc>
      </w:tr>
      <w:tr>
        <w:trPr>
          <w:trHeight w:val="364"/>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1,055</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5,843</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482</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1,055</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6,325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7,380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161</w:t>
            </w:r>
          </w:p>
        </w:tc>
      </w:tr>
      <w:tr>
        <w:trPr>
          <w:trHeight w:val="459"/>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551</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2,330</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609</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551</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2,939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3,490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996</w:t>
            </w:r>
          </w:p>
        </w:tc>
      </w:tr>
      <w:tr>
        <w:trPr>
          <w:trHeight w:val="459"/>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2,327</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1,551</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189</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2,327</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1,740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4,067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242</w:t>
            </w:r>
          </w:p>
        </w:tc>
      </w:tr>
      <w:tr>
        <w:trPr>
          <w:trHeight w:val="459"/>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3,428</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6,423</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252</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3,428</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6,675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10,103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143</w:t>
            </w:r>
          </w:p>
        </w:tc>
      </w:tr>
      <w:tr>
        <w:trPr>
          <w:trHeight w:val="364"/>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931</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5,864</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94</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931</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5,958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6,889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39</w:t>
            </w:r>
          </w:p>
        </w:tc>
      </w:tr>
      <w:tr>
        <w:trPr>
          <w:trHeight w:val="364"/>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1,767</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12,368</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55</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1,767</w:t>
            </w: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12,423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14,190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921</w:t>
            </w:r>
          </w:p>
        </w:tc>
      </w:tr>
      <w:tr>
        <w:trPr>
          <w:trHeight w:val="459"/>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6,643</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7,551</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603</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6,643</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8,154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14,797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248</w:t>
            </w:r>
          </w:p>
        </w:tc>
      </w:tr>
      <w:tr>
        <w:trPr>
          <w:trHeight w:val="459"/>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402</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1,870</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240</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402</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2,110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2,512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402</w:t>
            </w:r>
          </w:p>
        </w:tc>
      </w:tr>
      <w:tr>
        <w:trPr>
          <w:trHeight w:val="459"/>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1,510</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5,235</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342</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1,510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5,577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7,087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180</w:t>
            </w:r>
          </w:p>
        </w:tc>
      </w:tr>
      <w:tr>
        <w:trPr>
          <w:trHeight w:val="459"/>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2,017</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4,181</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304</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2,017</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4,485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6,502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772</w:t>
            </w:r>
          </w:p>
        </w:tc>
      </w:tr>
      <w:tr>
        <w:trPr>
          <w:trHeight w:val="459"/>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2,596</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8,735</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419</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2,596</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9,154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11,750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2,650</w:t>
            </w:r>
          </w:p>
        </w:tc>
      </w:tr>
      <w:tr>
        <w:trPr>
          <w:trHeight w:val="459"/>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1,036</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8,133</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288</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1,036</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8,421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9,457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1,079</w:t>
            </w:r>
          </w:p>
        </w:tc>
      </w:tr>
      <w:tr>
        <w:trPr>
          <w:trHeight w:val="459"/>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951</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5,842</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265</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951</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6,107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7,058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276</w:t>
            </w:r>
          </w:p>
        </w:tc>
      </w:tr>
      <w:tr>
        <w:trPr>
          <w:trHeight w:val="364"/>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585</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5,445</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262</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585</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5,707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6,292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260</w:t>
            </w:r>
          </w:p>
        </w:tc>
      </w:tr>
      <w:tr>
        <w:trPr>
          <w:trHeight w:val="270"/>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2,720</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26,547</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434</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2,720</w:t>
            </w: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26,981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29,701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871</w:t>
            </w:r>
          </w:p>
        </w:tc>
      </w:tr>
      <w:tr>
        <w:trPr>
          <w:trHeight w:val="364"/>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1,683</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6,447</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353</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1,683</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6,800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8,483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172</w:t>
            </w:r>
          </w:p>
        </w:tc>
      </w:tr>
      <w:tr>
        <w:trPr>
          <w:trHeight w:val="364"/>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1,207</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1,688</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456</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1,207</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2,144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3,351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216</w:t>
            </w:r>
          </w:p>
        </w:tc>
      </w:tr>
      <w:tr>
        <w:trPr>
          <w:trHeight w:val="270"/>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1,608</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2,351</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353</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1,608</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2,704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4,312</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544</w:t>
            </w:r>
          </w:p>
        </w:tc>
      </w:tr>
      <w:tr>
        <w:trPr>
          <w:trHeight w:val="364"/>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1,804</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8,056</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25</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1,804</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8,081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9,885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86</w:t>
            </w:r>
          </w:p>
        </w:tc>
      </w:tr>
      <w:tr>
        <w:trPr>
          <w:trHeight w:val="459"/>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2,665</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6,399</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272</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2,665</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6,671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9,336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305</w:t>
            </w:r>
          </w:p>
        </w:tc>
      </w:tr>
      <w:tr>
        <w:trPr>
          <w:trHeight w:val="459"/>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2,501</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9,582</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403</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2,501</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9,985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12,486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258</w:t>
            </w:r>
          </w:p>
        </w:tc>
      </w:tr>
      <w:tr>
        <w:trPr>
          <w:trHeight w:val="364"/>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925</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7,411</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225</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925</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7,636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8,561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356</w:t>
            </w:r>
          </w:p>
        </w:tc>
      </w:tr>
      <w:tr>
        <w:trPr>
          <w:trHeight w:val="270"/>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1,910</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6,580</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401</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1,910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6,981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8,891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309</w:t>
            </w:r>
          </w:p>
        </w:tc>
      </w:tr>
      <w:tr>
        <w:trPr>
          <w:trHeight w:val="364"/>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1,469</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5,666</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281</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1,469</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5,947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7,416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84</w:t>
            </w:r>
          </w:p>
        </w:tc>
      </w:tr>
      <w:tr>
        <w:trPr>
          <w:trHeight w:val="459"/>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1,430</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8,353</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501</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1,430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8,854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10,284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290</w:t>
            </w:r>
          </w:p>
        </w:tc>
      </w:tr>
      <w:tr>
        <w:trPr>
          <w:trHeight w:val="459"/>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2,263</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7,451</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192</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2,263</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7,643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9,906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112</w:t>
            </w:r>
          </w:p>
        </w:tc>
      </w:tr>
      <w:tr>
        <w:trPr>
          <w:trHeight w:val="459"/>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1,320</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10,291</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323</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1,320</w:t>
            </w: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10,614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11,934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345</w:t>
            </w:r>
          </w:p>
        </w:tc>
      </w:tr>
      <w:tr>
        <w:trPr>
          <w:trHeight w:val="459"/>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2,084</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7,844</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178</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2,084</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8,022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10,106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110</w:t>
            </w:r>
          </w:p>
        </w:tc>
      </w:tr>
      <w:tr>
        <w:trPr>
          <w:trHeight w:val="459"/>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2,228</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7,855</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163</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2,228</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8,018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10,246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113</w:t>
            </w:r>
          </w:p>
        </w:tc>
      </w:tr>
      <w:tr>
        <w:trPr>
          <w:trHeight w:val="364"/>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3,400</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7,812</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213</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3,400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8,025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11,425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260</w:t>
            </w:r>
          </w:p>
        </w:tc>
      </w:tr>
      <w:tr>
        <w:trPr>
          <w:trHeight w:val="270"/>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1,681</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7,606</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231</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1,681</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7,837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9,518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358</w:t>
            </w:r>
          </w:p>
        </w:tc>
      </w:tr>
      <w:tr>
        <w:trPr>
          <w:trHeight w:val="270"/>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1,631</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8,498</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507</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1,631</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9,005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10,636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425</w:t>
            </w:r>
          </w:p>
        </w:tc>
      </w:tr>
      <w:tr>
        <w:trPr>
          <w:trHeight w:val="270"/>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1,298</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5,293</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175</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1,298</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5,468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6,766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248</w:t>
            </w:r>
          </w:p>
        </w:tc>
      </w:tr>
      <w:tr>
        <w:trPr>
          <w:trHeight w:val="364"/>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1,010</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6,203</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564</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1,010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6,767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7,777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1,885</w:t>
            </w:r>
          </w:p>
        </w:tc>
      </w:tr>
      <w:tr>
        <w:trPr>
          <w:trHeight w:val="364"/>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614</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3,775</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379</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613</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4,155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4,768</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1,180</w:t>
            </w:r>
          </w:p>
        </w:tc>
      </w:tr>
      <w:tr>
        <w:trPr>
          <w:trHeight w:val="270"/>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2,753</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4,353</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151</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2,753</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4,504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7,257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824</w:t>
            </w:r>
          </w:p>
        </w:tc>
      </w:tr>
      <w:tr>
        <w:trPr>
          <w:trHeight w:val="270"/>
        </w:trPr>
        <w:tc>
          <w:tcPr>
            <w:tcW w:w="680" w:type="dxa"/>
            <w:vAlign w:val="bottom"/>
          </w:tcPr>
          <w:p>
            <w:pPr>
              <w:jc w:val="center"/>
              <w:ind w:right="239"/>
              <w:spacing w:after="0"/>
              <w:rPr>
                <w:sz w:val="20"/>
                <w:szCs w:val="20"/>
                <w:color w:val="auto"/>
              </w:rPr>
            </w:pPr>
            <w:r>
              <w:rPr>
                <w:rFonts w:ascii="Arial" w:cs="Arial" w:eastAsia="Arial" w:hAnsi="Arial"/>
                <w:sz w:val="16"/>
                <w:szCs w:val="16"/>
                <w:color w:val="auto"/>
                <w:w w:val="89"/>
              </w:rPr>
              <w:t>1,308</w:t>
            </w: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89"/>
              </w:rPr>
              <w:t>5,687</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9"/>
              </w:rPr>
              <w:t>28</w:t>
            </w:r>
          </w:p>
        </w:tc>
        <w:tc>
          <w:tcPr>
            <w:tcW w:w="1340" w:type="dxa"/>
            <w:vAlign w:val="bottom"/>
          </w:tcPr>
          <w:p>
            <w:pPr>
              <w:jc w:val="center"/>
              <w:ind w:left="259"/>
              <w:spacing w:after="0"/>
              <w:rPr>
                <w:sz w:val="20"/>
                <w:szCs w:val="20"/>
                <w:color w:val="auto"/>
              </w:rPr>
            </w:pPr>
            <w:r>
              <w:rPr>
                <w:rFonts w:ascii="Arial" w:cs="Arial" w:eastAsia="Arial" w:hAnsi="Arial"/>
                <w:sz w:val="16"/>
                <w:szCs w:val="16"/>
                <w:color w:val="auto"/>
                <w:w w:val="89"/>
              </w:rPr>
              <w:t>1,308</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5,715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7,023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-10111740</wp:posOffset>
            </wp:positionV>
            <wp:extent cx="7246620" cy="2914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-9529445</wp:posOffset>
            </wp:positionV>
            <wp:extent cx="7246620" cy="2914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-9066530</wp:posOffset>
            </wp:positionV>
            <wp:extent cx="7246620" cy="2914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-8484235</wp:posOffset>
            </wp:positionV>
            <wp:extent cx="7246620" cy="2914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-7901940</wp:posOffset>
            </wp:positionV>
            <wp:extent cx="7246620" cy="1714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-7439025</wp:posOffset>
            </wp:positionV>
            <wp:extent cx="7246620" cy="2914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-6856730</wp:posOffset>
            </wp:positionV>
            <wp:extent cx="7246620" cy="2914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-6274435</wp:posOffset>
            </wp:positionV>
            <wp:extent cx="7246620" cy="2914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-5692140</wp:posOffset>
            </wp:positionV>
            <wp:extent cx="7246620" cy="2914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-5229225</wp:posOffset>
            </wp:positionV>
            <wp:extent cx="7246620" cy="1714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-4766945</wp:posOffset>
            </wp:positionV>
            <wp:extent cx="7246620" cy="1714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-4424045</wp:posOffset>
            </wp:positionV>
            <wp:extent cx="7246620" cy="2914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-3841750</wp:posOffset>
            </wp:positionV>
            <wp:extent cx="7246620" cy="2914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-3378835</wp:posOffset>
            </wp:positionV>
            <wp:extent cx="7246620" cy="1714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-2916555</wp:posOffset>
            </wp:positionV>
            <wp:extent cx="7246620" cy="2914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-2334260</wp:posOffset>
            </wp:positionV>
            <wp:extent cx="7246620" cy="2914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-1751330</wp:posOffset>
            </wp:positionV>
            <wp:extent cx="7246620" cy="2914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-1289050</wp:posOffset>
            </wp:positionV>
            <wp:extent cx="7246620" cy="1714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-946150</wp:posOffset>
            </wp:positionV>
            <wp:extent cx="7246620" cy="1714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-483870</wp:posOffset>
            </wp:positionV>
            <wp:extent cx="7246620" cy="1714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-140970</wp:posOffset>
            </wp:positionV>
            <wp:extent cx="7246620" cy="1714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2">
            <w:col w:w="3360" w:space="340"/>
            <w:col w:w="7300"/>
          </w:cols>
          <w:pgMar w:left="360" w:top="130" w:right="539" w:bottom="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6"/>
        </w:trPr>
        <w:tc>
          <w:tcPr>
            <w:tcW w:w="800" w:type="dxa"/>
            <w:vAlign w:val="bottom"/>
          </w:tcPr>
          <w:p>
            <w:pPr>
              <w:jc w:val="center"/>
              <w:spacing w:after="0"/>
              <w:rPr>
                <w:sz w:val="20"/>
                <w:szCs w:val="20"/>
                <w:color w:val="auto"/>
              </w:rPr>
            </w:pPr>
            <w:r>
              <w:rPr>
                <w:rFonts w:ascii="Arial" w:cs="Arial" w:eastAsia="Arial" w:hAnsi="Arial"/>
                <w:sz w:val="16"/>
                <w:szCs w:val="16"/>
                <w:color w:val="auto"/>
                <w:w w:val="89"/>
              </w:rPr>
              <w:t>8/10/2006</w:t>
            </w:r>
          </w:p>
        </w:tc>
        <w:tc>
          <w:tcPr>
            <w:tcW w:w="1360" w:type="dxa"/>
            <w:vAlign w:val="bottom"/>
          </w:tcPr>
          <w:p>
            <w:pPr>
              <w:ind w:left="60"/>
              <w:spacing w:after="0"/>
              <w:rPr>
                <w:sz w:val="20"/>
                <w:szCs w:val="20"/>
                <w:color w:val="auto"/>
              </w:rPr>
            </w:pPr>
            <w:r>
              <w:rPr>
                <w:rFonts w:ascii="Arial" w:cs="Arial" w:eastAsia="Arial" w:hAnsi="Arial"/>
                <w:sz w:val="16"/>
                <w:szCs w:val="16"/>
                <w:color w:val="auto"/>
              </w:rPr>
              <w:t>Rowlett</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8/26/2004</w:t>
            </w:r>
          </w:p>
        </w:tc>
        <w:tc>
          <w:tcPr>
            <w:tcW w:w="1360" w:type="dxa"/>
            <w:vAlign w:val="bottom"/>
          </w:tcPr>
          <w:p>
            <w:pPr>
              <w:ind w:left="60"/>
              <w:spacing w:after="0"/>
              <w:rPr>
                <w:sz w:val="20"/>
                <w:szCs w:val="20"/>
                <w:color w:val="auto"/>
              </w:rPr>
            </w:pPr>
            <w:r>
              <w:rPr>
                <w:rFonts w:ascii="Arial" w:cs="Arial" w:eastAsia="Arial" w:hAnsi="Arial"/>
                <w:sz w:val="16"/>
                <w:szCs w:val="16"/>
                <w:color w:val="auto"/>
              </w:rPr>
              <w:t>San Antonio /</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360" w:type="dxa"/>
            <w:vAlign w:val="bottom"/>
            <w:vMerge w:val="restart"/>
          </w:tcPr>
          <w:p>
            <w:pPr>
              <w:ind w:left="60"/>
              <w:spacing w:after="0"/>
              <w:rPr>
                <w:sz w:val="20"/>
                <w:szCs w:val="20"/>
                <w:color w:val="auto"/>
              </w:rPr>
            </w:pPr>
            <w:r>
              <w:rPr>
                <w:rFonts w:ascii="Arial" w:cs="Arial" w:eastAsia="Arial" w:hAnsi="Arial"/>
                <w:sz w:val="16"/>
                <w:szCs w:val="16"/>
                <w:color w:val="auto"/>
              </w:rPr>
              <w:t>Culebra Rd</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800" w:type="dxa"/>
            <w:vAlign w:val="bottom"/>
          </w:tcPr>
          <w:p>
            <w:pPr>
              <w:jc w:val="center"/>
              <w:spacing w:after="0"/>
              <w:rPr>
                <w:sz w:val="20"/>
                <w:szCs w:val="20"/>
                <w:color w:val="auto"/>
              </w:rPr>
            </w:pPr>
            <w:r>
              <w:rPr>
                <w:rFonts w:ascii="Arial" w:cs="Arial" w:eastAsia="Arial" w:hAnsi="Arial"/>
                <w:sz w:val="16"/>
                <w:szCs w:val="16"/>
                <w:color w:val="auto"/>
                <w:w w:val="89"/>
              </w:rPr>
              <w:t>12/14/2007</w:t>
            </w:r>
          </w:p>
        </w:tc>
        <w:tc>
          <w:tcPr>
            <w:tcW w:w="1360" w:type="dxa"/>
            <w:vAlign w:val="bottom"/>
          </w:tcPr>
          <w:p>
            <w:pPr>
              <w:ind w:left="60"/>
              <w:spacing w:after="0"/>
              <w:rPr>
                <w:sz w:val="20"/>
                <w:szCs w:val="20"/>
                <w:color w:val="auto"/>
              </w:rPr>
            </w:pPr>
            <w:r>
              <w:rPr>
                <w:rFonts w:ascii="Arial" w:cs="Arial" w:eastAsia="Arial" w:hAnsi="Arial"/>
                <w:sz w:val="16"/>
                <w:szCs w:val="16"/>
                <w:color w:val="auto"/>
              </w:rPr>
              <w:t>San Antonio /</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DeZavala Rd</w:t>
            </w:r>
          </w:p>
        </w:tc>
        <w:tc>
          <w:tcPr>
            <w:tcW w:w="0" w:type="dxa"/>
            <w:vAlign w:val="bottom"/>
          </w:tcPr>
          <w:p>
            <w:pPr>
              <w:spacing w:after="0"/>
              <w:rPr>
                <w:sz w:val="1"/>
                <w:szCs w:val="1"/>
                <w:color w:val="auto"/>
              </w:rPr>
            </w:pPr>
          </w:p>
        </w:tc>
      </w:tr>
      <w:tr>
        <w:trPr>
          <w:trHeight w:val="20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10/6/2016</w:t>
            </w:r>
          </w:p>
        </w:tc>
        <w:tc>
          <w:tcPr>
            <w:tcW w:w="1360" w:type="dxa"/>
            <w:vAlign w:val="bottom"/>
          </w:tcPr>
          <w:p>
            <w:pPr>
              <w:ind w:left="60"/>
              <w:spacing w:after="0"/>
              <w:rPr>
                <w:sz w:val="20"/>
                <w:szCs w:val="20"/>
                <w:color w:val="auto"/>
              </w:rPr>
            </w:pPr>
            <w:r>
              <w:rPr>
                <w:rFonts w:ascii="Arial" w:cs="Arial" w:eastAsia="Arial" w:hAnsi="Arial"/>
                <w:sz w:val="16"/>
                <w:szCs w:val="16"/>
                <w:color w:val="auto"/>
                <w:w w:val="94"/>
              </w:rPr>
              <w:t>San Antonio / Loop</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360" w:type="dxa"/>
            <w:vAlign w:val="bottom"/>
            <w:vMerge w:val="restart"/>
          </w:tcPr>
          <w:p>
            <w:pPr>
              <w:ind w:left="60"/>
              <w:spacing w:after="0"/>
              <w:rPr>
                <w:sz w:val="20"/>
                <w:szCs w:val="20"/>
                <w:color w:val="auto"/>
              </w:rPr>
            </w:pPr>
            <w:r>
              <w:rPr>
                <w:rFonts w:ascii="Arial" w:cs="Arial" w:eastAsia="Arial" w:hAnsi="Arial"/>
                <w:sz w:val="16"/>
                <w:szCs w:val="16"/>
                <w:color w:val="auto"/>
              </w:rPr>
              <w:t>1604 W</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10/23/2015</w:t>
            </w:r>
          </w:p>
        </w:tc>
        <w:tc>
          <w:tcPr>
            <w:tcW w:w="1360" w:type="dxa"/>
            <w:vAlign w:val="bottom"/>
          </w:tcPr>
          <w:p>
            <w:pPr>
              <w:ind w:left="60"/>
              <w:spacing w:after="0"/>
              <w:rPr>
                <w:sz w:val="20"/>
                <w:szCs w:val="20"/>
                <w:color w:val="auto"/>
              </w:rPr>
            </w:pPr>
            <w:r>
              <w:rPr>
                <w:rFonts w:ascii="Arial" w:cs="Arial" w:eastAsia="Arial" w:hAnsi="Arial"/>
                <w:sz w:val="16"/>
                <w:szCs w:val="16"/>
                <w:color w:val="auto"/>
                <w:w w:val="99"/>
              </w:rPr>
              <w:t>San Antonio / San</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Pedro Ave</w:t>
            </w:r>
          </w:p>
        </w:tc>
        <w:tc>
          <w:tcPr>
            <w:tcW w:w="0" w:type="dxa"/>
            <w:vAlign w:val="bottom"/>
          </w:tcPr>
          <w:p>
            <w:pPr>
              <w:spacing w:after="0"/>
              <w:rPr>
                <w:sz w:val="1"/>
                <w:szCs w:val="1"/>
                <w:color w:val="auto"/>
              </w:rPr>
            </w:pPr>
          </w:p>
        </w:tc>
      </w:tr>
      <w:tr>
        <w:trPr>
          <w:trHeight w:val="202"/>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8/26/2004</w:t>
            </w:r>
          </w:p>
        </w:tc>
        <w:tc>
          <w:tcPr>
            <w:tcW w:w="1360" w:type="dxa"/>
            <w:vAlign w:val="bottom"/>
          </w:tcPr>
          <w:p>
            <w:pPr>
              <w:ind w:left="60"/>
              <w:spacing w:after="0"/>
              <w:rPr>
                <w:sz w:val="20"/>
                <w:szCs w:val="20"/>
                <w:color w:val="auto"/>
              </w:rPr>
            </w:pPr>
            <w:r>
              <w:rPr>
                <w:rFonts w:ascii="Arial" w:cs="Arial" w:eastAsia="Arial" w:hAnsi="Arial"/>
                <w:sz w:val="16"/>
                <w:szCs w:val="16"/>
                <w:color w:val="auto"/>
              </w:rPr>
              <w:t>San Antonio /</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360" w:type="dxa"/>
            <w:vAlign w:val="bottom"/>
            <w:vMerge w:val="restart"/>
          </w:tcPr>
          <w:p>
            <w:pPr>
              <w:ind w:left="60"/>
              <w:spacing w:after="0"/>
              <w:rPr>
                <w:sz w:val="20"/>
                <w:szCs w:val="20"/>
                <w:color w:val="auto"/>
              </w:rPr>
            </w:pPr>
            <w:r>
              <w:rPr>
                <w:rFonts w:ascii="Arial" w:cs="Arial" w:eastAsia="Arial" w:hAnsi="Arial"/>
                <w:sz w:val="16"/>
                <w:szCs w:val="16"/>
                <w:color w:val="auto"/>
              </w:rPr>
              <w:t>Westchase Dr</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360" w:type="dxa"/>
            <w:vAlign w:val="bottom"/>
          </w:tcPr>
          <w:p>
            <w:pPr>
              <w:ind w:left="60"/>
              <w:spacing w:after="0"/>
              <w:rPr>
                <w:sz w:val="20"/>
                <w:szCs w:val="20"/>
                <w:color w:val="auto"/>
              </w:rPr>
            </w:pPr>
            <w:r>
              <w:rPr>
                <w:rFonts w:ascii="Arial" w:cs="Arial" w:eastAsia="Arial" w:hAnsi="Arial"/>
                <w:sz w:val="16"/>
                <w:szCs w:val="16"/>
                <w:color w:val="auto"/>
              </w:rPr>
              <w:t>Seabrook</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4/13/2006</w:t>
            </w:r>
          </w:p>
        </w:tc>
        <w:tc>
          <w:tcPr>
            <w:tcW w:w="1360" w:type="dxa"/>
            <w:vAlign w:val="bottom"/>
          </w:tcPr>
          <w:p>
            <w:pPr>
              <w:ind w:left="60"/>
              <w:spacing w:after="0"/>
              <w:rPr>
                <w:sz w:val="20"/>
                <w:szCs w:val="20"/>
                <w:color w:val="auto"/>
              </w:rPr>
            </w:pPr>
            <w:r>
              <w:rPr>
                <w:rFonts w:ascii="Arial" w:cs="Arial" w:eastAsia="Arial" w:hAnsi="Arial"/>
                <w:sz w:val="16"/>
                <w:szCs w:val="16"/>
                <w:color w:val="auto"/>
              </w:rPr>
              <w:t>South Houston</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7/2/2012</w:t>
            </w:r>
          </w:p>
        </w:tc>
        <w:tc>
          <w:tcPr>
            <w:tcW w:w="1360" w:type="dxa"/>
            <w:vAlign w:val="bottom"/>
          </w:tcPr>
          <w:p>
            <w:pPr>
              <w:ind w:left="60"/>
              <w:spacing w:after="0"/>
              <w:rPr>
                <w:sz w:val="20"/>
                <w:szCs w:val="20"/>
                <w:color w:val="auto"/>
              </w:rPr>
            </w:pPr>
            <w:r>
              <w:rPr>
                <w:rFonts w:ascii="Arial" w:cs="Arial" w:eastAsia="Arial" w:hAnsi="Arial"/>
                <w:sz w:val="16"/>
                <w:szCs w:val="16"/>
                <w:color w:val="auto"/>
                <w:w w:val="98"/>
              </w:rPr>
              <w:t>Spring / I/45 North</w:t>
            </w:r>
          </w:p>
        </w:tc>
        <w:tc>
          <w:tcPr>
            <w:tcW w:w="0" w:type="dxa"/>
            <w:vAlign w:val="bottom"/>
          </w:tcPr>
          <w:p>
            <w:pPr>
              <w:spacing w:after="0"/>
              <w:rPr>
                <w:sz w:val="1"/>
                <w:szCs w:val="1"/>
                <w:color w:val="auto"/>
              </w:rPr>
            </w:pPr>
          </w:p>
        </w:tc>
      </w:tr>
      <w:tr>
        <w:trPr>
          <w:trHeight w:val="266"/>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8/2/2011</w:t>
            </w:r>
          </w:p>
        </w:tc>
        <w:tc>
          <w:tcPr>
            <w:tcW w:w="1360" w:type="dxa"/>
            <w:vAlign w:val="bottom"/>
          </w:tcPr>
          <w:p>
            <w:pPr>
              <w:ind w:left="60"/>
              <w:spacing w:after="0"/>
              <w:rPr>
                <w:sz w:val="20"/>
                <w:szCs w:val="20"/>
                <w:color w:val="auto"/>
              </w:rPr>
            </w:pPr>
            <w:r>
              <w:rPr>
                <w:rFonts w:ascii="Arial" w:cs="Arial" w:eastAsia="Arial" w:hAnsi="Arial"/>
                <w:sz w:val="16"/>
                <w:szCs w:val="16"/>
                <w:color w:val="auto"/>
                <w:w w:val="90"/>
              </w:rPr>
              <w:t>Spring / Treaschwig</w:t>
            </w:r>
          </w:p>
        </w:tc>
        <w:tc>
          <w:tcPr>
            <w:tcW w:w="0" w:type="dxa"/>
            <w:vAlign w:val="bottom"/>
          </w:tcPr>
          <w:p>
            <w:pPr>
              <w:spacing w:after="0"/>
              <w:rPr>
                <w:sz w:val="1"/>
                <w:szCs w:val="1"/>
                <w:color w:val="auto"/>
              </w:rPr>
            </w:pPr>
          </w:p>
        </w:tc>
      </w:tr>
      <w:tr>
        <w:trPr>
          <w:trHeight w:val="98"/>
        </w:trPr>
        <w:tc>
          <w:tcPr>
            <w:tcW w:w="800" w:type="dxa"/>
            <w:vAlign w:val="bottom"/>
            <w:vMerge w:val="continue"/>
          </w:tcPr>
          <w:p>
            <w:pPr>
              <w:spacing w:after="0"/>
              <w:rPr>
                <w:sz w:val="8"/>
                <w:szCs w:val="8"/>
                <w:color w:val="auto"/>
              </w:rPr>
            </w:pPr>
          </w:p>
        </w:tc>
        <w:tc>
          <w:tcPr>
            <w:tcW w:w="1360" w:type="dxa"/>
            <w:vAlign w:val="bottom"/>
            <w:vMerge w:val="restart"/>
          </w:tcPr>
          <w:p>
            <w:pPr>
              <w:ind w:left="60"/>
              <w:spacing w:after="0"/>
              <w:rPr>
                <w:sz w:val="20"/>
                <w:szCs w:val="20"/>
                <w:color w:val="auto"/>
              </w:rPr>
            </w:pPr>
            <w:r>
              <w:rPr>
                <w:rFonts w:ascii="Arial" w:cs="Arial" w:eastAsia="Arial" w:hAnsi="Arial"/>
                <w:sz w:val="16"/>
                <w:szCs w:val="16"/>
                <w:color w:val="auto"/>
              </w:rPr>
              <w:t>Rd</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tcPr>
          <w:p>
            <w:pPr>
              <w:jc w:val="center"/>
              <w:spacing w:after="0"/>
              <w:rPr>
                <w:sz w:val="20"/>
                <w:szCs w:val="20"/>
                <w:color w:val="auto"/>
              </w:rPr>
            </w:pPr>
            <w:r>
              <w:rPr>
                <w:rFonts w:ascii="Arial" w:cs="Arial" w:eastAsia="Arial" w:hAnsi="Arial"/>
                <w:sz w:val="16"/>
                <w:szCs w:val="16"/>
                <w:color w:val="auto"/>
                <w:w w:val="89"/>
              </w:rPr>
              <w:t>2/24/2015</w:t>
            </w:r>
          </w:p>
        </w:tc>
        <w:tc>
          <w:tcPr>
            <w:tcW w:w="1360" w:type="dxa"/>
            <w:vAlign w:val="bottom"/>
          </w:tcPr>
          <w:p>
            <w:pPr>
              <w:ind w:left="60"/>
              <w:spacing w:after="0"/>
              <w:rPr>
                <w:sz w:val="20"/>
                <w:szCs w:val="20"/>
                <w:color w:val="auto"/>
              </w:rPr>
            </w:pPr>
            <w:r>
              <w:rPr>
                <w:rFonts w:ascii="Arial" w:cs="Arial" w:eastAsia="Arial" w:hAnsi="Arial"/>
                <w:sz w:val="16"/>
                <w:szCs w:val="16"/>
                <w:color w:val="auto"/>
              </w:rPr>
              <w:t>The Woodlands</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4/8/2015</w:t>
            </w:r>
          </w:p>
        </w:tc>
        <w:tc>
          <w:tcPr>
            <w:tcW w:w="1360" w:type="dxa"/>
            <w:vAlign w:val="bottom"/>
          </w:tcPr>
          <w:p>
            <w:pPr>
              <w:ind w:left="60"/>
              <w:spacing w:after="0"/>
              <w:rPr>
                <w:sz w:val="20"/>
                <w:szCs w:val="20"/>
                <w:color w:val="auto"/>
              </w:rPr>
            </w:pPr>
            <w:r>
              <w:rPr>
                <w:rFonts w:ascii="Arial" w:cs="Arial" w:eastAsia="Arial" w:hAnsi="Arial"/>
                <w:sz w:val="16"/>
                <w:szCs w:val="16"/>
                <w:color w:val="auto"/>
              </w:rPr>
              <w:t>Trenton</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360" w:type="dxa"/>
            <w:vAlign w:val="bottom"/>
          </w:tcPr>
          <w:p>
            <w:pPr>
              <w:ind w:left="60"/>
              <w:spacing w:after="0"/>
              <w:rPr>
                <w:sz w:val="20"/>
                <w:szCs w:val="20"/>
                <w:color w:val="auto"/>
              </w:rPr>
            </w:pPr>
            <w:r>
              <w:rPr>
                <w:rFonts w:ascii="Arial" w:cs="Arial" w:eastAsia="Arial" w:hAnsi="Arial"/>
                <w:sz w:val="16"/>
                <w:szCs w:val="16"/>
                <w:color w:val="auto"/>
              </w:rPr>
              <w:t>Weatherford</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4/15/2016</w:t>
            </w:r>
          </w:p>
        </w:tc>
        <w:tc>
          <w:tcPr>
            <w:tcW w:w="1360" w:type="dxa"/>
            <w:vAlign w:val="bottom"/>
          </w:tcPr>
          <w:p>
            <w:pPr>
              <w:ind w:left="60"/>
              <w:spacing w:after="0"/>
              <w:rPr>
                <w:sz w:val="20"/>
                <w:szCs w:val="20"/>
                <w:color w:val="auto"/>
              </w:rPr>
            </w:pPr>
            <w:r>
              <w:rPr>
                <w:rFonts w:ascii="Arial" w:cs="Arial" w:eastAsia="Arial" w:hAnsi="Arial"/>
                <w:sz w:val="16"/>
                <w:szCs w:val="16"/>
                <w:color w:val="auto"/>
              </w:rPr>
              <w:t>West Spicewood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40" w:type="dxa"/>
            <w:vAlign w:val="bottom"/>
          </w:tcPr>
          <w:p>
            <w:pPr>
              <w:spacing w:after="0"/>
              <w:rPr>
                <w:sz w:val="20"/>
                <w:szCs w:val="20"/>
                <w:color w:val="auto"/>
              </w:rPr>
            </w:pPr>
            <w:r>
              <w:rPr>
                <w:rFonts w:ascii="Arial" w:cs="Arial" w:eastAsia="Arial" w:hAnsi="Arial"/>
                <w:sz w:val="16"/>
                <w:szCs w:val="16"/>
                <w:color w:val="auto"/>
              </w:rPr>
              <w:t>TX</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2,046</w:t>
            </w: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1,002</w:t>
            </w:r>
          </w:p>
        </w:tc>
        <w:tc>
          <w:tcPr>
            <w:tcW w:w="1180" w:type="dxa"/>
            <w:vAlign w:val="bottom"/>
          </w:tcPr>
          <w:p>
            <w:pPr>
              <w:jc w:val="center"/>
              <w:ind w:right="59"/>
              <w:spacing w:after="0"/>
              <w:rPr>
                <w:sz w:val="20"/>
                <w:szCs w:val="20"/>
                <w:color w:val="auto"/>
              </w:rPr>
            </w:pPr>
            <w:r>
              <w:rPr>
                <w:rFonts w:ascii="Arial" w:cs="Arial" w:eastAsia="Arial" w:hAnsi="Arial"/>
                <w:sz w:val="16"/>
                <w:szCs w:val="16"/>
                <w:color w:val="auto"/>
                <w:w w:val="89"/>
              </w:rPr>
              <w:t>2,601</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1,490</w:t>
            </w:r>
          </w:p>
        </w:tc>
        <w:tc>
          <w:tcPr>
            <w:tcW w:w="700" w:type="dxa"/>
            <w:vAlign w:val="bottom"/>
          </w:tcPr>
          <w:p>
            <w:pPr>
              <w:spacing w:after="0"/>
              <w:rPr>
                <w:sz w:val="17"/>
                <w:szCs w:val="17"/>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1,003</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4,090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5,093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915</w:t>
            </w:r>
          </w:p>
        </w:tc>
      </w:tr>
      <w:tr>
        <w:trPr>
          <w:trHeight w:val="364"/>
        </w:trPr>
        <w:tc>
          <w:tcPr>
            <w:tcW w:w="340" w:type="dxa"/>
            <w:vAlign w:val="bottom"/>
          </w:tcPr>
          <w:p>
            <w:pPr>
              <w:spacing w:after="0"/>
              <w:rPr>
                <w:sz w:val="20"/>
                <w:szCs w:val="20"/>
                <w:color w:val="auto"/>
              </w:rPr>
            </w:pPr>
            <w:r>
              <w:rPr>
                <w:rFonts w:ascii="Arial" w:cs="Arial" w:eastAsia="Arial" w:hAnsi="Arial"/>
                <w:sz w:val="16"/>
                <w:szCs w:val="16"/>
                <w:color w:val="auto"/>
              </w:rPr>
              <w:t>TX</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2,152</w:t>
            </w: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1,269</w:t>
            </w:r>
          </w:p>
        </w:tc>
        <w:tc>
          <w:tcPr>
            <w:tcW w:w="1180" w:type="dxa"/>
            <w:vAlign w:val="bottom"/>
          </w:tcPr>
          <w:p>
            <w:pPr>
              <w:jc w:val="center"/>
              <w:ind w:right="59"/>
              <w:spacing w:after="0"/>
              <w:rPr>
                <w:sz w:val="20"/>
                <w:szCs w:val="20"/>
                <w:color w:val="auto"/>
              </w:rPr>
            </w:pPr>
            <w:r>
              <w:rPr>
                <w:rFonts w:ascii="Arial" w:cs="Arial" w:eastAsia="Arial" w:hAnsi="Arial"/>
                <w:sz w:val="16"/>
                <w:szCs w:val="16"/>
                <w:color w:val="auto"/>
                <w:w w:val="89"/>
              </w:rPr>
              <w:t>1,816</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739</w:t>
            </w:r>
          </w:p>
        </w:tc>
        <w:tc>
          <w:tcPr>
            <w:tcW w:w="700" w:type="dxa"/>
            <w:vAlign w:val="bottom"/>
          </w:tcPr>
          <w:p>
            <w:pPr>
              <w:spacing w:after="0"/>
              <w:rPr>
                <w:sz w:val="24"/>
                <w:szCs w:val="24"/>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1,270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2,554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3,824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1,032</w:t>
            </w:r>
          </w:p>
        </w:tc>
      </w:tr>
      <w:tr>
        <w:trPr>
          <w:trHeight w:val="459"/>
        </w:trPr>
        <w:tc>
          <w:tcPr>
            <w:tcW w:w="340" w:type="dxa"/>
            <w:vAlign w:val="bottom"/>
          </w:tcPr>
          <w:p>
            <w:pPr>
              <w:spacing w:after="0"/>
              <w:rPr>
                <w:sz w:val="20"/>
                <w:szCs w:val="20"/>
                <w:color w:val="auto"/>
              </w:rPr>
            </w:pPr>
            <w:r>
              <w:rPr>
                <w:rFonts w:ascii="Arial" w:cs="Arial" w:eastAsia="Arial" w:hAnsi="Arial"/>
                <w:sz w:val="16"/>
                <w:szCs w:val="16"/>
                <w:color w:val="auto"/>
              </w:rPr>
              <w:t>TX</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6,063</w:t>
            </w: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2,471</w:t>
            </w:r>
          </w:p>
        </w:tc>
        <w:tc>
          <w:tcPr>
            <w:tcW w:w="1180" w:type="dxa"/>
            <w:vAlign w:val="bottom"/>
          </w:tcPr>
          <w:p>
            <w:pPr>
              <w:jc w:val="center"/>
              <w:ind w:right="59"/>
              <w:spacing w:after="0"/>
              <w:rPr>
                <w:sz w:val="20"/>
                <w:szCs w:val="20"/>
                <w:color w:val="auto"/>
              </w:rPr>
            </w:pPr>
            <w:r>
              <w:rPr>
                <w:rFonts w:ascii="Arial" w:cs="Arial" w:eastAsia="Arial" w:hAnsi="Arial"/>
                <w:sz w:val="16"/>
                <w:szCs w:val="16"/>
                <w:color w:val="auto"/>
                <w:w w:val="89"/>
              </w:rPr>
              <w:t>3,556</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1,439</w:t>
            </w:r>
          </w:p>
        </w:tc>
        <w:tc>
          <w:tcPr>
            <w:tcW w:w="700" w:type="dxa"/>
            <w:vAlign w:val="bottom"/>
          </w:tcPr>
          <w:p>
            <w:pPr>
              <w:ind w:left="340"/>
              <w:spacing w:after="0"/>
              <w:rPr>
                <w:sz w:val="20"/>
                <w:szCs w:val="20"/>
                <w:color w:val="auto"/>
              </w:rPr>
            </w:pPr>
            <w:r>
              <w:rPr>
                <w:rFonts w:ascii="Arial" w:cs="Arial" w:eastAsia="Arial" w:hAnsi="Arial"/>
                <w:sz w:val="16"/>
                <w:szCs w:val="16"/>
                <w:color w:val="auto"/>
              </w:rPr>
              <w:t>(e)</w:t>
            </w: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2,471</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4,995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7,466</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896</w:t>
            </w:r>
          </w:p>
        </w:tc>
      </w:tr>
      <w:tr>
        <w:trPr>
          <w:trHeight w:val="459"/>
        </w:trPr>
        <w:tc>
          <w:tcPr>
            <w:tcW w:w="340" w:type="dxa"/>
            <w:vAlign w:val="bottom"/>
          </w:tcPr>
          <w:p>
            <w:pPr>
              <w:spacing w:after="0"/>
              <w:rPr>
                <w:sz w:val="20"/>
                <w:szCs w:val="20"/>
                <w:color w:val="auto"/>
              </w:rPr>
            </w:pPr>
            <w:r>
              <w:rPr>
                <w:rFonts w:ascii="Arial" w:cs="Arial" w:eastAsia="Arial" w:hAnsi="Arial"/>
                <w:sz w:val="16"/>
                <w:szCs w:val="16"/>
                <w:color w:val="auto"/>
              </w:rPr>
              <w:t>TX</w:t>
            </w:r>
          </w:p>
        </w:tc>
        <w:tc>
          <w:tcPr>
            <w:tcW w:w="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1,549</w:t>
            </w:r>
          </w:p>
        </w:tc>
        <w:tc>
          <w:tcPr>
            <w:tcW w:w="1180" w:type="dxa"/>
            <w:vAlign w:val="bottom"/>
          </w:tcPr>
          <w:p>
            <w:pPr>
              <w:jc w:val="center"/>
              <w:ind w:right="59"/>
              <w:spacing w:after="0"/>
              <w:rPr>
                <w:sz w:val="20"/>
                <w:szCs w:val="20"/>
                <w:color w:val="auto"/>
              </w:rPr>
            </w:pPr>
            <w:r>
              <w:rPr>
                <w:rFonts w:ascii="Arial" w:cs="Arial" w:eastAsia="Arial" w:hAnsi="Arial"/>
                <w:sz w:val="16"/>
                <w:szCs w:val="16"/>
                <w:color w:val="auto"/>
                <w:w w:val="89"/>
              </w:rPr>
              <w:t>6,604</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30</w:t>
            </w:r>
          </w:p>
        </w:tc>
        <w:tc>
          <w:tcPr>
            <w:tcW w:w="700" w:type="dxa"/>
            <w:vAlign w:val="bottom"/>
          </w:tcPr>
          <w:p>
            <w:pPr>
              <w:spacing w:after="0"/>
              <w:rPr>
                <w:sz w:val="24"/>
                <w:szCs w:val="24"/>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1,549</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6,634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8,183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42</w:t>
            </w:r>
          </w:p>
        </w:tc>
      </w:tr>
      <w:tr>
        <w:trPr>
          <w:trHeight w:val="459"/>
        </w:trPr>
        <w:tc>
          <w:tcPr>
            <w:tcW w:w="340" w:type="dxa"/>
            <w:vAlign w:val="bottom"/>
          </w:tcPr>
          <w:p>
            <w:pPr>
              <w:spacing w:after="0"/>
              <w:rPr>
                <w:sz w:val="20"/>
                <w:szCs w:val="20"/>
                <w:color w:val="auto"/>
              </w:rPr>
            </w:pPr>
            <w:r>
              <w:rPr>
                <w:rFonts w:ascii="Arial" w:cs="Arial" w:eastAsia="Arial" w:hAnsi="Arial"/>
                <w:sz w:val="16"/>
                <w:szCs w:val="16"/>
                <w:color w:val="auto"/>
              </w:rPr>
              <w:t>TX</w:t>
            </w:r>
          </w:p>
        </w:tc>
        <w:tc>
          <w:tcPr>
            <w:tcW w:w="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1,140</w:t>
            </w:r>
          </w:p>
        </w:tc>
        <w:tc>
          <w:tcPr>
            <w:tcW w:w="1180" w:type="dxa"/>
            <w:vAlign w:val="bottom"/>
          </w:tcPr>
          <w:p>
            <w:pPr>
              <w:jc w:val="center"/>
              <w:ind w:right="59"/>
              <w:spacing w:after="0"/>
              <w:rPr>
                <w:sz w:val="20"/>
                <w:szCs w:val="20"/>
                <w:color w:val="auto"/>
              </w:rPr>
            </w:pPr>
            <w:r>
              <w:rPr>
                <w:rFonts w:ascii="Arial" w:cs="Arial" w:eastAsia="Arial" w:hAnsi="Arial"/>
                <w:sz w:val="16"/>
                <w:szCs w:val="16"/>
                <w:color w:val="auto"/>
                <w:w w:val="89"/>
              </w:rPr>
              <w:t>7,560</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225</w:t>
            </w:r>
          </w:p>
        </w:tc>
        <w:tc>
          <w:tcPr>
            <w:tcW w:w="700" w:type="dxa"/>
            <w:vAlign w:val="bottom"/>
          </w:tcPr>
          <w:p>
            <w:pPr>
              <w:spacing w:after="0"/>
              <w:rPr>
                <w:sz w:val="24"/>
                <w:szCs w:val="24"/>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1,140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7,785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8,925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246</w:t>
            </w:r>
          </w:p>
        </w:tc>
      </w:tr>
      <w:tr>
        <w:trPr>
          <w:trHeight w:val="459"/>
        </w:trPr>
        <w:tc>
          <w:tcPr>
            <w:tcW w:w="340" w:type="dxa"/>
            <w:vAlign w:val="bottom"/>
          </w:tcPr>
          <w:p>
            <w:pPr>
              <w:spacing w:after="0"/>
              <w:rPr>
                <w:sz w:val="20"/>
                <w:szCs w:val="20"/>
                <w:color w:val="auto"/>
              </w:rPr>
            </w:pPr>
            <w:r>
              <w:rPr>
                <w:rFonts w:ascii="Arial" w:cs="Arial" w:eastAsia="Arial" w:hAnsi="Arial"/>
                <w:sz w:val="16"/>
                <w:szCs w:val="16"/>
                <w:color w:val="auto"/>
              </w:rPr>
              <w:t>TX</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2,420</w:t>
            </w: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253</w:t>
            </w:r>
          </w:p>
        </w:tc>
        <w:tc>
          <w:tcPr>
            <w:tcW w:w="1180" w:type="dxa"/>
            <w:vAlign w:val="bottom"/>
          </w:tcPr>
          <w:p>
            <w:pPr>
              <w:jc w:val="center"/>
              <w:ind w:right="59"/>
              <w:spacing w:after="0"/>
              <w:rPr>
                <w:sz w:val="20"/>
                <w:szCs w:val="20"/>
                <w:color w:val="auto"/>
              </w:rPr>
            </w:pPr>
            <w:r>
              <w:rPr>
                <w:rFonts w:ascii="Arial" w:cs="Arial" w:eastAsia="Arial" w:hAnsi="Arial"/>
                <w:sz w:val="16"/>
                <w:szCs w:val="16"/>
                <w:color w:val="auto"/>
                <w:w w:val="89"/>
              </w:rPr>
              <w:t>1,496</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280</w:t>
            </w:r>
          </w:p>
        </w:tc>
        <w:tc>
          <w:tcPr>
            <w:tcW w:w="700" w:type="dxa"/>
            <w:vAlign w:val="bottom"/>
          </w:tcPr>
          <w:p>
            <w:pPr>
              <w:spacing w:after="0"/>
              <w:rPr>
                <w:sz w:val="24"/>
                <w:szCs w:val="24"/>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253</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1,776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2,029</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637</w:t>
            </w:r>
          </w:p>
        </w:tc>
      </w:tr>
      <w:tr>
        <w:trPr>
          <w:trHeight w:val="364"/>
        </w:trPr>
        <w:tc>
          <w:tcPr>
            <w:tcW w:w="340" w:type="dxa"/>
            <w:vAlign w:val="bottom"/>
          </w:tcPr>
          <w:p>
            <w:pPr>
              <w:spacing w:after="0"/>
              <w:rPr>
                <w:sz w:val="20"/>
                <w:szCs w:val="20"/>
                <w:color w:val="auto"/>
              </w:rPr>
            </w:pPr>
            <w:r>
              <w:rPr>
                <w:rFonts w:ascii="Arial" w:cs="Arial" w:eastAsia="Arial" w:hAnsi="Arial"/>
                <w:sz w:val="16"/>
                <w:szCs w:val="16"/>
                <w:color w:val="auto"/>
              </w:rPr>
              <w:t>TX</w:t>
            </w:r>
          </w:p>
        </w:tc>
        <w:tc>
          <w:tcPr>
            <w:tcW w:w="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1,910</w:t>
            </w:r>
          </w:p>
        </w:tc>
        <w:tc>
          <w:tcPr>
            <w:tcW w:w="1180" w:type="dxa"/>
            <w:vAlign w:val="bottom"/>
          </w:tcPr>
          <w:p>
            <w:pPr>
              <w:jc w:val="center"/>
              <w:ind w:right="59"/>
              <w:spacing w:after="0"/>
              <w:rPr>
                <w:sz w:val="20"/>
                <w:szCs w:val="20"/>
                <w:color w:val="auto"/>
              </w:rPr>
            </w:pPr>
            <w:r>
              <w:rPr>
                <w:rFonts w:ascii="Arial" w:cs="Arial" w:eastAsia="Arial" w:hAnsi="Arial"/>
                <w:sz w:val="16"/>
                <w:szCs w:val="16"/>
                <w:color w:val="auto"/>
                <w:w w:val="89"/>
              </w:rPr>
              <w:t>8,564</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246</w:t>
            </w:r>
          </w:p>
        </w:tc>
        <w:tc>
          <w:tcPr>
            <w:tcW w:w="700" w:type="dxa"/>
            <w:vAlign w:val="bottom"/>
          </w:tcPr>
          <w:p>
            <w:pPr>
              <w:spacing w:after="0"/>
              <w:rPr>
                <w:sz w:val="24"/>
                <w:szCs w:val="24"/>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1,910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8,810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10,720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291</w:t>
            </w:r>
          </w:p>
        </w:tc>
      </w:tr>
      <w:tr>
        <w:trPr>
          <w:trHeight w:val="270"/>
        </w:trPr>
        <w:tc>
          <w:tcPr>
            <w:tcW w:w="340" w:type="dxa"/>
            <w:vAlign w:val="bottom"/>
          </w:tcPr>
          <w:p>
            <w:pPr>
              <w:spacing w:after="0"/>
              <w:rPr>
                <w:sz w:val="20"/>
                <w:szCs w:val="20"/>
                <w:color w:val="auto"/>
              </w:rPr>
            </w:pPr>
            <w:r>
              <w:rPr>
                <w:rFonts w:ascii="Arial" w:cs="Arial" w:eastAsia="Arial" w:hAnsi="Arial"/>
                <w:sz w:val="16"/>
                <w:szCs w:val="16"/>
                <w:color w:val="auto"/>
              </w:rPr>
              <w:t>TX</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2,791</w:t>
            </w: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478</w:t>
            </w:r>
          </w:p>
        </w:tc>
        <w:tc>
          <w:tcPr>
            <w:tcW w:w="1180" w:type="dxa"/>
            <w:vAlign w:val="bottom"/>
          </w:tcPr>
          <w:p>
            <w:pPr>
              <w:jc w:val="center"/>
              <w:ind w:right="59"/>
              <w:spacing w:after="0"/>
              <w:rPr>
                <w:sz w:val="20"/>
                <w:szCs w:val="20"/>
                <w:color w:val="auto"/>
              </w:rPr>
            </w:pPr>
            <w:r>
              <w:rPr>
                <w:rFonts w:ascii="Arial" w:cs="Arial" w:eastAsia="Arial" w:hAnsi="Arial"/>
                <w:sz w:val="16"/>
                <w:szCs w:val="16"/>
                <w:color w:val="auto"/>
                <w:w w:val="89"/>
              </w:rPr>
              <w:t>4,069</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857</w:t>
            </w:r>
          </w:p>
        </w:tc>
        <w:tc>
          <w:tcPr>
            <w:tcW w:w="700" w:type="dxa"/>
            <w:vAlign w:val="bottom"/>
          </w:tcPr>
          <w:p>
            <w:pPr>
              <w:spacing w:after="0"/>
              <w:rPr>
                <w:sz w:val="23"/>
                <w:szCs w:val="23"/>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478</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4,926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5,404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1,620</w:t>
            </w:r>
          </w:p>
        </w:tc>
      </w:tr>
      <w:tr>
        <w:trPr>
          <w:trHeight w:val="270"/>
        </w:trPr>
        <w:tc>
          <w:tcPr>
            <w:tcW w:w="340" w:type="dxa"/>
            <w:vAlign w:val="bottom"/>
          </w:tcPr>
          <w:p>
            <w:pPr>
              <w:spacing w:after="0"/>
              <w:rPr>
                <w:sz w:val="20"/>
                <w:szCs w:val="20"/>
                <w:color w:val="auto"/>
              </w:rPr>
            </w:pPr>
            <w:r>
              <w:rPr>
                <w:rFonts w:ascii="Arial" w:cs="Arial" w:eastAsia="Arial" w:hAnsi="Arial"/>
                <w:sz w:val="16"/>
                <w:szCs w:val="16"/>
                <w:color w:val="auto"/>
              </w:rPr>
              <w:t>TX</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3,544</w:t>
            </w: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506</w:t>
            </w:r>
          </w:p>
        </w:tc>
        <w:tc>
          <w:tcPr>
            <w:tcW w:w="1180" w:type="dxa"/>
            <w:vAlign w:val="bottom"/>
          </w:tcPr>
          <w:p>
            <w:pPr>
              <w:jc w:val="center"/>
              <w:ind w:right="59"/>
              <w:spacing w:after="0"/>
              <w:rPr>
                <w:sz w:val="20"/>
                <w:szCs w:val="20"/>
                <w:color w:val="auto"/>
              </w:rPr>
            </w:pPr>
            <w:r>
              <w:rPr>
                <w:rFonts w:ascii="Arial" w:cs="Arial" w:eastAsia="Arial" w:hAnsi="Arial"/>
                <w:sz w:val="16"/>
                <w:szCs w:val="16"/>
                <w:color w:val="auto"/>
                <w:w w:val="89"/>
              </w:rPr>
              <w:t>5,096</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493</w:t>
            </w:r>
          </w:p>
        </w:tc>
        <w:tc>
          <w:tcPr>
            <w:tcW w:w="700" w:type="dxa"/>
            <w:vAlign w:val="bottom"/>
          </w:tcPr>
          <w:p>
            <w:pPr>
              <w:spacing w:after="0"/>
              <w:rPr>
                <w:sz w:val="23"/>
                <w:szCs w:val="23"/>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506</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5,589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6,095</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685</w:t>
            </w:r>
          </w:p>
        </w:tc>
      </w:tr>
      <w:tr>
        <w:trPr>
          <w:trHeight w:val="364"/>
        </w:trPr>
        <w:tc>
          <w:tcPr>
            <w:tcW w:w="340" w:type="dxa"/>
            <w:vAlign w:val="bottom"/>
          </w:tcPr>
          <w:p>
            <w:pPr>
              <w:spacing w:after="0"/>
              <w:rPr>
                <w:sz w:val="20"/>
                <w:szCs w:val="20"/>
                <w:color w:val="auto"/>
              </w:rPr>
            </w:pPr>
            <w:r>
              <w:rPr>
                <w:rFonts w:ascii="Arial" w:cs="Arial" w:eastAsia="Arial" w:hAnsi="Arial"/>
                <w:sz w:val="16"/>
                <w:szCs w:val="16"/>
                <w:color w:val="auto"/>
              </w:rPr>
              <w:t>TX</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1,873</w:t>
            </w: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978</w:t>
            </w:r>
          </w:p>
        </w:tc>
        <w:tc>
          <w:tcPr>
            <w:tcW w:w="1180" w:type="dxa"/>
            <w:vAlign w:val="bottom"/>
          </w:tcPr>
          <w:p>
            <w:pPr>
              <w:jc w:val="center"/>
              <w:ind w:right="59"/>
              <w:spacing w:after="0"/>
              <w:rPr>
                <w:sz w:val="20"/>
                <w:szCs w:val="20"/>
                <w:color w:val="auto"/>
              </w:rPr>
            </w:pPr>
            <w:r>
              <w:rPr>
                <w:rFonts w:ascii="Arial" w:cs="Arial" w:eastAsia="Arial" w:hAnsi="Arial"/>
                <w:sz w:val="16"/>
                <w:szCs w:val="16"/>
                <w:color w:val="auto"/>
                <w:w w:val="89"/>
              </w:rPr>
              <w:t>1,347</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249</w:t>
            </w:r>
          </w:p>
        </w:tc>
        <w:tc>
          <w:tcPr>
            <w:tcW w:w="700" w:type="dxa"/>
            <w:vAlign w:val="bottom"/>
          </w:tcPr>
          <w:p>
            <w:pPr>
              <w:spacing w:after="0"/>
              <w:rPr>
                <w:sz w:val="24"/>
                <w:szCs w:val="24"/>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979</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1,595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2,574</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271</w:t>
            </w:r>
          </w:p>
        </w:tc>
      </w:tr>
      <w:tr>
        <w:trPr>
          <w:trHeight w:val="364"/>
        </w:trPr>
        <w:tc>
          <w:tcPr>
            <w:tcW w:w="340" w:type="dxa"/>
            <w:vAlign w:val="bottom"/>
          </w:tcPr>
          <w:p>
            <w:pPr>
              <w:spacing w:after="0"/>
              <w:rPr>
                <w:sz w:val="20"/>
                <w:szCs w:val="20"/>
                <w:color w:val="auto"/>
              </w:rPr>
            </w:pPr>
            <w:r>
              <w:rPr>
                <w:rFonts w:ascii="Arial" w:cs="Arial" w:eastAsia="Arial" w:hAnsi="Arial"/>
                <w:sz w:val="16"/>
                <w:szCs w:val="16"/>
                <w:color w:val="auto"/>
              </w:rPr>
              <w:t>TX</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7,744</w:t>
            </w: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1,511</w:t>
            </w:r>
          </w:p>
        </w:tc>
        <w:tc>
          <w:tcPr>
            <w:tcW w:w="1180" w:type="dxa"/>
            <w:vAlign w:val="bottom"/>
          </w:tcPr>
          <w:p>
            <w:pPr>
              <w:jc w:val="center"/>
              <w:ind w:right="59"/>
              <w:spacing w:after="0"/>
              <w:rPr>
                <w:sz w:val="20"/>
                <w:szCs w:val="20"/>
                <w:color w:val="auto"/>
              </w:rPr>
            </w:pPr>
            <w:r>
              <w:rPr>
                <w:rFonts w:ascii="Arial" w:cs="Arial" w:eastAsia="Arial" w:hAnsi="Arial"/>
                <w:sz w:val="16"/>
                <w:szCs w:val="16"/>
                <w:color w:val="auto"/>
                <w:w w:val="89"/>
              </w:rPr>
              <w:t>11,861</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221</w:t>
            </w:r>
          </w:p>
        </w:tc>
        <w:tc>
          <w:tcPr>
            <w:tcW w:w="700" w:type="dxa"/>
            <w:vAlign w:val="bottom"/>
          </w:tcPr>
          <w:p>
            <w:pPr>
              <w:spacing w:after="0"/>
              <w:rPr>
                <w:sz w:val="24"/>
                <w:szCs w:val="24"/>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1,511</w:t>
            </w: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12,082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13,593</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603</w:t>
            </w:r>
          </w:p>
        </w:tc>
      </w:tr>
      <w:tr>
        <w:trPr>
          <w:trHeight w:val="270"/>
        </w:trPr>
        <w:tc>
          <w:tcPr>
            <w:tcW w:w="340" w:type="dxa"/>
            <w:vAlign w:val="bottom"/>
          </w:tcPr>
          <w:p>
            <w:pPr>
              <w:spacing w:after="0"/>
              <w:rPr>
                <w:sz w:val="20"/>
                <w:szCs w:val="20"/>
                <w:color w:val="auto"/>
              </w:rPr>
            </w:pPr>
            <w:r>
              <w:rPr>
                <w:rFonts w:ascii="Arial" w:cs="Arial" w:eastAsia="Arial" w:hAnsi="Arial"/>
                <w:sz w:val="16"/>
                <w:szCs w:val="16"/>
                <w:color w:val="auto"/>
              </w:rPr>
              <w:t>TX</w:t>
            </w:r>
          </w:p>
        </w:tc>
        <w:tc>
          <w:tcPr>
            <w:tcW w:w="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300</w:t>
            </w:r>
          </w:p>
        </w:tc>
        <w:tc>
          <w:tcPr>
            <w:tcW w:w="1180" w:type="dxa"/>
            <w:vAlign w:val="bottom"/>
          </w:tcPr>
          <w:p>
            <w:pPr>
              <w:jc w:val="center"/>
              <w:ind w:right="59"/>
              <w:spacing w:after="0"/>
              <w:rPr>
                <w:sz w:val="20"/>
                <w:szCs w:val="20"/>
                <w:color w:val="auto"/>
              </w:rPr>
            </w:pPr>
            <w:r>
              <w:rPr>
                <w:rFonts w:ascii="Arial" w:cs="Arial" w:eastAsia="Arial" w:hAnsi="Arial"/>
                <w:sz w:val="16"/>
                <w:szCs w:val="16"/>
                <w:color w:val="auto"/>
                <w:w w:val="89"/>
              </w:rPr>
              <w:t>2,375</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3,696</w:t>
            </w:r>
          </w:p>
        </w:tc>
        <w:tc>
          <w:tcPr>
            <w:tcW w:w="700" w:type="dxa"/>
            <w:vAlign w:val="bottom"/>
          </w:tcPr>
          <w:p>
            <w:pPr>
              <w:spacing w:after="0"/>
              <w:rPr>
                <w:sz w:val="23"/>
                <w:szCs w:val="23"/>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300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6,071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6,371</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129</w:t>
            </w:r>
          </w:p>
        </w:tc>
      </w:tr>
      <w:tr>
        <w:trPr>
          <w:trHeight w:val="270"/>
        </w:trPr>
        <w:tc>
          <w:tcPr>
            <w:tcW w:w="340" w:type="dxa"/>
            <w:vAlign w:val="bottom"/>
          </w:tcPr>
          <w:p>
            <w:pPr>
              <w:spacing w:after="0"/>
              <w:rPr>
                <w:sz w:val="20"/>
                <w:szCs w:val="20"/>
                <w:color w:val="auto"/>
              </w:rPr>
            </w:pPr>
            <w:r>
              <w:rPr>
                <w:rFonts w:ascii="Arial" w:cs="Arial" w:eastAsia="Arial" w:hAnsi="Arial"/>
                <w:sz w:val="16"/>
                <w:szCs w:val="16"/>
                <w:color w:val="auto"/>
              </w:rPr>
              <w:t>TX</w:t>
            </w:r>
          </w:p>
        </w:tc>
        <w:tc>
          <w:tcPr>
            <w:tcW w:w="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630</w:t>
            </w:r>
          </w:p>
        </w:tc>
        <w:tc>
          <w:tcPr>
            <w:tcW w:w="1180" w:type="dxa"/>
            <w:vAlign w:val="bottom"/>
          </w:tcPr>
          <w:p>
            <w:pPr>
              <w:jc w:val="center"/>
              <w:ind w:right="59"/>
              <w:spacing w:after="0"/>
              <w:rPr>
                <w:sz w:val="20"/>
                <w:szCs w:val="20"/>
                <w:color w:val="auto"/>
              </w:rPr>
            </w:pPr>
            <w:r>
              <w:rPr>
                <w:rFonts w:ascii="Arial" w:cs="Arial" w:eastAsia="Arial" w:hAnsi="Arial"/>
                <w:sz w:val="16"/>
                <w:szCs w:val="16"/>
                <w:color w:val="auto"/>
                <w:w w:val="89"/>
              </w:rPr>
              <w:t>5,932</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485</w:t>
            </w:r>
          </w:p>
        </w:tc>
        <w:tc>
          <w:tcPr>
            <w:tcW w:w="700" w:type="dxa"/>
            <w:vAlign w:val="bottom"/>
          </w:tcPr>
          <w:p>
            <w:pPr>
              <w:spacing w:after="0"/>
              <w:rPr>
                <w:sz w:val="23"/>
                <w:szCs w:val="23"/>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630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6,417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7,047</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228</w:t>
            </w:r>
          </w:p>
        </w:tc>
      </w:tr>
      <w:tr>
        <w:trPr>
          <w:trHeight w:val="270"/>
        </w:trPr>
        <w:tc>
          <w:tcPr>
            <w:tcW w:w="340" w:type="dxa"/>
            <w:vAlign w:val="bottom"/>
          </w:tcPr>
          <w:p>
            <w:pPr>
              <w:spacing w:after="0"/>
              <w:rPr>
                <w:sz w:val="20"/>
                <w:szCs w:val="20"/>
                <w:color w:val="auto"/>
              </w:rPr>
            </w:pPr>
            <w:r>
              <w:rPr>
                <w:rFonts w:ascii="Arial" w:cs="Arial" w:eastAsia="Arial" w:hAnsi="Arial"/>
                <w:sz w:val="16"/>
                <w:szCs w:val="16"/>
                <w:color w:val="auto"/>
              </w:rPr>
              <w:t>TX</w:t>
            </w:r>
          </w:p>
        </w:tc>
        <w:tc>
          <w:tcPr>
            <w:tcW w:w="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2,722</w:t>
            </w:r>
          </w:p>
        </w:tc>
        <w:tc>
          <w:tcPr>
            <w:tcW w:w="1180" w:type="dxa"/>
            <w:vAlign w:val="bottom"/>
          </w:tcPr>
          <w:p>
            <w:pPr>
              <w:jc w:val="center"/>
              <w:ind w:right="59"/>
              <w:spacing w:after="0"/>
              <w:rPr>
                <w:sz w:val="20"/>
                <w:szCs w:val="20"/>
                <w:color w:val="auto"/>
              </w:rPr>
            </w:pPr>
            <w:r>
              <w:rPr>
                <w:rFonts w:ascii="Arial" w:cs="Arial" w:eastAsia="Arial" w:hAnsi="Arial"/>
                <w:sz w:val="16"/>
                <w:szCs w:val="16"/>
                <w:color w:val="auto"/>
                <w:w w:val="89"/>
              </w:rPr>
              <w:t>8,122</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76</w:t>
            </w:r>
          </w:p>
        </w:tc>
        <w:tc>
          <w:tcPr>
            <w:tcW w:w="700" w:type="dxa"/>
            <w:vAlign w:val="bottom"/>
          </w:tcPr>
          <w:p>
            <w:pPr>
              <w:spacing w:after="0"/>
              <w:rPr>
                <w:sz w:val="23"/>
                <w:szCs w:val="23"/>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89"/>
              </w:rPr>
              <w:t>2,722</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8,198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10,920</w:t>
            </w:r>
          </w:p>
        </w:tc>
        <w:tc>
          <w:tcPr>
            <w:tcW w:w="640" w:type="dxa"/>
            <w:vAlign w:val="bottom"/>
          </w:tcPr>
          <w:p>
            <w:pPr>
              <w:jc w:val="center"/>
              <w:ind w:left="199"/>
              <w:spacing w:after="0"/>
              <w:rPr>
                <w:sz w:val="20"/>
                <w:szCs w:val="20"/>
                <w:color w:val="auto"/>
              </w:rPr>
            </w:pPr>
            <w:r>
              <w:rPr>
                <w:rFonts w:ascii="Arial" w:cs="Arial" w:eastAsia="Arial" w:hAnsi="Arial"/>
                <w:sz w:val="16"/>
                <w:szCs w:val="16"/>
                <w:color w:val="auto"/>
                <w:w w:val="89"/>
              </w:rPr>
              <w:t>158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-2916555</wp:posOffset>
            </wp:positionV>
            <wp:extent cx="7246620" cy="2914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-2334260</wp:posOffset>
            </wp:positionV>
            <wp:extent cx="7246620" cy="29146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-1751330</wp:posOffset>
            </wp:positionV>
            <wp:extent cx="7246620" cy="29146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-1289050</wp:posOffset>
            </wp:positionV>
            <wp:extent cx="7246620" cy="1714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-946150</wp:posOffset>
            </wp:positionV>
            <wp:extent cx="7246620" cy="2914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-483870</wp:posOffset>
            </wp:positionV>
            <wp:extent cx="7246620" cy="1714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-140970</wp:posOffset>
            </wp:positionV>
            <wp:extent cx="7246620" cy="1714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92</w:t>
      </w:r>
    </w:p>
    <w:p>
      <w:pPr>
        <w:sectPr>
          <w:pgSz w:w="11900" w:h="16838" w:orient="portrait"/>
          <w:cols w:equalWidth="0" w:num="2">
            <w:col w:w="2160" w:space="300"/>
            <w:col w:w="8540"/>
          </w:cols>
          <w:pgMar w:left="360" w:top="130" w:right="539" w:bottom="1440" w:gutter="0" w:footer="0" w:header="0"/>
        </w:sectPr>
      </w:pPr>
    </w:p>
    <w:bookmarkStart w:id="113" w:name="page114"/>
    <w:bookmarkEnd w:id="11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gridSpan w:val="5"/>
            <w:vMerge w:val="restart"/>
          </w:tcPr>
          <w:p>
            <w:pPr>
              <w:jc w:val="center"/>
              <w:spacing w:after="0"/>
              <w:rPr>
                <w:sz w:val="20"/>
                <w:szCs w:val="20"/>
                <w:color w:val="auto"/>
              </w:rPr>
            </w:pPr>
            <w:r>
              <w:rPr>
                <w:rFonts w:ascii="Arial" w:cs="Arial" w:eastAsia="Arial" w:hAnsi="Arial"/>
                <w:sz w:val="16"/>
                <w:szCs w:val="16"/>
                <w:b w:val="1"/>
                <w:bCs w:val="1"/>
                <w:color w:val="auto"/>
                <w:w w:val="91"/>
              </w:rPr>
              <w:t>Gross carrying amount at December 31,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acquired</w:t>
            </w: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980" w:type="dxa"/>
            <w:vAlign w:val="bottom"/>
            <w:gridSpan w:val="5"/>
            <w:vMerge w:val="continue"/>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96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2016</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or</w:t>
            </w: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Building and</w:t>
            </w: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Adjustments and</w:t>
            </w: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9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96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development</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Land</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improvements</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3"/>
              </w:rPr>
              <w:t>costs subsequent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Building and</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0" w:type="dxa"/>
            <w:vAlign w:val="bottom"/>
          </w:tcPr>
          <w:p>
            <w:pPr>
              <w:spacing w:after="0"/>
              <w:rPr>
                <w:sz w:val="1"/>
                <w:szCs w:val="1"/>
                <w:color w:val="auto"/>
              </w:rPr>
            </w:pPr>
          </w:p>
        </w:tc>
      </w:tr>
      <w:tr>
        <w:trPr>
          <w:trHeight w:val="210"/>
        </w:trPr>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completed</w:t>
            </w: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Store Name</w:t>
            </w:r>
          </w:p>
        </w:tc>
        <w:tc>
          <w:tcPr>
            <w:tcW w:w="5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State</w:t>
            </w:r>
          </w:p>
        </w:tc>
        <w:tc>
          <w:tcPr>
            <w:tcW w:w="880" w:type="dxa"/>
            <w:vAlign w:val="bottom"/>
            <w:gridSpan w:val="2"/>
          </w:tcPr>
          <w:p>
            <w:pPr>
              <w:ind w:left="220"/>
              <w:spacing w:after="0"/>
              <w:rPr>
                <w:sz w:val="20"/>
                <w:szCs w:val="20"/>
                <w:color w:val="auto"/>
              </w:rPr>
            </w:pPr>
            <w:r>
              <w:rPr>
                <w:rFonts w:ascii="Arial" w:cs="Arial" w:eastAsia="Arial" w:hAnsi="Arial"/>
                <w:sz w:val="16"/>
                <w:szCs w:val="16"/>
                <w:b w:val="1"/>
                <w:bCs w:val="1"/>
                <w:color w:val="auto"/>
              </w:rPr>
              <w:t>Debt</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initial cost</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initial cost</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to acquisition</w:t>
            </w:r>
          </w:p>
        </w:tc>
        <w:tc>
          <w:tcPr>
            <w:tcW w:w="560" w:type="dxa"/>
            <w:vAlign w:val="bottom"/>
            <w:gridSpan w:val="2"/>
          </w:tcPr>
          <w:p>
            <w:pPr>
              <w:ind w:left="40"/>
              <w:spacing w:after="0"/>
              <w:rPr>
                <w:sz w:val="20"/>
                <w:szCs w:val="20"/>
                <w:color w:val="auto"/>
              </w:rPr>
            </w:pPr>
            <w:r>
              <w:rPr>
                <w:rFonts w:ascii="Arial" w:cs="Arial" w:eastAsia="Arial" w:hAnsi="Arial"/>
                <w:sz w:val="16"/>
                <w:szCs w:val="16"/>
                <w:b w:val="1"/>
                <w:bCs w:val="1"/>
                <w:color w:val="auto"/>
              </w:rPr>
              <w:t>Notes</w:t>
            </w:r>
          </w:p>
        </w:tc>
        <w:tc>
          <w:tcPr>
            <w:tcW w:w="880" w:type="dxa"/>
            <w:vAlign w:val="bottom"/>
            <w:gridSpan w:val="2"/>
          </w:tcPr>
          <w:p>
            <w:pPr>
              <w:ind w:left="80"/>
              <w:spacing w:after="0"/>
              <w:rPr>
                <w:sz w:val="20"/>
                <w:szCs w:val="20"/>
                <w:color w:val="auto"/>
              </w:rPr>
            </w:pPr>
            <w:r>
              <w:rPr>
                <w:rFonts w:ascii="Arial" w:cs="Arial" w:eastAsia="Arial" w:hAnsi="Arial"/>
                <w:sz w:val="16"/>
                <w:szCs w:val="16"/>
                <w:b w:val="1"/>
                <w:bCs w:val="1"/>
                <w:color w:val="auto"/>
              </w:rPr>
              <w:t>Land</w:t>
            </w: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improvements</w:t>
            </w:r>
          </w:p>
        </w:tc>
        <w:tc>
          <w:tcPr>
            <w:tcW w:w="780" w:type="dxa"/>
            <w:vAlign w:val="bottom"/>
          </w:tcPr>
          <w:p>
            <w:pPr>
              <w:ind w:left="10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0"/>
              </w:rPr>
              <w:t>depreciation</w:t>
            </w:r>
          </w:p>
        </w:tc>
        <w:tc>
          <w:tcPr>
            <w:tcW w:w="0" w:type="dxa"/>
            <w:vAlign w:val="bottom"/>
          </w:tcPr>
          <w:p>
            <w:pPr>
              <w:spacing w:after="0"/>
              <w:rPr>
                <w:sz w:val="1"/>
                <w:szCs w:val="1"/>
                <w:color w:val="auto"/>
              </w:rPr>
            </w:pPr>
          </w:p>
        </w:tc>
      </w:tr>
      <w:tr>
        <w:trPr>
          <w:trHeight w:val="33"/>
        </w:trPr>
        <w:tc>
          <w:tcPr>
            <w:tcW w:w="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10/20/2010</w:t>
            </w: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East Millcreek</w:t>
            </w:r>
          </w:p>
        </w:tc>
        <w:tc>
          <w:tcPr>
            <w:tcW w:w="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UT</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2,934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986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3,455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2,658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986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6,113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7,099</w:t>
            </w:r>
          </w:p>
        </w:tc>
        <w:tc>
          <w:tcPr>
            <w:tcW w:w="108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639</w:t>
            </w: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Murray /</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11/23/2010</w:t>
            </w: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Cottonwood St</w:t>
            </w:r>
          </w:p>
        </w:tc>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UT</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3,611</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571</w:t>
            </w: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986</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2,340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571</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4"/>
              </w:rPr>
              <w:t>3,326</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3,897</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576</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9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Murray / Van</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Winkle</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10/4/2016</w:t>
            </w: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Expressway</w:t>
            </w:r>
          </w:p>
        </w:tc>
        <w:tc>
          <w:tcPr>
            <w:tcW w:w="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UT</w:t>
            </w:r>
          </w:p>
        </w:tc>
        <w:tc>
          <w:tcPr>
            <w:tcW w:w="8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8,511</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8,514</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8,514</w:t>
            </w:r>
          </w:p>
        </w:tc>
        <w:tc>
          <w:tcPr>
            <w:tcW w:w="108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84</w:t>
            </w:r>
          </w:p>
        </w:tc>
        <w:tc>
          <w:tcPr>
            <w:tcW w:w="0" w:type="dxa"/>
            <w:vAlign w:val="bottom"/>
          </w:tcPr>
          <w:p>
            <w:pPr>
              <w:spacing w:after="0"/>
              <w:rPr>
                <w:sz w:val="1"/>
                <w:szCs w:val="1"/>
                <w:color w:val="auto"/>
              </w:rPr>
            </w:pPr>
          </w:p>
        </w:tc>
      </w:tr>
      <w:tr>
        <w:trPr>
          <w:trHeight w:val="237"/>
        </w:trPr>
        <w:tc>
          <w:tcPr>
            <w:tcW w:w="960" w:type="dxa"/>
            <w:vAlign w:val="bottom"/>
          </w:tcPr>
          <w:p>
            <w:pPr>
              <w:jc w:val="center"/>
              <w:spacing w:after="0"/>
              <w:rPr>
                <w:sz w:val="20"/>
                <w:szCs w:val="20"/>
                <w:color w:val="auto"/>
              </w:rPr>
            </w:pPr>
            <w:r>
              <w:rPr>
                <w:rFonts w:ascii="Arial" w:cs="Arial" w:eastAsia="Arial" w:hAnsi="Arial"/>
                <w:sz w:val="16"/>
                <w:szCs w:val="16"/>
                <w:color w:val="auto"/>
                <w:w w:val="89"/>
              </w:rPr>
              <w:t>4/1/2011</w:t>
            </w: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Orem</w:t>
            </w:r>
          </w:p>
        </w:tc>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UT</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1,918</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841</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2,335</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308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841</w:t>
            </w:r>
          </w:p>
        </w:tc>
        <w:tc>
          <w:tcPr>
            <w:tcW w:w="1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4"/>
              </w:rPr>
              <w:t>2,643</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3,484</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434</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6/1/2004</w:t>
            </w: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Salt Lake City</w:t>
            </w:r>
          </w:p>
        </w:tc>
        <w:tc>
          <w:tcPr>
            <w:tcW w:w="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UT</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3,293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642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2,607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3,066</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3,708</w:t>
            </w:r>
          </w:p>
        </w:tc>
        <w:tc>
          <w:tcPr>
            <w:tcW w:w="108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1,086</w:t>
            </w: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Sandy / South</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60" w:type="dxa"/>
            <w:vAlign w:val="bottom"/>
          </w:tcPr>
          <w:p>
            <w:pPr>
              <w:jc w:val="center"/>
              <w:spacing w:after="0"/>
              <w:rPr>
                <w:sz w:val="20"/>
                <w:szCs w:val="20"/>
                <w:color w:val="auto"/>
              </w:rPr>
            </w:pPr>
            <w:r>
              <w:rPr>
                <w:rFonts w:ascii="Arial" w:cs="Arial" w:eastAsia="Arial" w:hAnsi="Arial"/>
                <w:sz w:val="16"/>
                <w:szCs w:val="16"/>
                <w:color w:val="auto"/>
                <w:w w:val="89"/>
              </w:rPr>
              <w:t>7/1/2005</w:t>
            </w: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700 East 1</w:t>
            </w:r>
          </w:p>
        </w:tc>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UT</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5,051</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1,349</w:t>
            </w: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4,372</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795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1,349</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4"/>
              </w:rPr>
              <w:t>5,167</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6,516</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1,620</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9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Sandy / South</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9/28/2012</w:t>
            </w: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700 East 2</w:t>
            </w:r>
          </w:p>
        </w:tc>
        <w:tc>
          <w:tcPr>
            <w:tcW w:w="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UT</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8,688</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2,063</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5,202</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1,539</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2,063</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6,741</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8,804</w:t>
            </w:r>
          </w:p>
        </w:tc>
        <w:tc>
          <w:tcPr>
            <w:tcW w:w="108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681</w:t>
            </w:r>
          </w:p>
        </w:tc>
        <w:tc>
          <w:tcPr>
            <w:tcW w:w="0" w:type="dxa"/>
            <w:vAlign w:val="bottom"/>
          </w:tcPr>
          <w:p>
            <w:pPr>
              <w:spacing w:after="0"/>
              <w:rPr>
                <w:sz w:val="1"/>
                <w:szCs w:val="1"/>
                <w:color w:val="auto"/>
              </w:rPr>
            </w:pPr>
          </w:p>
        </w:tc>
      </w:tr>
      <w:tr>
        <w:trPr>
          <w:trHeight w:val="237"/>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11/23/2010</w:t>
            </w: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West Jordan</w:t>
            </w:r>
          </w:p>
        </w:tc>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UT</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2,041</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735</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2,146</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484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735</w:t>
            </w:r>
          </w:p>
        </w:tc>
        <w:tc>
          <w:tcPr>
            <w:tcW w:w="1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4"/>
              </w:rPr>
              <w:t>2,630</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3,365</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503</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9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West Valley</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7/1/2005</w:t>
            </w: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City</w:t>
            </w:r>
          </w:p>
        </w:tc>
        <w:tc>
          <w:tcPr>
            <w:tcW w:w="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UT</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2,574</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461</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1,722</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193</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461</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1,915</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2,376</w:t>
            </w:r>
          </w:p>
        </w:tc>
        <w:tc>
          <w:tcPr>
            <w:tcW w:w="108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658</w:t>
            </w: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Alexandria / N</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60" w:type="dxa"/>
            <w:vAlign w:val="bottom"/>
          </w:tcPr>
          <w:p>
            <w:pPr>
              <w:jc w:val="center"/>
              <w:spacing w:after="0"/>
              <w:rPr>
                <w:sz w:val="20"/>
                <w:szCs w:val="20"/>
                <w:color w:val="auto"/>
              </w:rPr>
            </w:pPr>
            <w:r>
              <w:rPr>
                <w:rFonts w:ascii="Arial" w:cs="Arial" w:eastAsia="Arial" w:hAnsi="Arial"/>
                <w:sz w:val="16"/>
                <w:szCs w:val="16"/>
                <w:color w:val="auto"/>
                <w:w w:val="89"/>
              </w:rPr>
              <w:t>7/2/2012</w:t>
            </w: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Henry St</w:t>
            </w:r>
          </w:p>
        </w:tc>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VA</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15,659</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5,029</w:t>
            </w: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18,943</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1,641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5,029</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3"/>
              </w:rPr>
              <w:t>20,584</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25,613</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2,198</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9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Alexandria / S</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6/6/2007</w:t>
            </w: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Dove St</w:t>
            </w:r>
          </w:p>
        </w:tc>
        <w:tc>
          <w:tcPr>
            <w:tcW w:w="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VA</w:t>
            </w:r>
          </w:p>
        </w:tc>
        <w:tc>
          <w:tcPr>
            <w:tcW w:w="8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1,620</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13,103</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1,870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1,620</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14,973</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16,593</w:t>
            </w:r>
          </w:p>
        </w:tc>
        <w:tc>
          <w:tcPr>
            <w:tcW w:w="108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3,766</w:t>
            </w:r>
          </w:p>
        </w:tc>
        <w:tc>
          <w:tcPr>
            <w:tcW w:w="0" w:type="dxa"/>
            <w:vAlign w:val="bottom"/>
          </w:tcPr>
          <w:p>
            <w:pPr>
              <w:spacing w:after="0"/>
              <w:rPr>
                <w:sz w:val="1"/>
                <w:szCs w:val="1"/>
                <w:color w:val="auto"/>
              </w:rPr>
            </w:pPr>
          </w:p>
        </w:tc>
      </w:tr>
      <w:tr>
        <w:trPr>
          <w:trHeight w:val="237"/>
        </w:trPr>
        <w:tc>
          <w:tcPr>
            <w:tcW w:w="960" w:type="dxa"/>
            <w:vAlign w:val="bottom"/>
          </w:tcPr>
          <w:p>
            <w:pPr>
              <w:jc w:val="center"/>
              <w:spacing w:after="0"/>
              <w:rPr>
                <w:sz w:val="20"/>
                <w:szCs w:val="20"/>
                <w:color w:val="auto"/>
              </w:rPr>
            </w:pPr>
            <w:r>
              <w:rPr>
                <w:rFonts w:ascii="Arial" w:cs="Arial" w:eastAsia="Arial" w:hAnsi="Arial"/>
                <w:sz w:val="16"/>
                <w:szCs w:val="16"/>
                <w:color w:val="auto"/>
                <w:w w:val="89"/>
              </w:rPr>
              <w:t>10/20/2010</w:t>
            </w: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Arlington</w:t>
            </w:r>
          </w:p>
        </w:tc>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VA</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4,802</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937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220" w:type="dxa"/>
            <w:vAlign w:val="bottom"/>
          </w:tcPr>
          <w:p>
            <w:pPr>
              <w:jc w:val="center"/>
              <w:spacing w:after="0"/>
              <w:rPr>
                <w:sz w:val="20"/>
                <w:szCs w:val="20"/>
                <w:color w:val="auto"/>
              </w:rPr>
            </w:pPr>
            <w:r>
              <w:rPr>
                <w:rFonts w:ascii="Arial" w:cs="Arial" w:eastAsia="Arial" w:hAnsi="Arial"/>
                <w:sz w:val="16"/>
                <w:szCs w:val="16"/>
                <w:color w:val="auto"/>
                <w:w w:val="94"/>
              </w:rPr>
              <w:t>5,739</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5,739</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2,643</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11/1/2013</w:t>
            </w: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Burke</w:t>
            </w:r>
          </w:p>
        </w:tc>
        <w:tc>
          <w:tcPr>
            <w:tcW w:w="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VA</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11,779</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11,534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7,347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11,534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7,422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18,956</w:t>
            </w:r>
          </w:p>
        </w:tc>
        <w:tc>
          <w:tcPr>
            <w:tcW w:w="108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1,503</w:t>
            </w:r>
          </w:p>
        </w:tc>
        <w:tc>
          <w:tcPr>
            <w:tcW w:w="0" w:type="dxa"/>
            <w:vAlign w:val="bottom"/>
          </w:tcPr>
          <w:p>
            <w:pPr>
              <w:spacing w:after="0"/>
              <w:rPr>
                <w:sz w:val="1"/>
                <w:szCs w:val="1"/>
                <w:color w:val="auto"/>
              </w:rPr>
            </w:pPr>
          </w:p>
        </w:tc>
      </w:tr>
      <w:tr>
        <w:trPr>
          <w:trHeight w:val="237"/>
        </w:trPr>
        <w:tc>
          <w:tcPr>
            <w:tcW w:w="96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Chantilly</w:t>
            </w:r>
          </w:p>
        </w:tc>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VA</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6,261</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1,100</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10,606</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450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1,100</w:t>
            </w:r>
          </w:p>
        </w:tc>
        <w:tc>
          <w:tcPr>
            <w:tcW w:w="1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11,056</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12,156</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359</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9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Chesapeake /</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1/7/2014</w:t>
            </w: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Bruce Rd</w:t>
            </w:r>
          </w:p>
        </w:tc>
        <w:tc>
          <w:tcPr>
            <w:tcW w:w="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VA</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5,906</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1,074</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9,464</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141</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1,074</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9,605</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10,679</w:t>
            </w:r>
          </w:p>
        </w:tc>
        <w:tc>
          <w:tcPr>
            <w:tcW w:w="108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751</w:t>
            </w: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Chesapeake /</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1/7/2014</w:t>
            </w: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Military Hwy</w:t>
            </w:r>
          </w:p>
        </w:tc>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VA</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2,468</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332</w:t>
            </w: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4,106</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172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332</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4"/>
              </w:rPr>
              <w:t>4,278</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4,610</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341</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9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Chesapeake /</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1/7/2014</w:t>
            </w: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Poplar Hill Rd</w:t>
            </w:r>
          </w:p>
        </w:tc>
        <w:tc>
          <w:tcPr>
            <w:tcW w:w="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VA</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5,826</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540</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9,977</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146</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541</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10,122</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10,663</w:t>
            </w:r>
          </w:p>
        </w:tc>
        <w:tc>
          <w:tcPr>
            <w:tcW w:w="108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782</w:t>
            </w: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Chesapeake /</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1/7/2014</w:t>
            </w: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Woodlake Dr</w:t>
            </w:r>
          </w:p>
        </w:tc>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VA</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8,512</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4,014</w:t>
            </w: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14,872</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133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4,014</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3"/>
              </w:rPr>
              <w:t>15,005</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19,019</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1,154</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5/26/2011</w:t>
            </w: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Dumfries</w:t>
            </w:r>
          </w:p>
        </w:tc>
        <w:tc>
          <w:tcPr>
            <w:tcW w:w="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VA</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12,001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932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9,349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9,533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10,465</w:t>
            </w:r>
          </w:p>
        </w:tc>
        <w:tc>
          <w:tcPr>
            <w:tcW w:w="108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1,468</w:t>
            </w: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Falls Church /</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11/30/2012</w:t>
            </w: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Hollywood Rd</w:t>
            </w:r>
          </w:p>
        </w:tc>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VA</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8,574</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5,703</w:t>
            </w: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13,307</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337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5,703</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3"/>
              </w:rPr>
              <w:t>13,644</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19,347</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1,523</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9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Falls Church /</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7/1/2005</w:t>
            </w: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Seminary Rd</w:t>
            </w:r>
          </w:p>
        </w:tc>
        <w:tc>
          <w:tcPr>
            <w:tcW w:w="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VA</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9,097</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1,259</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6,975</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706</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1,259</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7,681</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8,940</w:t>
            </w:r>
          </w:p>
        </w:tc>
        <w:tc>
          <w:tcPr>
            <w:tcW w:w="108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2,398</w:t>
            </w: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Fredericksburg</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6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 Jefferson</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11/30/2012</w:t>
            </w: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Davis Hwy</w:t>
            </w:r>
          </w:p>
        </w:tc>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VA</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2,963</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1,438</w:t>
            </w: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2,459</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189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1,438</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4"/>
              </w:rPr>
              <w:t>2,648</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4,086</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325</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9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Fredericksburg</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7/2/2012</w:t>
            </w: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Plank Rd 1</w:t>
            </w:r>
          </w:p>
        </w:tc>
        <w:tc>
          <w:tcPr>
            <w:tcW w:w="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VA</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4,115</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2,128</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5,398</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122</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2,128</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5,520</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7,648</w:t>
            </w:r>
          </w:p>
        </w:tc>
        <w:tc>
          <w:tcPr>
            <w:tcW w:w="108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655</w:t>
            </w: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Fredericksburg</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 Plank Rd 2</w:t>
            </w:r>
          </w:p>
        </w:tc>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VA</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3,170</w:t>
            </w: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6,717</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156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3,170</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4"/>
              </w:rPr>
              <w:t>6,873</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10,043</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224</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12/18/2014</w:t>
            </w: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Glen Allen</w:t>
            </w:r>
          </w:p>
        </w:tc>
        <w:tc>
          <w:tcPr>
            <w:tcW w:w="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VA</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4,921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8,220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8,336</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8,945</w:t>
            </w:r>
          </w:p>
        </w:tc>
        <w:tc>
          <w:tcPr>
            <w:tcW w:w="108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439</w:t>
            </w: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Hampton / Big</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Bethel Rd</w:t>
            </w:r>
          </w:p>
        </w:tc>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VA</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4,075</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550</w:t>
            </w: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6,697</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222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550</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4"/>
              </w:rPr>
              <w:t>6,919</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7,469</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232</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9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Hampton /</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10/1/2015</w:t>
            </w: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LaSalle Ave</w:t>
            </w:r>
          </w:p>
        </w:tc>
        <w:tc>
          <w:tcPr>
            <w:tcW w:w="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VA</w:t>
            </w:r>
          </w:p>
        </w:tc>
        <w:tc>
          <w:tcPr>
            <w:tcW w:w="8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610</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8,883</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170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610</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9,053</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9,663</w:t>
            </w:r>
          </w:p>
        </w:tc>
        <w:tc>
          <w:tcPr>
            <w:tcW w:w="108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302</w:t>
            </w: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Hampton /</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1/7/2014</w:t>
            </w: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Pembroke Ave</w:t>
            </w:r>
          </w:p>
        </w:tc>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VA</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7,703</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7,849</w:t>
            </w: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7,040</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164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7,849</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4"/>
              </w:rPr>
              <w:t>7,204</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15,053</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565</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9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Herndon /</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9/16/2016</w:t>
            </w: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Spring St</w:t>
            </w:r>
          </w:p>
        </w:tc>
        <w:tc>
          <w:tcPr>
            <w:tcW w:w="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VA</w:t>
            </w:r>
          </w:p>
        </w:tc>
        <w:tc>
          <w:tcPr>
            <w:tcW w:w="8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7,435</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12,713</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7,435</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12,763</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20,198</w:t>
            </w:r>
          </w:p>
        </w:tc>
        <w:tc>
          <w:tcPr>
            <w:tcW w:w="108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109</w:t>
            </w:r>
          </w:p>
        </w:tc>
        <w:tc>
          <w:tcPr>
            <w:tcW w:w="0" w:type="dxa"/>
            <w:vAlign w:val="bottom"/>
          </w:tcPr>
          <w:p>
            <w:pPr>
              <w:spacing w:after="0"/>
              <w:rPr>
                <w:sz w:val="1"/>
                <w:szCs w:val="1"/>
                <w:color w:val="auto"/>
              </w:rPr>
            </w:pPr>
          </w:p>
        </w:tc>
      </w:tr>
      <w:tr>
        <w:trPr>
          <w:trHeight w:val="237"/>
        </w:trPr>
        <w:tc>
          <w:tcPr>
            <w:tcW w:w="96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Manassas</w:t>
            </w:r>
          </w:p>
        </w:tc>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VA</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750</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6,242</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337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750</w:t>
            </w:r>
          </w:p>
        </w:tc>
        <w:tc>
          <w:tcPr>
            <w:tcW w:w="1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4"/>
              </w:rPr>
              <w:t>6,579</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7,329</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216</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9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Newport News</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Denbigh</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1/7/2014</w:t>
            </w: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Blvd</w:t>
            </w:r>
          </w:p>
        </w:tc>
        <w:tc>
          <w:tcPr>
            <w:tcW w:w="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VA</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5,495</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4,619</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5,870</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4,619</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6,054</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10,673</w:t>
            </w:r>
          </w:p>
        </w:tc>
        <w:tc>
          <w:tcPr>
            <w:tcW w:w="108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480</w:t>
            </w: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Newport News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6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 J Clyde</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1/7/2014</w:t>
            </w: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Morris Blvd</w:t>
            </w:r>
          </w:p>
        </w:tc>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VA</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5,266</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4,838</w:t>
            </w: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6,124</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177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4,838</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4"/>
              </w:rPr>
              <w:t>6,301</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11,139</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503</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9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Newport News</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1/7/2014</w:t>
            </w: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Tyler Ave</w:t>
            </w:r>
          </w:p>
        </w:tc>
        <w:tc>
          <w:tcPr>
            <w:tcW w:w="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VA</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4,435</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2,740</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4,955</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158</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2,740</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5,113</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7,853</w:t>
            </w:r>
          </w:p>
        </w:tc>
        <w:tc>
          <w:tcPr>
            <w:tcW w:w="108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421</w:t>
            </w: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Norfolk /</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60" w:type="dxa"/>
            <w:vAlign w:val="bottom"/>
          </w:tcPr>
          <w:p>
            <w:pPr>
              <w:jc w:val="center"/>
              <w:spacing w:after="0"/>
              <w:rPr>
                <w:sz w:val="20"/>
                <w:szCs w:val="20"/>
                <w:color w:val="auto"/>
              </w:rPr>
            </w:pPr>
            <w:r>
              <w:rPr>
                <w:rFonts w:ascii="Arial" w:cs="Arial" w:eastAsia="Arial" w:hAnsi="Arial"/>
                <w:sz w:val="16"/>
                <w:szCs w:val="16"/>
                <w:color w:val="auto"/>
                <w:w w:val="89"/>
              </w:rPr>
              <w:t>1/7/2014</w:t>
            </w: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Granby St</w:t>
            </w:r>
          </w:p>
        </w:tc>
        <w:tc>
          <w:tcPr>
            <w:tcW w:w="5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VA</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4,723</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1,785</w:t>
            </w: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8,543</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120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1,785</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4"/>
              </w:rPr>
              <w:t>8,663</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10,448</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675</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9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520"/>
          </w:cols>
          <w:pgMar w:left="240" w:top="962" w:right="139" w:bottom="0" w:gutter="0" w:footer="0" w:header="0"/>
        </w:sectPr>
      </w:pPr>
    </w:p>
    <w:bookmarkStart w:id="114" w:name="page115"/>
    <w:bookmarkEnd w:id="1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1/7/2014</w:t>
            </w:r>
          </w:p>
        </w:tc>
        <w:tc>
          <w:tcPr>
            <w:tcW w:w="1140" w:type="dxa"/>
            <w:vAlign w:val="bottom"/>
            <w:shd w:val="clear" w:color="auto" w:fill="CCEEFF"/>
          </w:tcPr>
          <w:p>
            <w:pPr>
              <w:ind w:left="60"/>
              <w:spacing w:after="0"/>
              <w:rPr>
                <w:sz w:val="20"/>
                <w:szCs w:val="20"/>
                <w:color w:val="auto"/>
              </w:rPr>
            </w:pPr>
            <w:r>
              <w:rPr>
                <w:rFonts w:ascii="Arial" w:cs="Arial" w:eastAsia="Arial" w:hAnsi="Arial"/>
                <w:sz w:val="16"/>
                <w:szCs w:val="16"/>
                <w:color w:val="auto"/>
              </w:rPr>
              <w:t>Norfolk /</w:t>
            </w:r>
          </w:p>
        </w:tc>
        <w:tc>
          <w:tcPr>
            <w:tcW w:w="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VA</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4,214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4,078</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5,975</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155</w:t>
            </w:r>
          </w:p>
        </w:tc>
        <w:tc>
          <w:tcPr>
            <w:tcW w:w="6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4,078</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6,130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10,208</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497</w:t>
            </w:r>
          </w:p>
        </w:tc>
      </w:tr>
      <w:tr>
        <w:trPr>
          <w:trHeight w:val="219"/>
        </w:trPr>
        <w:tc>
          <w:tcPr>
            <w:tcW w:w="9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w w:val="99"/>
              </w:rPr>
              <w:t>Naval Base Rd</w:t>
            </w:r>
          </w:p>
        </w:tc>
        <w:tc>
          <w:tcPr>
            <w:tcW w:w="5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37"/>
        </w:trPr>
        <w:tc>
          <w:tcPr>
            <w:tcW w:w="920" w:type="dxa"/>
            <w:vAlign w:val="bottom"/>
          </w:tcPr>
          <w:p>
            <w:pPr>
              <w:jc w:val="center"/>
              <w:spacing w:after="0"/>
              <w:rPr>
                <w:sz w:val="20"/>
                <w:szCs w:val="20"/>
                <w:color w:val="auto"/>
              </w:rPr>
            </w:pPr>
            <w:r>
              <w:rPr>
                <w:rFonts w:ascii="Arial" w:cs="Arial" w:eastAsia="Arial" w:hAnsi="Arial"/>
                <w:sz w:val="16"/>
                <w:szCs w:val="16"/>
                <w:color w:val="auto"/>
                <w:w w:val="89"/>
              </w:rPr>
              <w:t>3/17/2015</w:t>
            </w:r>
          </w:p>
        </w:tc>
        <w:tc>
          <w:tcPr>
            <w:tcW w:w="1140" w:type="dxa"/>
            <w:vAlign w:val="bottom"/>
          </w:tcPr>
          <w:p>
            <w:pPr>
              <w:ind w:left="60"/>
              <w:spacing w:after="0"/>
              <w:rPr>
                <w:sz w:val="20"/>
                <w:szCs w:val="20"/>
                <w:color w:val="auto"/>
              </w:rPr>
            </w:pPr>
            <w:r>
              <w:rPr>
                <w:rFonts w:ascii="Arial" w:cs="Arial" w:eastAsia="Arial" w:hAnsi="Arial"/>
                <w:sz w:val="16"/>
                <w:szCs w:val="16"/>
                <w:color w:val="auto"/>
              </w:rPr>
              <w:t>Portsmouth</w:t>
            </w:r>
          </w:p>
        </w:tc>
        <w:tc>
          <w:tcPr>
            <w:tcW w:w="560" w:type="dxa"/>
            <w:vAlign w:val="bottom"/>
          </w:tcPr>
          <w:p>
            <w:pPr>
              <w:ind w:left="140"/>
              <w:spacing w:after="0"/>
              <w:rPr>
                <w:sz w:val="20"/>
                <w:szCs w:val="20"/>
                <w:color w:val="auto"/>
              </w:rPr>
            </w:pPr>
            <w:r>
              <w:rPr>
                <w:rFonts w:ascii="Arial" w:cs="Arial" w:eastAsia="Arial" w:hAnsi="Arial"/>
                <w:sz w:val="16"/>
                <w:szCs w:val="16"/>
                <w:color w:val="auto"/>
              </w:rPr>
              <w:t>VA</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2,633</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118</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4,797</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287</w:t>
            </w:r>
          </w:p>
        </w:tc>
        <w:tc>
          <w:tcPr>
            <w:tcW w:w="6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118</w:t>
            </w:r>
          </w:p>
        </w:tc>
        <w:tc>
          <w:tcPr>
            <w:tcW w:w="1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4"/>
              </w:rPr>
              <w:t>5,084</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5,202</w:t>
            </w:r>
          </w:p>
        </w:tc>
        <w:tc>
          <w:tcPr>
            <w:tcW w:w="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260</w:t>
            </w:r>
          </w:p>
        </w:tc>
      </w:tr>
      <w:tr>
        <w:trPr>
          <w:trHeight w:val="33"/>
        </w:trPr>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11/17/2016</w:t>
            </w:r>
          </w:p>
        </w:tc>
        <w:tc>
          <w:tcPr>
            <w:tcW w:w="11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Reston</w:t>
            </w:r>
          </w:p>
        </w:tc>
        <w:tc>
          <w:tcPr>
            <w:tcW w:w="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VA</w:t>
            </w:r>
          </w:p>
        </w:tc>
        <w:tc>
          <w:tcPr>
            <w:tcW w:w="8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13,957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12,526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6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13,957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12,526</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26,483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54</w:t>
            </w:r>
          </w:p>
        </w:tc>
      </w:tr>
      <w:tr>
        <w:trPr>
          <w:trHeight w:val="219"/>
        </w:trPr>
        <w:tc>
          <w:tcPr>
            <w:tcW w:w="920" w:type="dxa"/>
            <w:vAlign w:val="bottom"/>
          </w:tcPr>
          <w:p>
            <w:pPr>
              <w:spacing w:after="0"/>
              <w:rPr>
                <w:sz w:val="19"/>
                <w:szCs w:val="19"/>
                <w:color w:val="auto"/>
              </w:rPr>
            </w:pPr>
          </w:p>
        </w:tc>
        <w:tc>
          <w:tcPr>
            <w:tcW w:w="1140" w:type="dxa"/>
            <w:vAlign w:val="bottom"/>
          </w:tcPr>
          <w:p>
            <w:pPr>
              <w:ind w:left="60"/>
              <w:spacing w:after="0"/>
              <w:rPr>
                <w:sz w:val="20"/>
                <w:szCs w:val="20"/>
                <w:color w:val="auto"/>
              </w:rPr>
            </w:pPr>
            <w:r>
              <w:rPr>
                <w:rFonts w:ascii="Arial" w:cs="Arial" w:eastAsia="Arial" w:hAnsi="Arial"/>
                <w:sz w:val="16"/>
                <w:szCs w:val="16"/>
                <w:color w:val="auto"/>
              </w:rPr>
              <w:t>Richmond /</w:t>
            </w: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6"/>
        </w:trPr>
        <w:tc>
          <w:tcPr>
            <w:tcW w:w="920" w:type="dxa"/>
            <w:vAlign w:val="bottom"/>
          </w:tcPr>
          <w:p>
            <w:pPr>
              <w:jc w:val="center"/>
              <w:spacing w:after="0"/>
              <w:rPr>
                <w:sz w:val="20"/>
                <w:szCs w:val="20"/>
                <w:color w:val="auto"/>
              </w:rPr>
            </w:pPr>
            <w:r>
              <w:rPr>
                <w:rFonts w:ascii="Arial" w:cs="Arial" w:eastAsia="Arial" w:hAnsi="Arial"/>
                <w:sz w:val="16"/>
                <w:szCs w:val="16"/>
                <w:color w:val="auto"/>
                <w:w w:val="89"/>
              </w:rPr>
              <w:t>1/7/2014</w:t>
            </w:r>
          </w:p>
        </w:tc>
        <w:tc>
          <w:tcPr>
            <w:tcW w:w="1140" w:type="dxa"/>
            <w:vAlign w:val="bottom"/>
          </w:tcPr>
          <w:p>
            <w:pPr>
              <w:ind w:left="60"/>
              <w:spacing w:after="0"/>
              <w:rPr>
                <w:sz w:val="20"/>
                <w:szCs w:val="20"/>
                <w:color w:val="auto"/>
              </w:rPr>
            </w:pPr>
            <w:r>
              <w:rPr>
                <w:rFonts w:ascii="Arial" w:cs="Arial" w:eastAsia="Arial" w:hAnsi="Arial"/>
                <w:sz w:val="16"/>
                <w:szCs w:val="16"/>
                <w:color w:val="auto"/>
              </w:rPr>
              <w:t>Hull St</w:t>
            </w:r>
          </w:p>
        </w:tc>
        <w:tc>
          <w:tcPr>
            <w:tcW w:w="560" w:type="dxa"/>
            <w:vAlign w:val="bottom"/>
          </w:tcPr>
          <w:p>
            <w:pPr>
              <w:ind w:left="140"/>
              <w:spacing w:after="0"/>
              <w:rPr>
                <w:sz w:val="20"/>
                <w:szCs w:val="20"/>
                <w:color w:val="auto"/>
              </w:rPr>
            </w:pPr>
            <w:r>
              <w:rPr>
                <w:rFonts w:ascii="Arial" w:cs="Arial" w:eastAsia="Arial" w:hAnsi="Arial"/>
                <w:sz w:val="16"/>
                <w:szCs w:val="16"/>
                <w:color w:val="auto"/>
              </w:rPr>
              <w:t>VA</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6,363</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2,016</w:t>
            </w: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9,425</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136</w:t>
            </w:r>
          </w:p>
        </w:tc>
        <w:tc>
          <w:tcPr>
            <w:tcW w:w="6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2,016</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4"/>
              </w:rPr>
              <w:t>9,561</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11,577</w:t>
            </w: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745</w:t>
            </w:r>
          </w:p>
        </w:tc>
      </w:tr>
      <w:tr>
        <w:trPr>
          <w:trHeight w:val="33"/>
        </w:trPr>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9"/>
        </w:trPr>
        <w:tc>
          <w:tcPr>
            <w:tcW w:w="920" w:type="dxa"/>
            <w:vAlign w:val="bottom"/>
            <w:shd w:val="clear" w:color="auto" w:fill="CCEEFF"/>
          </w:tcPr>
          <w:p>
            <w:pPr>
              <w:spacing w:after="0"/>
              <w:rPr>
                <w:sz w:val="19"/>
                <w:szCs w:val="19"/>
                <w:color w:val="auto"/>
              </w:rPr>
            </w:pPr>
          </w:p>
        </w:tc>
        <w:tc>
          <w:tcPr>
            <w:tcW w:w="1140" w:type="dxa"/>
            <w:vAlign w:val="bottom"/>
            <w:shd w:val="clear" w:color="auto" w:fill="CCEEFF"/>
          </w:tcPr>
          <w:p>
            <w:pPr>
              <w:ind w:left="60"/>
              <w:spacing w:after="0"/>
              <w:rPr>
                <w:sz w:val="20"/>
                <w:szCs w:val="20"/>
                <w:color w:val="auto"/>
              </w:rPr>
            </w:pPr>
            <w:r>
              <w:rPr>
                <w:rFonts w:ascii="Arial" w:cs="Arial" w:eastAsia="Arial" w:hAnsi="Arial"/>
                <w:sz w:val="16"/>
                <w:szCs w:val="16"/>
                <w:color w:val="auto"/>
              </w:rPr>
              <w:t>Richmond /</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9"/>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1/7/2014</w:t>
            </w:r>
          </w:p>
        </w:tc>
        <w:tc>
          <w:tcPr>
            <w:tcW w:w="11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Laburnum Ave</w:t>
            </w:r>
          </w:p>
        </w:tc>
        <w:tc>
          <w:tcPr>
            <w:tcW w:w="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VA</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8,216</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5,945</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7,613</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197</w:t>
            </w:r>
          </w:p>
        </w:tc>
        <w:tc>
          <w:tcPr>
            <w:tcW w:w="6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5,945</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7,810</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13,755</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625</w:t>
            </w:r>
          </w:p>
        </w:tc>
      </w:tr>
      <w:tr>
        <w:trPr>
          <w:trHeight w:val="219"/>
        </w:trPr>
        <w:tc>
          <w:tcPr>
            <w:tcW w:w="920" w:type="dxa"/>
            <w:vAlign w:val="bottom"/>
          </w:tcPr>
          <w:p>
            <w:pPr>
              <w:spacing w:after="0"/>
              <w:rPr>
                <w:sz w:val="19"/>
                <w:szCs w:val="19"/>
                <w:color w:val="auto"/>
              </w:rPr>
            </w:pPr>
          </w:p>
        </w:tc>
        <w:tc>
          <w:tcPr>
            <w:tcW w:w="1140" w:type="dxa"/>
            <w:vAlign w:val="bottom"/>
          </w:tcPr>
          <w:p>
            <w:pPr>
              <w:ind w:left="60"/>
              <w:spacing w:after="0"/>
              <w:rPr>
                <w:sz w:val="20"/>
                <w:szCs w:val="20"/>
                <w:color w:val="auto"/>
              </w:rPr>
            </w:pPr>
            <w:r>
              <w:rPr>
                <w:rFonts w:ascii="Arial" w:cs="Arial" w:eastAsia="Arial" w:hAnsi="Arial"/>
                <w:sz w:val="16"/>
                <w:szCs w:val="16"/>
                <w:color w:val="auto"/>
              </w:rPr>
              <w:t>Richmond /</w:t>
            </w: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2"/>
        </w:trPr>
        <w:tc>
          <w:tcPr>
            <w:tcW w:w="920" w:type="dxa"/>
            <w:vAlign w:val="bottom"/>
          </w:tcPr>
          <w:p>
            <w:pPr>
              <w:spacing w:after="0"/>
              <w:rPr>
                <w:sz w:val="17"/>
                <w:szCs w:val="17"/>
                <w:color w:val="auto"/>
              </w:rPr>
            </w:pPr>
          </w:p>
        </w:tc>
        <w:tc>
          <w:tcPr>
            <w:tcW w:w="1140" w:type="dxa"/>
            <w:vAlign w:val="bottom"/>
          </w:tcPr>
          <w:p>
            <w:pPr>
              <w:ind w:left="60"/>
              <w:spacing w:after="0"/>
              <w:rPr>
                <w:sz w:val="20"/>
                <w:szCs w:val="20"/>
                <w:color w:val="auto"/>
              </w:rPr>
            </w:pPr>
            <w:r>
              <w:rPr>
                <w:rFonts w:ascii="Arial" w:cs="Arial" w:eastAsia="Arial" w:hAnsi="Arial"/>
                <w:sz w:val="16"/>
                <w:szCs w:val="16"/>
                <w:color w:val="auto"/>
              </w:rPr>
              <w:t>Midlothian</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6"/>
        </w:trPr>
        <w:tc>
          <w:tcPr>
            <w:tcW w:w="920" w:type="dxa"/>
            <w:vAlign w:val="bottom"/>
          </w:tcPr>
          <w:p>
            <w:pPr>
              <w:jc w:val="center"/>
              <w:spacing w:after="0"/>
              <w:rPr>
                <w:sz w:val="20"/>
                <w:szCs w:val="20"/>
                <w:color w:val="auto"/>
              </w:rPr>
            </w:pPr>
            <w:r>
              <w:rPr>
                <w:rFonts w:ascii="Arial" w:cs="Arial" w:eastAsia="Arial" w:hAnsi="Arial"/>
                <w:sz w:val="16"/>
                <w:szCs w:val="16"/>
                <w:color w:val="auto"/>
                <w:w w:val="89"/>
              </w:rPr>
              <w:t>1/7/2014</w:t>
            </w:r>
          </w:p>
        </w:tc>
        <w:tc>
          <w:tcPr>
            <w:tcW w:w="1140" w:type="dxa"/>
            <w:vAlign w:val="bottom"/>
          </w:tcPr>
          <w:p>
            <w:pPr>
              <w:ind w:left="60"/>
              <w:spacing w:after="0"/>
              <w:rPr>
                <w:sz w:val="20"/>
                <w:szCs w:val="20"/>
                <w:color w:val="auto"/>
              </w:rPr>
            </w:pPr>
            <w:r>
              <w:rPr>
                <w:rFonts w:ascii="Arial" w:cs="Arial" w:eastAsia="Arial" w:hAnsi="Arial"/>
                <w:sz w:val="16"/>
                <w:szCs w:val="16"/>
                <w:color w:val="auto"/>
              </w:rPr>
              <w:t>Turnpike</w:t>
            </w:r>
          </w:p>
        </w:tc>
        <w:tc>
          <w:tcPr>
            <w:tcW w:w="560" w:type="dxa"/>
            <w:vAlign w:val="bottom"/>
          </w:tcPr>
          <w:p>
            <w:pPr>
              <w:ind w:left="140"/>
              <w:spacing w:after="0"/>
              <w:rPr>
                <w:sz w:val="20"/>
                <w:szCs w:val="20"/>
                <w:color w:val="auto"/>
              </w:rPr>
            </w:pPr>
            <w:r>
              <w:rPr>
                <w:rFonts w:ascii="Arial" w:cs="Arial" w:eastAsia="Arial" w:hAnsi="Arial"/>
                <w:sz w:val="16"/>
                <w:szCs w:val="16"/>
                <w:color w:val="auto"/>
              </w:rPr>
              <w:t>VA</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4,851</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2,735</w:t>
            </w: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5,699</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160</w:t>
            </w:r>
          </w:p>
        </w:tc>
        <w:tc>
          <w:tcPr>
            <w:tcW w:w="6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2,735</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4"/>
              </w:rPr>
              <w:t>5,859</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8,594</w:t>
            </w: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467</w:t>
            </w:r>
          </w:p>
        </w:tc>
      </w:tr>
      <w:tr>
        <w:trPr>
          <w:trHeight w:val="33"/>
        </w:trPr>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9"/>
        </w:trPr>
        <w:tc>
          <w:tcPr>
            <w:tcW w:w="920" w:type="dxa"/>
            <w:vAlign w:val="bottom"/>
            <w:shd w:val="clear" w:color="auto" w:fill="CCEEFF"/>
          </w:tcPr>
          <w:p>
            <w:pPr>
              <w:spacing w:after="0"/>
              <w:rPr>
                <w:sz w:val="19"/>
                <w:szCs w:val="19"/>
                <w:color w:val="auto"/>
              </w:rPr>
            </w:pPr>
          </w:p>
        </w:tc>
        <w:tc>
          <w:tcPr>
            <w:tcW w:w="1140" w:type="dxa"/>
            <w:vAlign w:val="bottom"/>
            <w:shd w:val="clear" w:color="auto" w:fill="CCEEFF"/>
          </w:tcPr>
          <w:p>
            <w:pPr>
              <w:ind w:left="60"/>
              <w:spacing w:after="0"/>
              <w:rPr>
                <w:sz w:val="20"/>
                <w:szCs w:val="20"/>
                <w:color w:val="auto"/>
              </w:rPr>
            </w:pPr>
            <w:r>
              <w:rPr>
                <w:rFonts w:ascii="Arial" w:cs="Arial" w:eastAsia="Arial" w:hAnsi="Arial"/>
                <w:sz w:val="16"/>
                <w:szCs w:val="16"/>
                <w:color w:val="auto"/>
              </w:rPr>
              <w:t>Richmond /</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02"/>
        </w:trPr>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ind w:left="60"/>
              <w:spacing w:after="0"/>
              <w:rPr>
                <w:sz w:val="20"/>
                <w:szCs w:val="20"/>
                <w:color w:val="auto"/>
              </w:rPr>
            </w:pPr>
            <w:r>
              <w:rPr>
                <w:rFonts w:ascii="Arial" w:cs="Arial" w:eastAsia="Arial" w:hAnsi="Arial"/>
                <w:sz w:val="16"/>
                <w:szCs w:val="16"/>
                <w:color w:val="auto"/>
              </w:rPr>
              <w:t>Old Staples</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9"/>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1/7/2014</w:t>
            </w:r>
          </w:p>
        </w:tc>
        <w:tc>
          <w:tcPr>
            <w:tcW w:w="11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Mill Rd</w:t>
            </w:r>
          </w:p>
        </w:tc>
        <w:tc>
          <w:tcPr>
            <w:tcW w:w="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VA</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6,702</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5,905</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6,869</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148</w:t>
            </w:r>
          </w:p>
        </w:tc>
        <w:tc>
          <w:tcPr>
            <w:tcW w:w="6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5,905</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7,017</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12,922</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563</w:t>
            </w:r>
          </w:p>
        </w:tc>
      </w:tr>
      <w:tr>
        <w:trPr>
          <w:trHeight w:val="219"/>
        </w:trPr>
        <w:tc>
          <w:tcPr>
            <w:tcW w:w="920" w:type="dxa"/>
            <w:vAlign w:val="bottom"/>
          </w:tcPr>
          <w:p>
            <w:pPr>
              <w:spacing w:after="0"/>
              <w:rPr>
                <w:sz w:val="19"/>
                <w:szCs w:val="19"/>
                <w:color w:val="auto"/>
              </w:rPr>
            </w:pPr>
          </w:p>
        </w:tc>
        <w:tc>
          <w:tcPr>
            <w:tcW w:w="1140" w:type="dxa"/>
            <w:vAlign w:val="bottom"/>
          </w:tcPr>
          <w:p>
            <w:pPr>
              <w:ind w:left="60"/>
              <w:spacing w:after="0"/>
              <w:rPr>
                <w:sz w:val="20"/>
                <w:szCs w:val="20"/>
                <w:color w:val="auto"/>
              </w:rPr>
            </w:pPr>
            <w:r>
              <w:rPr>
                <w:rFonts w:ascii="Arial" w:cs="Arial" w:eastAsia="Arial" w:hAnsi="Arial"/>
                <w:sz w:val="16"/>
                <w:szCs w:val="16"/>
                <w:color w:val="auto"/>
              </w:rPr>
              <w:t>Richmond / W</w:t>
            </w: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6"/>
        </w:trPr>
        <w:tc>
          <w:tcPr>
            <w:tcW w:w="920" w:type="dxa"/>
            <w:vAlign w:val="bottom"/>
          </w:tcPr>
          <w:p>
            <w:pPr>
              <w:jc w:val="center"/>
              <w:spacing w:after="0"/>
              <w:rPr>
                <w:sz w:val="20"/>
                <w:szCs w:val="20"/>
                <w:color w:val="auto"/>
              </w:rPr>
            </w:pPr>
            <w:r>
              <w:rPr>
                <w:rFonts w:ascii="Arial" w:cs="Arial" w:eastAsia="Arial" w:hAnsi="Arial"/>
                <w:sz w:val="16"/>
                <w:szCs w:val="16"/>
                <w:color w:val="auto"/>
                <w:w w:val="89"/>
              </w:rPr>
              <w:t>8/26/2004</w:t>
            </w:r>
          </w:p>
        </w:tc>
        <w:tc>
          <w:tcPr>
            <w:tcW w:w="1140" w:type="dxa"/>
            <w:vAlign w:val="bottom"/>
          </w:tcPr>
          <w:p>
            <w:pPr>
              <w:ind w:left="60"/>
              <w:spacing w:after="0"/>
              <w:rPr>
                <w:sz w:val="20"/>
                <w:szCs w:val="20"/>
                <w:color w:val="auto"/>
              </w:rPr>
            </w:pPr>
            <w:r>
              <w:rPr>
                <w:rFonts w:ascii="Arial" w:cs="Arial" w:eastAsia="Arial" w:hAnsi="Arial"/>
                <w:sz w:val="16"/>
                <w:szCs w:val="16"/>
                <w:color w:val="auto"/>
              </w:rPr>
              <w:t>Broad St 1</w:t>
            </w:r>
          </w:p>
        </w:tc>
        <w:tc>
          <w:tcPr>
            <w:tcW w:w="560" w:type="dxa"/>
            <w:vAlign w:val="bottom"/>
          </w:tcPr>
          <w:p>
            <w:pPr>
              <w:ind w:left="140"/>
              <w:spacing w:after="0"/>
              <w:rPr>
                <w:sz w:val="20"/>
                <w:szCs w:val="20"/>
                <w:color w:val="auto"/>
              </w:rPr>
            </w:pPr>
            <w:r>
              <w:rPr>
                <w:rFonts w:ascii="Arial" w:cs="Arial" w:eastAsia="Arial" w:hAnsi="Arial"/>
                <w:sz w:val="16"/>
                <w:szCs w:val="16"/>
                <w:color w:val="auto"/>
              </w:rPr>
              <w:t>VA</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4,371</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2,305</w:t>
            </w: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5,467</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435</w:t>
            </w:r>
          </w:p>
        </w:tc>
        <w:tc>
          <w:tcPr>
            <w:tcW w:w="6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2,305</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4"/>
              </w:rPr>
              <w:t>5,902</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8,207</w:t>
            </w: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1,937</w:t>
            </w:r>
          </w:p>
        </w:tc>
      </w:tr>
      <w:tr>
        <w:trPr>
          <w:trHeight w:val="33"/>
        </w:trPr>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9"/>
        </w:trPr>
        <w:tc>
          <w:tcPr>
            <w:tcW w:w="920" w:type="dxa"/>
            <w:vAlign w:val="bottom"/>
            <w:shd w:val="clear" w:color="auto" w:fill="CCEEFF"/>
          </w:tcPr>
          <w:p>
            <w:pPr>
              <w:spacing w:after="0"/>
              <w:rPr>
                <w:sz w:val="19"/>
                <w:szCs w:val="19"/>
                <w:color w:val="auto"/>
              </w:rPr>
            </w:pPr>
          </w:p>
        </w:tc>
        <w:tc>
          <w:tcPr>
            <w:tcW w:w="1140" w:type="dxa"/>
            <w:vAlign w:val="bottom"/>
            <w:shd w:val="clear" w:color="auto" w:fill="CCEEFF"/>
          </w:tcPr>
          <w:p>
            <w:pPr>
              <w:ind w:left="60"/>
              <w:spacing w:after="0"/>
              <w:rPr>
                <w:sz w:val="20"/>
                <w:szCs w:val="20"/>
                <w:color w:val="auto"/>
              </w:rPr>
            </w:pPr>
            <w:r>
              <w:rPr>
                <w:rFonts w:ascii="Arial" w:cs="Arial" w:eastAsia="Arial" w:hAnsi="Arial"/>
                <w:sz w:val="16"/>
                <w:szCs w:val="16"/>
                <w:color w:val="auto"/>
              </w:rPr>
              <w:t>Richmond / W</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9"/>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9/16/2016</w:t>
            </w:r>
          </w:p>
        </w:tc>
        <w:tc>
          <w:tcPr>
            <w:tcW w:w="11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Broad St 2</w:t>
            </w:r>
          </w:p>
        </w:tc>
        <w:tc>
          <w:tcPr>
            <w:tcW w:w="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VA</w:t>
            </w:r>
          </w:p>
        </w:tc>
        <w:tc>
          <w:tcPr>
            <w:tcW w:w="8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5,810</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13,177</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58</w:t>
            </w:r>
          </w:p>
        </w:tc>
        <w:tc>
          <w:tcPr>
            <w:tcW w:w="6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5,810</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13,235</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19,045</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115</w:t>
            </w:r>
          </w:p>
        </w:tc>
      </w:tr>
      <w:tr>
        <w:trPr>
          <w:trHeight w:val="237"/>
        </w:trPr>
        <w:tc>
          <w:tcPr>
            <w:tcW w:w="920" w:type="dxa"/>
            <w:vAlign w:val="bottom"/>
          </w:tcPr>
          <w:p>
            <w:pPr>
              <w:jc w:val="center"/>
              <w:spacing w:after="0"/>
              <w:rPr>
                <w:sz w:val="20"/>
                <w:szCs w:val="20"/>
                <w:color w:val="auto"/>
              </w:rPr>
            </w:pPr>
            <w:r>
              <w:rPr>
                <w:rFonts w:ascii="Arial" w:cs="Arial" w:eastAsia="Arial" w:hAnsi="Arial"/>
                <w:sz w:val="16"/>
                <w:szCs w:val="16"/>
                <w:color w:val="auto"/>
                <w:w w:val="89"/>
              </w:rPr>
              <w:t>10/1/2015</w:t>
            </w:r>
          </w:p>
        </w:tc>
        <w:tc>
          <w:tcPr>
            <w:tcW w:w="1140" w:type="dxa"/>
            <w:vAlign w:val="bottom"/>
          </w:tcPr>
          <w:p>
            <w:pPr>
              <w:ind w:left="60"/>
              <w:spacing w:after="0"/>
              <w:rPr>
                <w:sz w:val="20"/>
                <w:szCs w:val="20"/>
                <w:color w:val="auto"/>
              </w:rPr>
            </w:pPr>
            <w:r>
              <w:rPr>
                <w:rFonts w:ascii="Arial" w:cs="Arial" w:eastAsia="Arial" w:hAnsi="Arial"/>
                <w:sz w:val="16"/>
                <w:szCs w:val="16"/>
                <w:color w:val="auto"/>
              </w:rPr>
              <w:t>Sandston</w:t>
            </w:r>
          </w:p>
        </w:tc>
        <w:tc>
          <w:tcPr>
            <w:tcW w:w="560" w:type="dxa"/>
            <w:vAlign w:val="bottom"/>
          </w:tcPr>
          <w:p>
            <w:pPr>
              <w:ind w:left="140"/>
              <w:spacing w:after="0"/>
              <w:rPr>
                <w:sz w:val="20"/>
                <w:szCs w:val="20"/>
                <w:color w:val="auto"/>
              </w:rPr>
            </w:pPr>
            <w:r>
              <w:rPr>
                <w:rFonts w:ascii="Arial" w:cs="Arial" w:eastAsia="Arial" w:hAnsi="Arial"/>
                <w:sz w:val="16"/>
                <w:szCs w:val="16"/>
                <w:color w:val="auto"/>
              </w:rPr>
              <w:t>VA</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6,511</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570</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10,525</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229</w:t>
            </w:r>
          </w:p>
        </w:tc>
        <w:tc>
          <w:tcPr>
            <w:tcW w:w="6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570</w:t>
            </w:r>
          </w:p>
        </w:tc>
        <w:tc>
          <w:tcPr>
            <w:tcW w:w="1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3"/>
              </w:rPr>
              <w:t>10,754</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11,324</w:t>
            </w:r>
          </w:p>
        </w:tc>
        <w:tc>
          <w:tcPr>
            <w:tcW w:w="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357</w:t>
            </w:r>
          </w:p>
        </w:tc>
      </w:tr>
      <w:tr>
        <w:trPr>
          <w:trHeight w:val="33"/>
        </w:trPr>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9"/>
        </w:trPr>
        <w:tc>
          <w:tcPr>
            <w:tcW w:w="920" w:type="dxa"/>
            <w:vAlign w:val="bottom"/>
            <w:shd w:val="clear" w:color="auto" w:fill="CCEEFF"/>
          </w:tcPr>
          <w:p>
            <w:pPr>
              <w:spacing w:after="0"/>
              <w:rPr>
                <w:sz w:val="19"/>
                <w:szCs w:val="19"/>
                <w:color w:val="auto"/>
              </w:rPr>
            </w:pPr>
          </w:p>
        </w:tc>
        <w:tc>
          <w:tcPr>
            <w:tcW w:w="1140" w:type="dxa"/>
            <w:vAlign w:val="bottom"/>
            <w:shd w:val="clear" w:color="auto" w:fill="CCEEFF"/>
          </w:tcPr>
          <w:p>
            <w:pPr>
              <w:ind w:left="60"/>
              <w:spacing w:after="0"/>
              <w:rPr>
                <w:sz w:val="20"/>
                <w:szCs w:val="20"/>
                <w:color w:val="auto"/>
              </w:rPr>
            </w:pPr>
            <w:r>
              <w:rPr>
                <w:rFonts w:ascii="Arial" w:cs="Arial" w:eastAsia="Arial" w:hAnsi="Arial"/>
                <w:sz w:val="16"/>
                <w:szCs w:val="16"/>
                <w:color w:val="auto"/>
              </w:rPr>
              <w:t>Stafford /</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02"/>
        </w:trPr>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ind w:left="60"/>
              <w:spacing w:after="0"/>
              <w:rPr>
                <w:sz w:val="20"/>
                <w:szCs w:val="20"/>
                <w:color w:val="auto"/>
              </w:rPr>
            </w:pPr>
            <w:r>
              <w:rPr>
                <w:rFonts w:ascii="Arial" w:cs="Arial" w:eastAsia="Arial" w:hAnsi="Arial"/>
                <w:sz w:val="16"/>
                <w:szCs w:val="16"/>
                <w:color w:val="auto"/>
              </w:rPr>
              <w:t>Jefferson</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9"/>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9/20/2012</w:t>
            </w:r>
          </w:p>
        </w:tc>
        <w:tc>
          <w:tcPr>
            <w:tcW w:w="11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Davis Hwy</w:t>
            </w:r>
          </w:p>
        </w:tc>
        <w:tc>
          <w:tcPr>
            <w:tcW w:w="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VA</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4,691</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1,172</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5,562</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161</w:t>
            </w:r>
          </w:p>
        </w:tc>
        <w:tc>
          <w:tcPr>
            <w:tcW w:w="6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1,172</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5,723</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6,895</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673</w:t>
            </w:r>
          </w:p>
        </w:tc>
      </w:tr>
      <w:tr>
        <w:trPr>
          <w:trHeight w:val="219"/>
        </w:trPr>
        <w:tc>
          <w:tcPr>
            <w:tcW w:w="920" w:type="dxa"/>
            <w:vAlign w:val="bottom"/>
          </w:tcPr>
          <w:p>
            <w:pPr>
              <w:spacing w:after="0"/>
              <w:rPr>
                <w:sz w:val="19"/>
                <w:szCs w:val="19"/>
                <w:color w:val="auto"/>
              </w:rPr>
            </w:pPr>
          </w:p>
        </w:tc>
        <w:tc>
          <w:tcPr>
            <w:tcW w:w="1140" w:type="dxa"/>
            <w:vAlign w:val="bottom"/>
          </w:tcPr>
          <w:p>
            <w:pPr>
              <w:ind w:left="60"/>
              <w:spacing w:after="0"/>
              <w:rPr>
                <w:sz w:val="20"/>
                <w:szCs w:val="20"/>
                <w:color w:val="auto"/>
              </w:rPr>
            </w:pPr>
            <w:r>
              <w:rPr>
                <w:rFonts w:ascii="Arial" w:cs="Arial" w:eastAsia="Arial" w:hAnsi="Arial"/>
                <w:sz w:val="16"/>
                <w:szCs w:val="16"/>
                <w:color w:val="auto"/>
              </w:rPr>
              <w:t>Stafford /</w:t>
            </w: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6"/>
        </w:trPr>
        <w:tc>
          <w:tcPr>
            <w:tcW w:w="920" w:type="dxa"/>
            <w:vAlign w:val="bottom"/>
          </w:tcPr>
          <w:p>
            <w:pPr>
              <w:jc w:val="center"/>
              <w:spacing w:after="0"/>
              <w:rPr>
                <w:sz w:val="20"/>
                <w:szCs w:val="20"/>
                <w:color w:val="auto"/>
              </w:rPr>
            </w:pPr>
            <w:r>
              <w:rPr>
                <w:rFonts w:ascii="Arial" w:cs="Arial" w:eastAsia="Arial" w:hAnsi="Arial"/>
                <w:sz w:val="16"/>
                <w:szCs w:val="16"/>
                <w:color w:val="auto"/>
                <w:w w:val="89"/>
              </w:rPr>
              <w:t>1/23/2009</w:t>
            </w:r>
          </w:p>
        </w:tc>
        <w:tc>
          <w:tcPr>
            <w:tcW w:w="1140" w:type="dxa"/>
            <w:vAlign w:val="bottom"/>
          </w:tcPr>
          <w:p>
            <w:pPr>
              <w:ind w:left="60"/>
              <w:spacing w:after="0"/>
              <w:rPr>
                <w:sz w:val="20"/>
                <w:szCs w:val="20"/>
                <w:color w:val="auto"/>
              </w:rPr>
            </w:pPr>
            <w:r>
              <w:rPr>
                <w:rFonts w:ascii="Arial" w:cs="Arial" w:eastAsia="Arial" w:hAnsi="Arial"/>
                <w:sz w:val="16"/>
                <w:szCs w:val="16"/>
                <w:color w:val="auto"/>
              </w:rPr>
              <w:t>SUSA Dr</w:t>
            </w:r>
          </w:p>
        </w:tc>
        <w:tc>
          <w:tcPr>
            <w:tcW w:w="560" w:type="dxa"/>
            <w:vAlign w:val="bottom"/>
          </w:tcPr>
          <w:p>
            <w:pPr>
              <w:ind w:left="140"/>
              <w:spacing w:after="0"/>
              <w:rPr>
                <w:sz w:val="20"/>
                <w:szCs w:val="20"/>
                <w:color w:val="auto"/>
              </w:rPr>
            </w:pPr>
            <w:r>
              <w:rPr>
                <w:rFonts w:ascii="Arial" w:cs="Arial" w:eastAsia="Arial" w:hAnsi="Arial"/>
                <w:sz w:val="16"/>
                <w:szCs w:val="16"/>
                <w:color w:val="auto"/>
              </w:rPr>
              <w:t>VA</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4,233</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2,076</w:t>
            </w: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5,175</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156</w:t>
            </w:r>
          </w:p>
        </w:tc>
        <w:tc>
          <w:tcPr>
            <w:tcW w:w="6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2,076</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4"/>
              </w:rPr>
              <w:t>5,331</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7,407</w:t>
            </w: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1,120</w:t>
            </w:r>
          </w:p>
        </w:tc>
      </w:tr>
      <w:tr>
        <w:trPr>
          <w:trHeight w:val="33"/>
        </w:trPr>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9"/>
        </w:trPr>
        <w:tc>
          <w:tcPr>
            <w:tcW w:w="920" w:type="dxa"/>
            <w:vAlign w:val="bottom"/>
            <w:shd w:val="clear" w:color="auto" w:fill="CCEEFF"/>
          </w:tcPr>
          <w:p>
            <w:pPr>
              <w:spacing w:after="0"/>
              <w:rPr>
                <w:sz w:val="19"/>
                <w:szCs w:val="19"/>
                <w:color w:val="auto"/>
              </w:rPr>
            </w:pPr>
          </w:p>
        </w:tc>
        <w:tc>
          <w:tcPr>
            <w:tcW w:w="1140" w:type="dxa"/>
            <w:vAlign w:val="bottom"/>
            <w:shd w:val="clear" w:color="auto" w:fill="CCEEFF"/>
          </w:tcPr>
          <w:p>
            <w:pPr>
              <w:ind w:left="60"/>
              <w:spacing w:after="0"/>
              <w:rPr>
                <w:sz w:val="20"/>
                <w:szCs w:val="20"/>
                <w:color w:val="auto"/>
              </w:rPr>
            </w:pPr>
            <w:r>
              <w:rPr>
                <w:rFonts w:ascii="Arial" w:cs="Arial" w:eastAsia="Arial" w:hAnsi="Arial"/>
                <w:sz w:val="16"/>
                <w:szCs w:val="16"/>
                <w:color w:val="auto"/>
              </w:rPr>
              <w:t>Virginia Beach</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02"/>
        </w:trPr>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ind w:left="60"/>
              <w:spacing w:after="0"/>
              <w:rPr>
                <w:sz w:val="20"/>
                <w:szCs w:val="20"/>
                <w:color w:val="auto"/>
              </w:rPr>
            </w:pPr>
            <w:r>
              <w:rPr>
                <w:rFonts w:ascii="Arial" w:cs="Arial" w:eastAsia="Arial" w:hAnsi="Arial"/>
                <w:sz w:val="16"/>
                <w:szCs w:val="16"/>
                <w:color w:val="auto"/>
              </w:rPr>
              <w:t>/ General</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9"/>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1/7/2014</w:t>
            </w:r>
          </w:p>
        </w:tc>
        <w:tc>
          <w:tcPr>
            <w:tcW w:w="11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Booth Blvd</w:t>
            </w:r>
          </w:p>
        </w:tc>
        <w:tc>
          <w:tcPr>
            <w:tcW w:w="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VA</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7,119</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1,142</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11,721</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152</w:t>
            </w:r>
          </w:p>
        </w:tc>
        <w:tc>
          <w:tcPr>
            <w:tcW w:w="6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1,142</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11,873</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13,015</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919</w:t>
            </w:r>
          </w:p>
        </w:tc>
      </w:tr>
      <w:tr>
        <w:trPr>
          <w:trHeight w:val="219"/>
        </w:trPr>
        <w:tc>
          <w:tcPr>
            <w:tcW w:w="920" w:type="dxa"/>
            <w:vAlign w:val="bottom"/>
          </w:tcPr>
          <w:p>
            <w:pPr>
              <w:spacing w:after="0"/>
              <w:rPr>
                <w:sz w:val="19"/>
                <w:szCs w:val="19"/>
                <w:color w:val="auto"/>
              </w:rPr>
            </w:pPr>
          </w:p>
        </w:tc>
        <w:tc>
          <w:tcPr>
            <w:tcW w:w="1140" w:type="dxa"/>
            <w:vAlign w:val="bottom"/>
          </w:tcPr>
          <w:p>
            <w:pPr>
              <w:ind w:left="60"/>
              <w:spacing w:after="0"/>
              <w:rPr>
                <w:sz w:val="20"/>
                <w:szCs w:val="20"/>
                <w:color w:val="auto"/>
              </w:rPr>
            </w:pPr>
            <w:r>
              <w:rPr>
                <w:rFonts w:ascii="Arial" w:cs="Arial" w:eastAsia="Arial" w:hAnsi="Arial"/>
                <w:sz w:val="16"/>
                <w:szCs w:val="16"/>
                <w:color w:val="auto"/>
              </w:rPr>
              <w:t>Virginia Beach</w:t>
            </w: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2"/>
        </w:trPr>
        <w:tc>
          <w:tcPr>
            <w:tcW w:w="920" w:type="dxa"/>
            <w:vAlign w:val="bottom"/>
          </w:tcPr>
          <w:p>
            <w:pPr>
              <w:spacing w:after="0"/>
              <w:rPr>
                <w:sz w:val="17"/>
                <w:szCs w:val="17"/>
                <w:color w:val="auto"/>
              </w:rPr>
            </w:pPr>
          </w:p>
        </w:tc>
        <w:tc>
          <w:tcPr>
            <w:tcW w:w="1140" w:type="dxa"/>
            <w:vAlign w:val="bottom"/>
          </w:tcPr>
          <w:p>
            <w:pPr>
              <w:ind w:left="60"/>
              <w:spacing w:after="0"/>
              <w:rPr>
                <w:sz w:val="20"/>
                <w:szCs w:val="20"/>
                <w:color w:val="auto"/>
              </w:rPr>
            </w:pPr>
            <w:r>
              <w:rPr>
                <w:rFonts w:ascii="Arial" w:cs="Arial" w:eastAsia="Arial" w:hAnsi="Arial"/>
                <w:sz w:val="16"/>
                <w:szCs w:val="16"/>
                <w:color w:val="auto"/>
              </w:rPr>
              <w:t>/ Kempsville</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6"/>
        </w:trPr>
        <w:tc>
          <w:tcPr>
            <w:tcW w:w="920" w:type="dxa"/>
            <w:vAlign w:val="bottom"/>
          </w:tcPr>
          <w:p>
            <w:pPr>
              <w:jc w:val="center"/>
              <w:spacing w:after="0"/>
              <w:rPr>
                <w:sz w:val="20"/>
                <w:szCs w:val="20"/>
                <w:color w:val="auto"/>
              </w:rPr>
            </w:pPr>
            <w:r>
              <w:rPr>
                <w:rFonts w:ascii="Arial" w:cs="Arial" w:eastAsia="Arial" w:hAnsi="Arial"/>
                <w:sz w:val="16"/>
                <w:szCs w:val="16"/>
                <w:color w:val="auto"/>
                <w:w w:val="89"/>
              </w:rPr>
              <w:t>1/7/2014</w:t>
            </w:r>
          </w:p>
        </w:tc>
        <w:tc>
          <w:tcPr>
            <w:tcW w:w="1140" w:type="dxa"/>
            <w:vAlign w:val="bottom"/>
          </w:tcPr>
          <w:p>
            <w:pPr>
              <w:ind w:left="60"/>
              <w:spacing w:after="0"/>
              <w:rPr>
                <w:sz w:val="20"/>
                <w:szCs w:val="20"/>
                <w:color w:val="auto"/>
              </w:rPr>
            </w:pPr>
            <w:r>
              <w:rPr>
                <w:rFonts w:ascii="Arial" w:cs="Arial" w:eastAsia="Arial" w:hAnsi="Arial"/>
                <w:sz w:val="16"/>
                <w:szCs w:val="16"/>
                <w:color w:val="auto"/>
              </w:rPr>
              <w:t>Rd</w:t>
            </w:r>
          </w:p>
        </w:tc>
        <w:tc>
          <w:tcPr>
            <w:tcW w:w="560" w:type="dxa"/>
            <w:vAlign w:val="bottom"/>
          </w:tcPr>
          <w:p>
            <w:pPr>
              <w:ind w:left="140"/>
              <w:spacing w:after="0"/>
              <w:rPr>
                <w:sz w:val="20"/>
                <w:szCs w:val="20"/>
                <w:color w:val="auto"/>
              </w:rPr>
            </w:pPr>
            <w:r>
              <w:rPr>
                <w:rFonts w:ascii="Arial" w:cs="Arial" w:eastAsia="Arial" w:hAnsi="Arial"/>
                <w:sz w:val="16"/>
                <w:szCs w:val="16"/>
                <w:color w:val="auto"/>
              </w:rPr>
              <w:t>VA</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7,363</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3,934</w:t>
            </w: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11,413</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116</w:t>
            </w:r>
          </w:p>
        </w:tc>
        <w:tc>
          <w:tcPr>
            <w:tcW w:w="6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3,934</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11,529</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15,463</w:t>
            </w: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890</w:t>
            </w:r>
          </w:p>
        </w:tc>
      </w:tr>
      <w:tr>
        <w:trPr>
          <w:trHeight w:val="33"/>
        </w:trPr>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9"/>
        </w:trPr>
        <w:tc>
          <w:tcPr>
            <w:tcW w:w="920" w:type="dxa"/>
            <w:vAlign w:val="bottom"/>
            <w:shd w:val="clear" w:color="auto" w:fill="CCEEFF"/>
          </w:tcPr>
          <w:p>
            <w:pPr>
              <w:spacing w:after="0"/>
              <w:rPr>
                <w:sz w:val="19"/>
                <w:szCs w:val="19"/>
                <w:color w:val="auto"/>
              </w:rPr>
            </w:pPr>
          </w:p>
        </w:tc>
        <w:tc>
          <w:tcPr>
            <w:tcW w:w="1140" w:type="dxa"/>
            <w:vAlign w:val="bottom"/>
            <w:shd w:val="clear" w:color="auto" w:fill="CCEEFF"/>
          </w:tcPr>
          <w:p>
            <w:pPr>
              <w:ind w:left="60"/>
              <w:spacing w:after="0"/>
              <w:rPr>
                <w:sz w:val="20"/>
                <w:szCs w:val="20"/>
                <w:color w:val="auto"/>
              </w:rPr>
            </w:pPr>
            <w:r>
              <w:rPr>
                <w:rFonts w:ascii="Arial" w:cs="Arial" w:eastAsia="Arial" w:hAnsi="Arial"/>
                <w:sz w:val="16"/>
                <w:szCs w:val="16"/>
                <w:color w:val="auto"/>
              </w:rPr>
              <w:t>Virginia Beach</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9"/>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1/7/2014</w:t>
            </w:r>
          </w:p>
        </w:tc>
        <w:tc>
          <w:tcPr>
            <w:tcW w:w="11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 Village Dr</w:t>
            </w:r>
          </w:p>
        </w:tc>
        <w:tc>
          <w:tcPr>
            <w:tcW w:w="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VA</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9,398</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331</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13,175</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163</w:t>
            </w:r>
          </w:p>
        </w:tc>
        <w:tc>
          <w:tcPr>
            <w:tcW w:w="6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331</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13,338</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13,669</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1,038</w:t>
            </w:r>
          </w:p>
        </w:tc>
      </w:tr>
      <w:tr>
        <w:trPr>
          <w:trHeight w:val="237"/>
        </w:trPr>
        <w:tc>
          <w:tcPr>
            <w:tcW w:w="920" w:type="dxa"/>
            <w:vAlign w:val="bottom"/>
          </w:tcPr>
          <w:p>
            <w:pPr>
              <w:jc w:val="center"/>
              <w:spacing w:after="0"/>
              <w:rPr>
                <w:sz w:val="20"/>
                <w:szCs w:val="20"/>
                <w:color w:val="auto"/>
              </w:rPr>
            </w:pPr>
            <w:r>
              <w:rPr>
                <w:rFonts w:ascii="Arial" w:cs="Arial" w:eastAsia="Arial" w:hAnsi="Arial"/>
                <w:sz w:val="16"/>
                <w:szCs w:val="16"/>
                <w:color w:val="auto"/>
                <w:w w:val="89"/>
              </w:rPr>
              <w:t>11/22/2016</w:t>
            </w:r>
          </w:p>
        </w:tc>
        <w:tc>
          <w:tcPr>
            <w:tcW w:w="1140" w:type="dxa"/>
            <w:vAlign w:val="bottom"/>
          </w:tcPr>
          <w:p>
            <w:pPr>
              <w:ind w:left="60"/>
              <w:spacing w:after="0"/>
              <w:rPr>
                <w:sz w:val="20"/>
                <w:szCs w:val="20"/>
                <w:color w:val="auto"/>
              </w:rPr>
            </w:pPr>
            <w:r>
              <w:rPr>
                <w:rFonts w:ascii="Arial" w:cs="Arial" w:eastAsia="Arial" w:hAnsi="Arial"/>
                <w:sz w:val="16"/>
                <w:szCs w:val="16"/>
                <w:color w:val="auto"/>
              </w:rPr>
              <w:t>Kent</w:t>
            </w:r>
          </w:p>
        </w:tc>
        <w:tc>
          <w:tcPr>
            <w:tcW w:w="560" w:type="dxa"/>
            <w:vAlign w:val="bottom"/>
          </w:tcPr>
          <w:p>
            <w:pPr>
              <w:ind w:left="120"/>
              <w:spacing w:after="0"/>
              <w:rPr>
                <w:sz w:val="20"/>
                <w:szCs w:val="20"/>
                <w:color w:val="auto"/>
              </w:rPr>
            </w:pPr>
            <w:r>
              <w:rPr>
                <w:rFonts w:ascii="Arial" w:cs="Arial" w:eastAsia="Arial" w:hAnsi="Arial"/>
                <w:sz w:val="16"/>
                <w:szCs w:val="16"/>
                <w:color w:val="auto"/>
              </w:rPr>
              <w:t>WA</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1,937</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10,640</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15</w:t>
            </w:r>
          </w:p>
        </w:tc>
        <w:tc>
          <w:tcPr>
            <w:tcW w:w="6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1,937</w:t>
            </w:r>
          </w:p>
        </w:tc>
        <w:tc>
          <w:tcPr>
            <w:tcW w:w="1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3"/>
              </w:rPr>
              <w:t>10,655</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12,592</w:t>
            </w:r>
          </w:p>
        </w:tc>
        <w:tc>
          <w:tcPr>
            <w:tcW w:w="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45</w:t>
            </w:r>
          </w:p>
        </w:tc>
      </w:tr>
      <w:tr>
        <w:trPr>
          <w:trHeight w:val="33"/>
        </w:trPr>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9"/>
        </w:trPr>
        <w:tc>
          <w:tcPr>
            <w:tcW w:w="920" w:type="dxa"/>
            <w:vAlign w:val="bottom"/>
            <w:shd w:val="clear" w:color="auto" w:fill="CCEEFF"/>
          </w:tcPr>
          <w:p>
            <w:pPr>
              <w:spacing w:after="0"/>
              <w:rPr>
                <w:sz w:val="19"/>
                <w:szCs w:val="19"/>
                <w:color w:val="auto"/>
              </w:rPr>
            </w:pPr>
          </w:p>
        </w:tc>
        <w:tc>
          <w:tcPr>
            <w:tcW w:w="1140" w:type="dxa"/>
            <w:vAlign w:val="bottom"/>
            <w:shd w:val="clear" w:color="auto" w:fill="CCEEFF"/>
          </w:tcPr>
          <w:p>
            <w:pPr>
              <w:ind w:left="60"/>
              <w:spacing w:after="0"/>
              <w:rPr>
                <w:sz w:val="20"/>
                <w:szCs w:val="20"/>
                <w:color w:val="auto"/>
              </w:rPr>
            </w:pPr>
            <w:r>
              <w:rPr>
                <w:rFonts w:ascii="Arial" w:cs="Arial" w:eastAsia="Arial" w:hAnsi="Arial"/>
                <w:sz w:val="16"/>
                <w:szCs w:val="16"/>
                <w:color w:val="auto"/>
              </w:rPr>
              <w:t>Lakewood /</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9"/>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2/15/2006</w:t>
            </w:r>
          </w:p>
        </w:tc>
        <w:tc>
          <w:tcPr>
            <w:tcW w:w="11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80th St</w:t>
            </w:r>
          </w:p>
        </w:tc>
        <w:tc>
          <w:tcPr>
            <w:tcW w:w="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WA</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5,501</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1,389</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4,780</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322</w:t>
            </w:r>
          </w:p>
        </w:tc>
        <w:tc>
          <w:tcPr>
            <w:tcW w:w="6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1,390</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5,101</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6,491</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1,549</w:t>
            </w:r>
          </w:p>
        </w:tc>
      </w:tr>
      <w:tr>
        <w:trPr>
          <w:trHeight w:val="219"/>
        </w:trPr>
        <w:tc>
          <w:tcPr>
            <w:tcW w:w="920" w:type="dxa"/>
            <w:vAlign w:val="bottom"/>
          </w:tcPr>
          <w:p>
            <w:pPr>
              <w:spacing w:after="0"/>
              <w:rPr>
                <w:sz w:val="19"/>
                <w:szCs w:val="19"/>
                <w:color w:val="auto"/>
              </w:rPr>
            </w:pPr>
          </w:p>
        </w:tc>
        <w:tc>
          <w:tcPr>
            <w:tcW w:w="1140" w:type="dxa"/>
            <w:vAlign w:val="bottom"/>
          </w:tcPr>
          <w:p>
            <w:pPr>
              <w:ind w:left="60"/>
              <w:spacing w:after="0"/>
              <w:rPr>
                <w:sz w:val="20"/>
                <w:szCs w:val="20"/>
                <w:color w:val="auto"/>
              </w:rPr>
            </w:pPr>
            <w:r>
              <w:rPr>
                <w:rFonts w:ascii="Arial" w:cs="Arial" w:eastAsia="Arial" w:hAnsi="Arial"/>
                <w:sz w:val="16"/>
                <w:szCs w:val="16"/>
                <w:color w:val="auto"/>
              </w:rPr>
              <w:t>Lakewood /</w:t>
            </w: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6"/>
        </w:trPr>
        <w:tc>
          <w:tcPr>
            <w:tcW w:w="920" w:type="dxa"/>
            <w:vAlign w:val="bottom"/>
          </w:tcPr>
          <w:p>
            <w:pPr>
              <w:jc w:val="center"/>
              <w:spacing w:after="0"/>
              <w:rPr>
                <w:sz w:val="20"/>
                <w:szCs w:val="20"/>
                <w:color w:val="auto"/>
              </w:rPr>
            </w:pPr>
            <w:r>
              <w:rPr>
                <w:rFonts w:ascii="Arial" w:cs="Arial" w:eastAsia="Arial" w:hAnsi="Arial"/>
                <w:sz w:val="16"/>
                <w:szCs w:val="16"/>
                <w:color w:val="auto"/>
                <w:w w:val="89"/>
              </w:rPr>
              <w:t>2/15/2006</w:t>
            </w:r>
          </w:p>
        </w:tc>
        <w:tc>
          <w:tcPr>
            <w:tcW w:w="1140" w:type="dxa"/>
            <w:vAlign w:val="bottom"/>
          </w:tcPr>
          <w:p>
            <w:pPr>
              <w:ind w:left="60"/>
              <w:spacing w:after="0"/>
              <w:rPr>
                <w:sz w:val="20"/>
                <w:szCs w:val="20"/>
                <w:color w:val="auto"/>
              </w:rPr>
            </w:pPr>
            <w:r>
              <w:rPr>
                <w:rFonts w:ascii="Arial" w:cs="Arial" w:eastAsia="Arial" w:hAnsi="Arial"/>
                <w:sz w:val="16"/>
                <w:szCs w:val="16"/>
                <w:color w:val="auto"/>
              </w:rPr>
              <w:t>Pacific Hwy</w:t>
            </w:r>
          </w:p>
        </w:tc>
        <w:tc>
          <w:tcPr>
            <w:tcW w:w="560" w:type="dxa"/>
            <w:vAlign w:val="bottom"/>
          </w:tcPr>
          <w:p>
            <w:pPr>
              <w:ind w:left="120"/>
              <w:spacing w:after="0"/>
              <w:rPr>
                <w:sz w:val="20"/>
                <w:szCs w:val="20"/>
                <w:color w:val="auto"/>
              </w:rPr>
            </w:pPr>
            <w:r>
              <w:rPr>
                <w:rFonts w:ascii="Arial" w:cs="Arial" w:eastAsia="Arial" w:hAnsi="Arial"/>
                <w:sz w:val="16"/>
                <w:szCs w:val="16"/>
                <w:color w:val="auto"/>
              </w:rPr>
              <w:t>WA</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5,501</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1,917</w:t>
            </w: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5,256</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265</w:t>
            </w:r>
          </w:p>
        </w:tc>
        <w:tc>
          <w:tcPr>
            <w:tcW w:w="6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1,918</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4"/>
              </w:rPr>
              <w:t>5,520</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7,438</w:t>
            </w: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1,622</w:t>
            </w:r>
          </w:p>
        </w:tc>
      </w:tr>
      <w:tr>
        <w:trPr>
          <w:trHeight w:val="33"/>
        </w:trPr>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4/30/2014</w:t>
            </w:r>
          </w:p>
        </w:tc>
        <w:tc>
          <w:tcPr>
            <w:tcW w:w="11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Puyallup</w:t>
            </w:r>
          </w:p>
        </w:tc>
        <w:tc>
          <w:tcPr>
            <w:tcW w:w="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WA</w:t>
            </w:r>
          </w:p>
        </w:tc>
        <w:tc>
          <w:tcPr>
            <w:tcW w:w="8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437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3,808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101</w:t>
            </w:r>
          </w:p>
        </w:tc>
        <w:tc>
          <w:tcPr>
            <w:tcW w:w="6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3,909</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4,346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278</w:t>
            </w:r>
          </w:p>
        </w:tc>
      </w:tr>
      <w:tr>
        <w:trPr>
          <w:trHeight w:val="237"/>
        </w:trPr>
        <w:tc>
          <w:tcPr>
            <w:tcW w:w="920" w:type="dxa"/>
            <w:vAlign w:val="bottom"/>
          </w:tcPr>
          <w:p>
            <w:pPr>
              <w:jc w:val="center"/>
              <w:spacing w:after="0"/>
              <w:rPr>
                <w:sz w:val="20"/>
                <w:szCs w:val="20"/>
                <w:color w:val="auto"/>
              </w:rPr>
            </w:pPr>
            <w:r>
              <w:rPr>
                <w:rFonts w:ascii="Arial" w:cs="Arial" w:eastAsia="Arial" w:hAnsi="Arial"/>
                <w:sz w:val="16"/>
                <w:szCs w:val="16"/>
                <w:color w:val="auto"/>
                <w:w w:val="89"/>
              </w:rPr>
              <w:t>7/1/2005</w:t>
            </w:r>
          </w:p>
        </w:tc>
        <w:tc>
          <w:tcPr>
            <w:tcW w:w="1140" w:type="dxa"/>
            <w:vAlign w:val="bottom"/>
          </w:tcPr>
          <w:p>
            <w:pPr>
              <w:ind w:left="60"/>
              <w:spacing w:after="0"/>
              <w:rPr>
                <w:sz w:val="20"/>
                <w:szCs w:val="20"/>
                <w:color w:val="auto"/>
              </w:rPr>
            </w:pPr>
            <w:r>
              <w:rPr>
                <w:rFonts w:ascii="Arial" w:cs="Arial" w:eastAsia="Arial" w:hAnsi="Arial"/>
                <w:sz w:val="16"/>
                <w:szCs w:val="16"/>
                <w:color w:val="auto"/>
              </w:rPr>
              <w:t>Seattle</w:t>
            </w:r>
          </w:p>
        </w:tc>
        <w:tc>
          <w:tcPr>
            <w:tcW w:w="560" w:type="dxa"/>
            <w:vAlign w:val="bottom"/>
          </w:tcPr>
          <w:p>
            <w:pPr>
              <w:ind w:left="120"/>
              <w:spacing w:after="0"/>
              <w:rPr>
                <w:sz w:val="20"/>
                <w:szCs w:val="20"/>
                <w:color w:val="auto"/>
              </w:rPr>
            </w:pPr>
            <w:r>
              <w:rPr>
                <w:rFonts w:ascii="Arial" w:cs="Arial" w:eastAsia="Arial" w:hAnsi="Arial"/>
                <w:sz w:val="16"/>
                <w:szCs w:val="16"/>
                <w:color w:val="auto"/>
              </w:rPr>
              <w:t>WA</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7,040</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2,727</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7,241</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491</w:t>
            </w:r>
          </w:p>
        </w:tc>
        <w:tc>
          <w:tcPr>
            <w:tcW w:w="6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2,727</w:t>
            </w:r>
          </w:p>
        </w:tc>
        <w:tc>
          <w:tcPr>
            <w:tcW w:w="1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4"/>
              </w:rPr>
              <w:t>7,732</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10,459</w:t>
            </w:r>
          </w:p>
        </w:tc>
        <w:tc>
          <w:tcPr>
            <w:tcW w:w="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2,364</w:t>
            </w:r>
          </w:p>
        </w:tc>
      </w:tr>
      <w:tr>
        <w:trPr>
          <w:trHeight w:val="33"/>
        </w:trPr>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2/15/2006</w:t>
            </w:r>
          </w:p>
        </w:tc>
        <w:tc>
          <w:tcPr>
            <w:tcW w:w="11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Tacoma</w:t>
            </w:r>
          </w:p>
        </w:tc>
        <w:tc>
          <w:tcPr>
            <w:tcW w:w="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WA</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3,279</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1,031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3,103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157</w:t>
            </w:r>
          </w:p>
        </w:tc>
        <w:tc>
          <w:tcPr>
            <w:tcW w:w="6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3,260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4,291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988</w:t>
            </w:r>
          </w:p>
        </w:tc>
      </w:tr>
      <w:tr>
        <w:trPr>
          <w:trHeight w:val="237"/>
        </w:trPr>
        <w:tc>
          <w:tcPr>
            <w:tcW w:w="920" w:type="dxa"/>
            <w:vAlign w:val="bottom"/>
          </w:tcPr>
          <w:p>
            <w:pPr>
              <w:jc w:val="center"/>
              <w:spacing w:after="0"/>
              <w:rPr>
                <w:sz w:val="20"/>
                <w:szCs w:val="20"/>
                <w:color w:val="auto"/>
              </w:rPr>
            </w:pPr>
            <w:r>
              <w:rPr>
                <w:rFonts w:ascii="Arial" w:cs="Arial" w:eastAsia="Arial" w:hAnsi="Arial"/>
                <w:sz w:val="16"/>
                <w:szCs w:val="16"/>
                <w:color w:val="auto"/>
                <w:w w:val="89"/>
              </w:rPr>
              <w:t>7/2/2012</w:t>
            </w:r>
          </w:p>
        </w:tc>
        <w:tc>
          <w:tcPr>
            <w:tcW w:w="1140" w:type="dxa"/>
            <w:vAlign w:val="bottom"/>
          </w:tcPr>
          <w:p>
            <w:pPr>
              <w:ind w:left="60"/>
              <w:spacing w:after="0"/>
              <w:rPr>
                <w:sz w:val="20"/>
                <w:szCs w:val="20"/>
                <w:color w:val="auto"/>
              </w:rPr>
            </w:pPr>
            <w:r>
              <w:rPr>
                <w:rFonts w:ascii="Arial" w:cs="Arial" w:eastAsia="Arial" w:hAnsi="Arial"/>
                <w:sz w:val="16"/>
                <w:szCs w:val="16"/>
                <w:color w:val="auto"/>
              </w:rPr>
              <w:t>Vancouver</w:t>
            </w:r>
          </w:p>
        </w:tc>
        <w:tc>
          <w:tcPr>
            <w:tcW w:w="560" w:type="dxa"/>
            <w:vAlign w:val="bottom"/>
          </w:tcPr>
          <w:p>
            <w:pPr>
              <w:ind w:left="120"/>
              <w:spacing w:after="0"/>
              <w:rPr>
                <w:sz w:val="20"/>
                <w:szCs w:val="20"/>
                <w:color w:val="auto"/>
              </w:rPr>
            </w:pPr>
            <w:r>
              <w:rPr>
                <w:rFonts w:ascii="Arial" w:cs="Arial" w:eastAsia="Arial" w:hAnsi="Arial"/>
                <w:sz w:val="16"/>
                <w:szCs w:val="16"/>
                <w:color w:val="auto"/>
              </w:rPr>
              <w:t>WA</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2,970</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709</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4,280</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184</w:t>
            </w:r>
          </w:p>
        </w:tc>
        <w:tc>
          <w:tcPr>
            <w:tcW w:w="6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709</w:t>
            </w:r>
          </w:p>
        </w:tc>
        <w:tc>
          <w:tcPr>
            <w:tcW w:w="1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4"/>
              </w:rPr>
              <w:t>4,464</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5,173</w:t>
            </w:r>
          </w:p>
        </w:tc>
        <w:tc>
          <w:tcPr>
            <w:tcW w:w="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534</w:t>
            </w:r>
          </w:p>
        </w:tc>
      </w:tr>
      <w:tr>
        <w:trPr>
          <w:trHeight w:val="33"/>
        </w:trPr>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9"/>
        </w:trPr>
        <w:tc>
          <w:tcPr>
            <w:tcW w:w="920" w:type="dxa"/>
            <w:vAlign w:val="bottom"/>
            <w:shd w:val="clear" w:color="auto" w:fill="CCEEFF"/>
          </w:tcPr>
          <w:p>
            <w:pPr>
              <w:spacing w:after="0"/>
              <w:rPr>
                <w:sz w:val="19"/>
                <w:szCs w:val="19"/>
                <w:color w:val="auto"/>
              </w:rPr>
            </w:pPr>
          </w:p>
        </w:tc>
        <w:tc>
          <w:tcPr>
            <w:tcW w:w="1140" w:type="dxa"/>
            <w:vAlign w:val="bottom"/>
            <w:shd w:val="clear" w:color="auto" w:fill="CCEEFF"/>
          </w:tcPr>
          <w:p>
            <w:pPr>
              <w:ind w:left="60"/>
              <w:spacing w:after="0"/>
              <w:rPr>
                <w:sz w:val="20"/>
                <w:szCs w:val="20"/>
                <w:color w:val="auto"/>
              </w:rPr>
            </w:pPr>
            <w:r>
              <w:rPr>
                <w:rFonts w:ascii="Arial" w:cs="Arial" w:eastAsia="Arial" w:hAnsi="Arial"/>
                <w:sz w:val="16"/>
                <w:szCs w:val="16"/>
                <w:color w:val="auto"/>
              </w:rPr>
              <w:t>Other</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02"/>
        </w:trPr>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ind w:left="60"/>
              <w:spacing w:after="0"/>
              <w:rPr>
                <w:sz w:val="20"/>
                <w:szCs w:val="20"/>
                <w:color w:val="auto"/>
              </w:rPr>
            </w:pPr>
            <w:r>
              <w:rPr>
                <w:rFonts w:ascii="Arial" w:cs="Arial" w:eastAsia="Arial" w:hAnsi="Arial"/>
                <w:sz w:val="16"/>
                <w:szCs w:val="16"/>
                <w:color w:val="auto"/>
              </w:rPr>
              <w:t>corporate</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9"/>
        </w:trPr>
        <w:tc>
          <w:tcPr>
            <w:tcW w:w="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Various</w:t>
            </w:r>
          </w:p>
        </w:tc>
        <w:tc>
          <w:tcPr>
            <w:tcW w:w="11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assets</w:t>
            </w:r>
          </w:p>
        </w:tc>
        <w:tc>
          <w:tcPr>
            <w:tcW w:w="5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2,202</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79,378</w:t>
            </w:r>
          </w:p>
        </w:tc>
        <w:tc>
          <w:tcPr>
            <w:tcW w:w="6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81,580</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81,580</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20,941</w:t>
            </w:r>
          </w:p>
        </w:tc>
      </w:tr>
      <w:tr>
        <w:trPr>
          <w:trHeight w:val="219"/>
        </w:trPr>
        <w:tc>
          <w:tcPr>
            <w:tcW w:w="920" w:type="dxa"/>
            <w:vAlign w:val="bottom"/>
          </w:tcPr>
          <w:p>
            <w:pPr>
              <w:spacing w:after="0"/>
              <w:rPr>
                <w:sz w:val="19"/>
                <w:szCs w:val="19"/>
                <w:color w:val="auto"/>
              </w:rPr>
            </w:pPr>
          </w:p>
        </w:tc>
        <w:tc>
          <w:tcPr>
            <w:tcW w:w="1140" w:type="dxa"/>
            <w:vAlign w:val="bottom"/>
          </w:tcPr>
          <w:p>
            <w:pPr>
              <w:ind w:left="60"/>
              <w:spacing w:after="0"/>
              <w:rPr>
                <w:sz w:val="20"/>
                <w:szCs w:val="20"/>
                <w:color w:val="auto"/>
              </w:rPr>
            </w:pPr>
            <w:r>
              <w:rPr>
                <w:rFonts w:ascii="Arial" w:cs="Arial" w:eastAsia="Arial" w:hAnsi="Arial"/>
                <w:sz w:val="16"/>
                <w:szCs w:val="16"/>
                <w:color w:val="auto"/>
              </w:rPr>
              <w:t>Construction</w:t>
            </w: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6"/>
        </w:trPr>
        <w:tc>
          <w:tcPr>
            <w:tcW w:w="920" w:type="dxa"/>
            <w:vAlign w:val="bottom"/>
          </w:tcPr>
          <w:p>
            <w:pPr>
              <w:ind w:left="240"/>
              <w:spacing w:after="0"/>
              <w:rPr>
                <w:sz w:val="20"/>
                <w:szCs w:val="20"/>
                <w:color w:val="auto"/>
              </w:rPr>
            </w:pPr>
            <w:r>
              <w:rPr>
                <w:rFonts w:ascii="Arial" w:cs="Arial" w:eastAsia="Arial" w:hAnsi="Arial"/>
                <w:sz w:val="16"/>
                <w:szCs w:val="16"/>
                <w:color w:val="auto"/>
              </w:rPr>
              <w:t>Various</w:t>
            </w:r>
          </w:p>
        </w:tc>
        <w:tc>
          <w:tcPr>
            <w:tcW w:w="1140" w:type="dxa"/>
            <w:vAlign w:val="bottom"/>
          </w:tcPr>
          <w:p>
            <w:pPr>
              <w:ind w:left="60"/>
              <w:spacing w:after="0"/>
              <w:rPr>
                <w:sz w:val="20"/>
                <w:szCs w:val="20"/>
                <w:color w:val="auto"/>
              </w:rPr>
            </w:pPr>
            <w:r>
              <w:rPr>
                <w:rFonts w:ascii="Arial" w:cs="Arial" w:eastAsia="Arial" w:hAnsi="Arial"/>
                <w:sz w:val="16"/>
                <w:szCs w:val="16"/>
                <w:color w:val="auto"/>
              </w:rPr>
              <w:t>in progress</w:t>
            </w:r>
          </w:p>
        </w:tc>
        <w:tc>
          <w:tcPr>
            <w:tcW w:w="56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21,860</w:t>
            </w:r>
          </w:p>
        </w:tc>
        <w:tc>
          <w:tcPr>
            <w:tcW w:w="66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220" w:type="dxa"/>
            <w:vAlign w:val="bottom"/>
          </w:tcPr>
          <w:p>
            <w:pPr>
              <w:jc w:val="center"/>
              <w:spacing w:after="0"/>
              <w:rPr>
                <w:sz w:val="20"/>
                <w:szCs w:val="20"/>
                <w:color w:val="auto"/>
              </w:rPr>
            </w:pPr>
            <w:r>
              <w:rPr>
                <w:rFonts w:ascii="Arial" w:cs="Arial" w:eastAsia="Arial" w:hAnsi="Arial"/>
                <w:sz w:val="16"/>
                <w:szCs w:val="16"/>
                <w:color w:val="auto"/>
                <w:w w:val="93"/>
              </w:rPr>
              <w:t>21,860</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21,860</w:t>
            </w: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33"/>
        </w:trPr>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9"/>
        </w:trPr>
        <w:tc>
          <w:tcPr>
            <w:tcW w:w="920" w:type="dxa"/>
            <w:vAlign w:val="bottom"/>
            <w:shd w:val="clear" w:color="auto" w:fill="CCEEFF"/>
          </w:tcPr>
          <w:p>
            <w:pPr>
              <w:spacing w:after="0"/>
              <w:rPr>
                <w:sz w:val="19"/>
                <w:szCs w:val="19"/>
                <w:color w:val="auto"/>
              </w:rPr>
            </w:pPr>
          </w:p>
        </w:tc>
        <w:tc>
          <w:tcPr>
            <w:tcW w:w="1140" w:type="dxa"/>
            <w:vAlign w:val="bottom"/>
            <w:shd w:val="clear" w:color="auto" w:fill="CCEEFF"/>
          </w:tcPr>
          <w:p>
            <w:pPr>
              <w:ind w:left="60"/>
              <w:spacing w:after="0"/>
              <w:rPr>
                <w:sz w:val="20"/>
                <w:szCs w:val="20"/>
                <w:color w:val="auto"/>
              </w:rPr>
            </w:pPr>
            <w:r>
              <w:rPr>
                <w:rFonts w:ascii="Arial" w:cs="Arial" w:eastAsia="Arial" w:hAnsi="Arial"/>
                <w:sz w:val="16"/>
                <w:szCs w:val="16"/>
                <w:color w:val="auto"/>
              </w:rPr>
              <w:t>Undeveloped</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9"/>
        </w:trPr>
        <w:tc>
          <w:tcPr>
            <w:tcW w:w="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Various</w:t>
            </w:r>
          </w:p>
        </w:tc>
        <w:tc>
          <w:tcPr>
            <w:tcW w:w="11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land</w:t>
            </w:r>
          </w:p>
        </w:tc>
        <w:tc>
          <w:tcPr>
            <w:tcW w:w="5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9,368</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6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9,368</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9,368</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19"/>
        </w:trPr>
        <w:tc>
          <w:tcPr>
            <w:tcW w:w="920" w:type="dxa"/>
            <w:vAlign w:val="bottom"/>
          </w:tcPr>
          <w:p>
            <w:pPr>
              <w:spacing w:after="0"/>
              <w:rPr>
                <w:sz w:val="19"/>
                <w:szCs w:val="19"/>
                <w:color w:val="auto"/>
              </w:rPr>
            </w:pPr>
          </w:p>
        </w:tc>
        <w:tc>
          <w:tcPr>
            <w:tcW w:w="1140" w:type="dxa"/>
            <w:vAlign w:val="bottom"/>
          </w:tcPr>
          <w:p>
            <w:pPr>
              <w:ind w:left="60"/>
              <w:spacing w:after="0"/>
              <w:rPr>
                <w:sz w:val="20"/>
                <w:szCs w:val="20"/>
                <w:color w:val="auto"/>
              </w:rPr>
            </w:pPr>
            <w:r>
              <w:rPr>
                <w:rFonts w:ascii="Arial" w:cs="Arial" w:eastAsia="Arial" w:hAnsi="Arial"/>
                <w:sz w:val="16"/>
                <w:szCs w:val="16"/>
                <w:color w:val="auto"/>
              </w:rPr>
              <w:t>Intangible</w:t>
            </w: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2"/>
        </w:trPr>
        <w:tc>
          <w:tcPr>
            <w:tcW w:w="920" w:type="dxa"/>
            <w:vAlign w:val="bottom"/>
          </w:tcPr>
          <w:p>
            <w:pPr>
              <w:spacing w:after="0"/>
              <w:rPr>
                <w:sz w:val="17"/>
                <w:szCs w:val="17"/>
                <w:color w:val="auto"/>
              </w:rPr>
            </w:pPr>
          </w:p>
        </w:tc>
        <w:tc>
          <w:tcPr>
            <w:tcW w:w="1140" w:type="dxa"/>
            <w:vAlign w:val="bottom"/>
          </w:tcPr>
          <w:p>
            <w:pPr>
              <w:ind w:left="60"/>
              <w:spacing w:after="0"/>
              <w:rPr>
                <w:sz w:val="20"/>
                <w:szCs w:val="20"/>
                <w:color w:val="auto"/>
              </w:rPr>
            </w:pPr>
            <w:r>
              <w:rPr>
                <w:rFonts w:ascii="Arial" w:cs="Arial" w:eastAsia="Arial" w:hAnsi="Arial"/>
                <w:sz w:val="16"/>
                <w:szCs w:val="16"/>
                <w:color w:val="auto"/>
              </w:rPr>
              <w:t>tenant</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2"/>
        </w:trPr>
        <w:tc>
          <w:tcPr>
            <w:tcW w:w="920" w:type="dxa"/>
            <w:vAlign w:val="bottom"/>
          </w:tcPr>
          <w:p>
            <w:pPr>
              <w:spacing w:after="0"/>
              <w:rPr>
                <w:sz w:val="17"/>
                <w:szCs w:val="17"/>
                <w:color w:val="auto"/>
              </w:rPr>
            </w:pPr>
          </w:p>
        </w:tc>
        <w:tc>
          <w:tcPr>
            <w:tcW w:w="1140" w:type="dxa"/>
            <w:vAlign w:val="bottom"/>
          </w:tcPr>
          <w:p>
            <w:pPr>
              <w:ind w:left="60"/>
              <w:spacing w:after="0"/>
              <w:rPr>
                <w:sz w:val="20"/>
                <w:szCs w:val="20"/>
                <w:color w:val="auto"/>
              </w:rPr>
            </w:pPr>
            <w:r>
              <w:rPr>
                <w:rFonts w:ascii="Arial" w:cs="Arial" w:eastAsia="Arial" w:hAnsi="Arial"/>
                <w:sz w:val="16"/>
                <w:szCs w:val="16"/>
                <w:color w:val="auto"/>
              </w:rPr>
              <w:t>relationships</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2"/>
        </w:trPr>
        <w:tc>
          <w:tcPr>
            <w:tcW w:w="920" w:type="dxa"/>
            <w:vAlign w:val="bottom"/>
          </w:tcPr>
          <w:p>
            <w:pPr>
              <w:spacing w:after="0"/>
              <w:rPr>
                <w:sz w:val="17"/>
                <w:szCs w:val="17"/>
                <w:color w:val="auto"/>
              </w:rPr>
            </w:pPr>
          </w:p>
        </w:tc>
        <w:tc>
          <w:tcPr>
            <w:tcW w:w="1140" w:type="dxa"/>
            <w:vAlign w:val="bottom"/>
          </w:tcPr>
          <w:p>
            <w:pPr>
              <w:ind w:left="60"/>
              <w:spacing w:after="0"/>
              <w:rPr>
                <w:sz w:val="20"/>
                <w:szCs w:val="20"/>
                <w:color w:val="auto"/>
              </w:rPr>
            </w:pPr>
            <w:r>
              <w:rPr>
                <w:rFonts w:ascii="Arial" w:cs="Arial" w:eastAsia="Arial" w:hAnsi="Arial"/>
                <w:sz w:val="16"/>
                <w:szCs w:val="16"/>
                <w:color w:val="auto"/>
              </w:rPr>
              <w:t>and lease</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6"/>
        </w:trPr>
        <w:tc>
          <w:tcPr>
            <w:tcW w:w="920" w:type="dxa"/>
            <w:vAlign w:val="bottom"/>
          </w:tcPr>
          <w:p>
            <w:pPr>
              <w:ind w:left="240"/>
              <w:spacing w:after="0"/>
              <w:rPr>
                <w:sz w:val="20"/>
                <w:szCs w:val="20"/>
                <w:color w:val="auto"/>
              </w:rPr>
            </w:pPr>
            <w:r>
              <w:rPr>
                <w:rFonts w:ascii="Arial" w:cs="Arial" w:eastAsia="Arial" w:hAnsi="Arial"/>
                <w:sz w:val="16"/>
                <w:szCs w:val="16"/>
                <w:color w:val="auto"/>
              </w:rPr>
              <w:t>Various</w:t>
            </w:r>
          </w:p>
        </w:tc>
        <w:tc>
          <w:tcPr>
            <w:tcW w:w="1140" w:type="dxa"/>
            <w:vAlign w:val="bottom"/>
          </w:tcPr>
          <w:p>
            <w:pPr>
              <w:ind w:left="60"/>
              <w:spacing w:after="0"/>
              <w:rPr>
                <w:sz w:val="20"/>
                <w:szCs w:val="20"/>
                <w:color w:val="auto"/>
              </w:rPr>
            </w:pPr>
            <w:r>
              <w:rPr>
                <w:rFonts w:ascii="Arial" w:cs="Arial" w:eastAsia="Arial" w:hAnsi="Arial"/>
                <w:sz w:val="16"/>
                <w:szCs w:val="16"/>
                <w:color w:val="auto"/>
              </w:rPr>
              <w:t>rights</w:t>
            </w:r>
          </w:p>
        </w:tc>
        <w:tc>
          <w:tcPr>
            <w:tcW w:w="56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93,695</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30,276</w:t>
            </w:r>
          </w:p>
        </w:tc>
        <w:tc>
          <w:tcPr>
            <w:tcW w:w="66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220" w:type="dxa"/>
            <w:vAlign w:val="bottom"/>
          </w:tcPr>
          <w:p>
            <w:pPr>
              <w:jc w:val="center"/>
              <w:spacing w:after="0"/>
              <w:rPr>
                <w:sz w:val="20"/>
                <w:szCs w:val="20"/>
                <w:color w:val="auto"/>
              </w:rPr>
            </w:pPr>
            <w:r>
              <w:rPr>
                <w:rFonts w:ascii="Arial" w:cs="Arial" w:eastAsia="Arial" w:hAnsi="Arial"/>
                <w:sz w:val="16"/>
                <w:szCs w:val="16"/>
                <w:color w:val="auto"/>
                <w:w w:val="93"/>
              </w:rPr>
              <w:t>123,971</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123,971</w:t>
            </w: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101,120</w:t>
            </w:r>
          </w:p>
        </w:tc>
      </w:tr>
      <w:tr>
        <w:trPr>
          <w:trHeight w:val="33"/>
        </w:trPr>
        <w:tc>
          <w:tcPr>
            <w:tcW w:w="9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9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$2,960,387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$1,693,124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$5,487,194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$490,990</w:t>
            </w:r>
          </w:p>
        </w:tc>
        <w:tc>
          <w:tcPr>
            <w:tcW w:w="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$1,691,641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$5,979,667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$7,671,308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$900,861</w:t>
            </w:r>
          </w:p>
        </w:tc>
      </w:tr>
      <w:tr>
        <w:trPr>
          <w:trHeight w:val="20"/>
        </w:trPr>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w:t>
      </w:r>
    </w:p>
    <w:p>
      <w:pPr>
        <w:spacing w:after="0" w:line="9"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Adjustment relates to partial disposition of land</w:t>
      </w:r>
    </w:p>
    <w:p>
      <w:pPr>
        <w:spacing w:after="0" w:line="8" w:lineRule="exact"/>
        <w:rPr>
          <w:rFonts w:ascii="Arial" w:cs="Arial" w:eastAsia="Arial" w:hAnsi="Arial"/>
          <w:sz w:val="16"/>
          <w:szCs w:val="16"/>
          <w:color w:val="auto"/>
        </w:rPr>
      </w:pPr>
    </w:p>
    <w:p>
      <w:pPr>
        <w:ind w:left="340" w:hanging="332"/>
        <w:spacing w:after="0"/>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Adjustment relates to property casualty loss</w:t>
      </w:r>
    </w:p>
    <w:p>
      <w:pPr>
        <w:spacing w:after="0" w:line="4" w:lineRule="exact"/>
        <w:rPr>
          <w:rFonts w:ascii="Arial" w:cs="Arial" w:eastAsia="Arial" w:hAnsi="Arial"/>
          <w:sz w:val="16"/>
          <w:szCs w:val="16"/>
          <w:color w:val="auto"/>
        </w:rPr>
      </w:pPr>
    </w:p>
    <w:p>
      <w:pPr>
        <w:ind w:left="340" w:hanging="332"/>
        <w:spacing w:after="0"/>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Adjustment relates to asset transfers between land, building and/or equipment</w:t>
      </w:r>
    </w:p>
    <w:p>
      <w:pPr>
        <w:spacing w:after="0" w:line="4" w:lineRule="exact"/>
        <w:rPr>
          <w:rFonts w:ascii="Arial" w:cs="Arial" w:eastAsia="Arial" w:hAnsi="Arial"/>
          <w:sz w:val="16"/>
          <w:szCs w:val="16"/>
          <w:color w:val="auto"/>
        </w:rPr>
      </w:pPr>
    </w:p>
    <w:p>
      <w:pPr>
        <w:ind w:left="340" w:hanging="332"/>
        <w:spacing w:after="0"/>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Adjustment relates to impairment charge</w:t>
      </w:r>
    </w:p>
    <w:p>
      <w:pPr>
        <w:spacing w:after="0" w:line="4" w:lineRule="exact"/>
        <w:rPr>
          <w:rFonts w:ascii="Arial" w:cs="Arial" w:eastAsia="Arial" w:hAnsi="Arial"/>
          <w:sz w:val="16"/>
          <w:szCs w:val="16"/>
          <w:color w:val="auto"/>
        </w:rPr>
      </w:pPr>
    </w:p>
    <w:p>
      <w:pPr>
        <w:ind w:left="340" w:hanging="332"/>
        <w:spacing w:after="0"/>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Adjustment relates to a purchase price adjustment</w:t>
      </w:r>
    </w:p>
    <w:p>
      <w:pPr>
        <w:spacing w:after="0" w:line="4" w:lineRule="exact"/>
        <w:rPr>
          <w:rFonts w:ascii="Arial" w:cs="Arial" w:eastAsia="Arial" w:hAnsi="Arial"/>
          <w:sz w:val="16"/>
          <w:szCs w:val="16"/>
          <w:color w:val="auto"/>
        </w:rPr>
      </w:pPr>
    </w:p>
    <w:p>
      <w:pPr>
        <w:ind w:left="340" w:hanging="332"/>
        <w:spacing w:after="0"/>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Adjustment relates to the acquisition of a joint venture partner’s interest</w:t>
      </w:r>
    </w:p>
    <w:p>
      <w:pPr>
        <w:sectPr>
          <w:pgSz w:w="11900" w:h="16838" w:orient="portrait"/>
          <w:cols w:equalWidth="0" w:num="1">
            <w:col w:w="11520"/>
          </w:cols>
          <w:pgMar w:left="240" w:top="140" w:right="139" w:bottom="1440" w:gutter="0" w:footer="0" w:header="0"/>
        </w:sectPr>
      </w:pP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520"/>
          </w:cols>
          <w:pgMar w:left="240" w:top="140" w:right="139" w:bottom="1440" w:gutter="0" w:footer="0" w:header="0"/>
          <w:type w:val="continuous"/>
        </w:sectPr>
      </w:pPr>
    </w:p>
    <w:bookmarkStart w:id="115" w:name="page116"/>
    <w:bookmarkEnd w:id="115"/>
    <w:p>
      <w:pPr>
        <w:ind w:left="440"/>
        <w:spacing w:after="0"/>
        <w:rPr>
          <w:sz w:val="20"/>
          <w:szCs w:val="20"/>
          <w:color w:val="auto"/>
        </w:rPr>
      </w:pPr>
      <w:r>
        <w:rPr>
          <w:rFonts w:ascii="Arial" w:cs="Arial" w:eastAsia="Arial" w:hAnsi="Arial"/>
          <w:sz w:val="18"/>
          <w:szCs w:val="18"/>
          <w:color w:val="auto"/>
        </w:rPr>
        <w:t>Activity in real estate facilities during the years ended December 31, 2016, 2015 and 2014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55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2014</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facilities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Balance at beginning of year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6,392,487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4,722,162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4,126,648</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1,159,304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1,609,608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557,158</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Improvements</w:t>
            </w:r>
          </w:p>
        </w:tc>
        <w:tc>
          <w:tcPr>
            <w:tcW w:w="3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92,480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46,696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32,861</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Transfers from construction in progress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12,308</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Dispositions and other</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(21,223)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(6,813)</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Balance at end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7,649,448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6,392,487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4,722,162</w:t>
            </w:r>
          </w:p>
        </w:tc>
      </w:tr>
      <w:tr>
        <w:trPr>
          <w:trHeight w:val="223"/>
        </w:trPr>
        <w:tc>
          <w:tcPr>
            <w:tcW w:w="640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40"/>
        </w:trPr>
        <w:tc>
          <w:tcPr>
            <w:tcW w:w="6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Balance at beginning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728,087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604,336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496,754</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Depreciation expense</w:t>
            </w:r>
          </w:p>
        </w:tc>
        <w:tc>
          <w:tcPr>
            <w:tcW w:w="3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174,906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123,751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109,531</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Dispositions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(1,949)</w:t>
            </w:r>
          </w:p>
        </w:tc>
      </w:tr>
      <w:tr>
        <w:trPr>
          <w:trHeight w:val="236"/>
        </w:trPr>
        <w:tc>
          <w:tcPr>
            <w:tcW w:w="6400" w:type="dxa"/>
            <w:vAlign w:val="bottom"/>
          </w:tcPr>
          <w:p>
            <w:pPr>
              <w:ind w:left="380"/>
              <w:spacing w:after="0"/>
              <w:rPr>
                <w:sz w:val="20"/>
                <w:szCs w:val="20"/>
                <w:color w:val="auto"/>
              </w:rPr>
            </w:pPr>
            <w:r>
              <w:rPr>
                <w:rFonts w:ascii="Arial" w:cs="Arial" w:eastAsia="Arial" w:hAnsi="Arial"/>
                <w:sz w:val="18"/>
                <w:szCs w:val="18"/>
                <w:color w:val="auto"/>
              </w:rPr>
              <w:t>Balance at end of year</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900,861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728,087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604,336</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under development/redevelopment: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Balance at beginning of year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24,909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17,870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6,650</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23,528</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Transfers to operating facilities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(26,400)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(12,308)</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Dispositions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6"/>
        </w:trPr>
        <w:tc>
          <w:tcPr>
            <w:tcW w:w="6400" w:type="dxa"/>
            <w:vAlign w:val="bottom"/>
          </w:tcPr>
          <w:p>
            <w:pPr>
              <w:ind w:left="380"/>
              <w:spacing w:after="0"/>
              <w:rPr>
                <w:sz w:val="20"/>
                <w:szCs w:val="20"/>
                <w:color w:val="auto"/>
              </w:rPr>
            </w:pPr>
            <w:r>
              <w:rPr>
                <w:rFonts w:ascii="Arial" w:cs="Arial" w:eastAsia="Arial" w:hAnsi="Arial"/>
                <w:sz w:val="18"/>
                <w:szCs w:val="18"/>
                <w:color w:val="auto"/>
              </w:rPr>
              <w:t>Balance at end of year</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21,860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24,909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17,870</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8"/>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 estate assets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6,770,447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5,689,309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4,135,696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aggregate cost of real estate for U.S. federal income tax purposes is $6,513,574.</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015" w:right="239" w:bottom="1440" w:gutter="0" w:footer="0" w:header="0"/>
        </w:sectPr>
      </w:pPr>
    </w:p>
    <w:bookmarkStart w:id="116" w:name="page117"/>
    <w:bookmarkEnd w:id="116"/>
    <w:p>
      <w:pPr>
        <w:spacing w:after="0"/>
        <w:tabs>
          <w:tab w:leader="none" w:pos="7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 Disagreements with Accountants on Accounting and Financial Disclosure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30" w:lineRule="exact"/>
        <w:rPr>
          <w:sz w:val="20"/>
          <w:szCs w:val="20"/>
          <w:color w:val="auto"/>
        </w:rPr>
      </w:pPr>
    </w:p>
    <w:p>
      <w:pPr>
        <w:ind w:left="220"/>
        <w:spacing w:after="0"/>
        <w:tabs>
          <w:tab w:leader="none" w:pos="520" w:val="left"/>
        </w:tabs>
        <w:rPr>
          <w:sz w:val="20"/>
          <w:szCs w:val="20"/>
          <w:color w:val="auto"/>
        </w:rPr>
      </w:pPr>
      <w:r>
        <w:rPr>
          <w:rFonts w:ascii="Arial" w:cs="Arial" w:eastAsia="Arial" w:hAnsi="Arial"/>
          <w:sz w:val="18"/>
          <w:szCs w:val="18"/>
          <w:b w:val="1"/>
          <w:bCs w:val="1"/>
          <w:color w:val="auto"/>
        </w:rPr>
        <w:t>(i)</w:t>
      </w:r>
      <w:r>
        <w:rPr>
          <w:sz w:val="20"/>
          <w:szCs w:val="20"/>
          <w:color w:val="auto"/>
        </w:rPr>
        <w:tab/>
      </w:r>
      <w:r>
        <w:rPr>
          <w:rFonts w:ascii="Arial" w:cs="Arial" w:eastAsia="Arial" w:hAnsi="Arial"/>
          <w:sz w:val="15"/>
          <w:szCs w:val="15"/>
          <w:b w:val="1"/>
          <w:bCs w:val="1"/>
          <w:color w:val="auto"/>
        </w:rPr>
        <w:t>Disclosure Controls and Procedures</w:t>
      </w:r>
    </w:p>
    <w:p>
      <w:pPr>
        <w:spacing w:after="0" w:line="121"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maintain disclosure controls and procedures to ensure that information required to be disclosed in the reports we file pursuant to the Securities Exchange Act of 1934, as amended (the “Exchange Act”), are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90" w:lineRule="exact"/>
        <w:rPr>
          <w:sz w:val="20"/>
          <w:szCs w:val="20"/>
          <w:color w:val="auto"/>
        </w:rPr>
      </w:pPr>
    </w:p>
    <w:p>
      <w:pPr>
        <w:ind w:right="420" w:firstLine="432"/>
        <w:spacing w:after="0" w:line="341" w:lineRule="auto"/>
        <w:rPr>
          <w:sz w:val="20"/>
          <w:szCs w:val="20"/>
          <w:color w:val="auto"/>
        </w:rPr>
      </w:pPr>
      <w:r>
        <w:rPr>
          <w:rFonts w:ascii="Arial" w:cs="Arial" w:eastAsia="Arial" w:hAnsi="Arial"/>
          <w:sz w:val="16"/>
          <w:szCs w:val="16"/>
          <w:color w:val="auto"/>
        </w:rPr>
        <w:t>We have a disclosure committee that is responsible for considering the materiality of information and determining the disclosure obligations of the Company on a timely basis. The disclosure committee meets quarterly and reports directly to our Chief Executive Officer and Chief Financial Officer.</w:t>
      </w:r>
    </w:p>
    <w:p>
      <w:pPr>
        <w:spacing w:after="0" w:line="1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our Chief Executive Officer and Chief Financial Officer, of the effectiveness of the design and operation of our disclosure controls and procedures as of the end of the period covered by this Annual Report. Based upon that evaluation, our Chief Executive Officer and Chief Financial Officer concluded that our disclosure controls and procedures were effective at the reasonable assurance level as of the end of the period covered by this report.</w:t>
      </w:r>
    </w:p>
    <w:p>
      <w:pPr>
        <w:spacing w:after="0" w:line="344" w:lineRule="exact"/>
        <w:rPr>
          <w:sz w:val="20"/>
          <w:szCs w:val="20"/>
          <w:color w:val="auto"/>
        </w:rPr>
      </w:pPr>
    </w:p>
    <w:p>
      <w:pPr>
        <w:ind w:left="540" w:hanging="316"/>
        <w:spacing w:after="0"/>
        <w:tabs>
          <w:tab w:leader="none" w:pos="5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Internal Control over Financial Reporting</w:t>
      </w:r>
    </w:p>
    <w:p>
      <w:pPr>
        <w:spacing w:after="0" w:line="224" w:lineRule="exact"/>
        <w:rPr>
          <w:rFonts w:ascii="Arial" w:cs="Arial" w:eastAsia="Arial" w:hAnsi="Arial"/>
          <w:sz w:val="18"/>
          <w:szCs w:val="18"/>
          <w:b w:val="1"/>
          <w:bCs w:val="1"/>
          <w:color w:val="auto"/>
        </w:rPr>
      </w:pPr>
    </w:p>
    <w:p>
      <w:pPr>
        <w:ind w:left="580" w:hanging="329"/>
        <w:spacing w:after="0"/>
        <w:tabs>
          <w:tab w:leader="none" w:pos="580" w:val="left"/>
        </w:tabs>
        <w:numPr>
          <w:ilvl w:val="1"/>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of the Exchange Act. Under the supervision and with the participation of our management, including our Chief Executive Officer and Chief Financial Officer, we conducted an evaluation of the effectiveness of our internal control over financial reporting based on the framework in Internal Control—Integrated Framework issued by the Committee of Sponsoring Organizations of the Treadway Commission (2013 framework). Based on our evaluation, our management concluded that our internal control over financial reporting was effective as of December 31, 2016.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Our independent registered public accounting firm, Ernst &amp; Young LLP, has issued the following attestation report over our internal control over financial reporting.</w:t>
      </w:r>
    </w:p>
    <w:p>
      <w:pPr>
        <w:spacing w:after="0" w:line="191" w:lineRule="exact"/>
        <w:rPr>
          <w:sz w:val="20"/>
          <w:szCs w:val="20"/>
          <w:color w:val="auto"/>
        </w:rPr>
      </w:pPr>
    </w:p>
    <w:p>
      <w:pPr>
        <w:ind w:right="6180" w:firstLine="224"/>
        <w:spacing w:after="0" w:line="794" w:lineRule="auto"/>
        <w:tabs>
          <w:tab w:leader="none" w:pos="539"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Attestation Report of the Registered Public Accounting Firm Report of Independent Registered Public Accounting Firm</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 of Extra Space Storage Inc.</w:t>
      </w:r>
    </w:p>
    <w:p>
      <w:pPr>
        <w:spacing w:after="0" w:line="229" w:lineRule="exact"/>
        <w:rPr>
          <w:sz w:val="20"/>
          <w:szCs w:val="20"/>
          <w:color w:val="auto"/>
        </w:rPr>
      </w:pPr>
    </w:p>
    <w:p>
      <w:pPr>
        <w:ind w:right="180" w:firstLine="432"/>
        <w:spacing w:after="0" w:line="275" w:lineRule="auto"/>
        <w:rPr>
          <w:sz w:val="20"/>
          <w:szCs w:val="20"/>
          <w:color w:val="auto"/>
        </w:rPr>
      </w:pPr>
      <w:r>
        <w:rPr>
          <w:rFonts w:ascii="Arial" w:cs="Arial" w:eastAsia="Arial" w:hAnsi="Arial"/>
          <w:sz w:val="17"/>
          <w:szCs w:val="17"/>
          <w:color w:val="auto"/>
        </w:rPr>
        <w:t>We have audited Extra Space Storage Inc.’s internal control over financial reporting as of December 31, 2016, based on criteria established in Internal Control-Integrated Framework issued by the Committee of Sponsoring Organizations of the Treadway Commission (2013 framework) (the COSO criteria). Extra Space Storage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796" w:right="259" w:bottom="1440" w:gutter="0" w:footer="0" w:header="0"/>
        </w:sectPr>
      </w:pPr>
    </w:p>
    <w:bookmarkStart w:id="117" w:name="page118"/>
    <w:bookmarkEnd w:id="117"/>
    <w:p>
      <w:pPr>
        <w:ind w:firstLine="432"/>
        <w:spacing w:after="0" w:line="275"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5"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ind w:right="20" w:firstLine="432"/>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In our opinion, Extra Space Storage Inc. maintained, in all material respects, effective internal control over financial reporting as of December 31, 2016, based on the COSO criteria.</w:t>
      </w:r>
    </w:p>
    <w:p>
      <w:pPr>
        <w:spacing w:after="0" w:line="17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Extra Space Storage Inc. as of December 31, 2016 and 2015, and the related consolidated statements of operations, comprehensive income, stockholders’ equity and cash flows for each of the three years in the period ended December 31, 2016 of Extra Space Storage Inc. and our report dated February 27, 2017 expressed an unqualified opinion thereon.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121" w:lineRule="exact"/>
        <w:rPr>
          <w:sz w:val="20"/>
          <w:szCs w:val="20"/>
          <w:color w:val="auto"/>
        </w:rPr>
      </w:pPr>
    </w:p>
    <w:p>
      <w:pPr>
        <w:ind w:right="120" w:firstLine="432"/>
        <w:spacing w:after="0" w:line="307" w:lineRule="auto"/>
        <w:rPr>
          <w:sz w:val="20"/>
          <w:szCs w:val="20"/>
          <w:color w:val="auto"/>
        </w:rPr>
      </w:pPr>
      <w:r>
        <w:rPr>
          <w:rFonts w:ascii="Arial" w:cs="Arial" w:eastAsia="Arial" w:hAnsi="Arial"/>
          <w:sz w:val="17"/>
          <w:szCs w:val="17"/>
          <w:color w:val="auto"/>
        </w:rPr>
        <w:t>There was no change in our internal control over financial reporting (as such term is defined in Exchange Act Rule 13a-15(f)) that occurred during our most recent quarter that has materially affected, or is reasonably likely to materially affect, our internal control over financial reporting.</w:t>
      </w:r>
    </w:p>
    <w:p>
      <w:pPr>
        <w:spacing w:after="0" w:line="25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1016" w:right="25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38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jc w:val="both"/>
        <w:ind w:right="280" w:firstLine="432"/>
        <w:spacing w:after="0" w:line="263" w:lineRule="auto"/>
        <w:rPr>
          <w:sz w:val="20"/>
          <w:szCs w:val="20"/>
          <w:color w:val="auto"/>
        </w:rPr>
      </w:pPr>
      <w:r>
        <w:rPr>
          <w:rFonts w:ascii="Arial" w:cs="Arial" w:eastAsia="Arial" w:hAnsi="Arial"/>
          <w:sz w:val="18"/>
          <w:szCs w:val="18"/>
          <w:color w:val="auto"/>
        </w:rPr>
        <w:t>Information required by this item is incorporated by reference to the information set forth under the captions “Executive Officers,” and “Information About the Board of Directors and its Committees” in our definitive Proxy Statement to be filed with the Securities and Exchange Commission pursuant to Regulation 14A within 120 days after December 31, 2016.</w:t>
      </w:r>
    </w:p>
    <w:p>
      <w:pPr>
        <w:spacing w:after="0" w:line="183" w:lineRule="exact"/>
        <w:rPr>
          <w:sz w:val="20"/>
          <w:szCs w:val="20"/>
          <w:color w:val="auto"/>
        </w:rPr>
      </w:pPr>
    </w:p>
    <w:p>
      <w:pPr>
        <w:ind w:firstLine="432"/>
        <w:spacing w:after="0" w:line="256" w:lineRule="auto"/>
        <w:rPr>
          <w:sz w:val="20"/>
          <w:szCs w:val="20"/>
          <w:color w:val="auto"/>
        </w:rPr>
      </w:pPr>
      <w:r>
        <w:rPr>
          <w:rFonts w:ascii="Arial" w:cs="Arial" w:eastAsia="Arial" w:hAnsi="Arial"/>
          <w:sz w:val="18"/>
          <w:szCs w:val="18"/>
          <w:color w:val="auto"/>
        </w:rPr>
        <w:t>We have adopted a Code of Business Conduct and Ethics in compliance with rules of the SEC that applies to all of our personnel, including our board of directors, Chief Executive Officer, Chief Financial Officer and principal accounting officer. The Code of Business Conduct and Ethics is available free of charge on the “Investor Relations—Corporate Governance” section of our web site at www.extraspace.com. We intend to satisfy any disclosure requirements under Item 5.05 of Form 8-K regarding amendment to, or waiver from, a provision of this Code of Business Conduct and Ethics by posting such information on our web site at the address and location specified above.</w:t>
      </w:r>
    </w:p>
    <w:p>
      <w:pPr>
        <w:spacing w:after="0" w:line="191"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The board of directors has adopted Corporate Governance Guidelines and charters for our Audit Committee and Compensation, Nominating and Governance Committee, each of which is posted on our website at the address and location specified above. Investors may obtain a free copy of the Code of Business Conduct and Ethics, the Corporate Governance Guidelines and the committee charters by contacting the Investor Relations Department at 2795 East Cottonwood Parkway, Suite 400, Salt Lake City, Utah 84121, Attn: Jeff Norman or by telephoning (801) 365-4600.</w:t>
      </w:r>
    </w:p>
    <w:p>
      <w:pPr>
        <w:spacing w:after="0" w:line="27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right="60" w:firstLine="432"/>
        <w:spacing w:after="0" w:line="263" w:lineRule="auto"/>
        <w:rPr>
          <w:sz w:val="20"/>
          <w:szCs w:val="20"/>
          <w:color w:val="auto"/>
        </w:rPr>
      </w:pPr>
      <w:r>
        <w:rPr>
          <w:rFonts w:ascii="Arial" w:cs="Arial" w:eastAsia="Arial" w:hAnsi="Arial"/>
          <w:sz w:val="18"/>
          <w:szCs w:val="18"/>
          <w:color w:val="auto"/>
        </w:rPr>
        <w:t>Information with respect to executive compensation is incorporated by reference to the information set forth under the caption “Executive Compensation” in our definitive Proxy Statement to be filed with the Securities and Exchange Commission pursuant to Regulation 14A within 120 days after December 31, 2016.</w:t>
      </w:r>
    </w:p>
    <w:p>
      <w:pPr>
        <w:spacing w:after="0" w:line="28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380" w:firstLine="432"/>
        <w:spacing w:after="0" w:line="311" w:lineRule="auto"/>
        <w:rPr>
          <w:sz w:val="20"/>
          <w:szCs w:val="20"/>
          <w:color w:val="auto"/>
        </w:rPr>
      </w:pPr>
      <w:r>
        <w:rPr>
          <w:rFonts w:ascii="Arial" w:cs="Arial" w:eastAsia="Arial" w:hAnsi="Arial"/>
          <w:sz w:val="16"/>
          <w:szCs w:val="16"/>
          <w:color w:val="auto"/>
        </w:rPr>
        <w:t>Information with respect to security ownership of certain beneficial owners and management and related stockholder matters is incorporated by reference to the information set forth under the captions “Executive Compensation” and “Security Ownership of Directors and Officers” in our definitive Proxy Statement to be filed with the Securities and Exchange Commission pursuant to Regulation 14A within 120 days after December 31, 2016.</w:t>
      </w:r>
    </w:p>
    <w:p>
      <w:pPr>
        <w:spacing w:after="0" w:line="25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80" w:firstLine="432"/>
        <w:spacing w:after="0" w:line="263" w:lineRule="auto"/>
        <w:rPr>
          <w:sz w:val="20"/>
          <w:szCs w:val="20"/>
          <w:color w:val="auto"/>
        </w:rPr>
      </w:pPr>
      <w:r>
        <w:rPr>
          <w:rFonts w:ascii="Arial" w:cs="Arial" w:eastAsia="Arial" w:hAnsi="Arial"/>
          <w:sz w:val="18"/>
          <w:szCs w:val="18"/>
          <w:color w:val="auto"/>
        </w:rPr>
        <w:t>Information with respect to certain relationships and related transactions is incorporated by reference to the information set forth under the captions “Information about the Board of Directors and its Committees” and “Certain Relationships and Related Transactions” in our Proxy Statement to be filed with the Securities and Exchange Commission pursuant to Regulation 14A within 120 days after December 31, 2016.</w:t>
      </w:r>
    </w:p>
    <w:p>
      <w:pPr>
        <w:spacing w:after="0" w:line="28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right="540" w:firstLine="432"/>
        <w:spacing w:after="0" w:line="263" w:lineRule="auto"/>
        <w:rPr>
          <w:sz w:val="20"/>
          <w:szCs w:val="20"/>
          <w:color w:val="auto"/>
        </w:rPr>
      </w:pPr>
      <w:r>
        <w:rPr>
          <w:rFonts w:ascii="Arial" w:cs="Arial" w:eastAsia="Arial" w:hAnsi="Arial"/>
          <w:sz w:val="18"/>
          <w:szCs w:val="18"/>
          <w:color w:val="auto"/>
        </w:rPr>
        <w:t>Information with respect to principal accounting fees and services is incorporated by reference to the information set forth under the caption “Ratification of Appointment of Independent Registered Public Accounting Firm” in our Proxy Statement to be filed with the Securities and Exchange Commission pursuant to Regulation 14A within 120 days after December 31, 2016.</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796" w:right="259" w:bottom="1440" w:gutter="0" w:footer="0" w:header="0"/>
        </w:sectPr>
      </w:pPr>
    </w:p>
    <w:bookmarkStart w:id="119" w:name="page120"/>
    <w:bookmarkEnd w:id="119"/>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6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34" w:lineRule="exact"/>
        <w:rPr>
          <w:sz w:val="20"/>
          <w:szCs w:val="20"/>
          <w:color w:val="auto"/>
        </w:rPr>
      </w:pPr>
    </w:p>
    <w:p>
      <w:pPr>
        <w:ind w:left="540" w:hanging="316"/>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Documents filed as part of this report:</w:t>
      </w:r>
    </w:p>
    <w:p>
      <w:pPr>
        <w:spacing w:after="0" w:line="116" w:lineRule="exact"/>
        <w:rPr>
          <w:rFonts w:ascii="Arial" w:cs="Arial" w:eastAsia="Arial" w:hAnsi="Arial"/>
          <w:sz w:val="18"/>
          <w:szCs w:val="18"/>
          <w:color w:val="auto"/>
        </w:rPr>
      </w:pPr>
    </w:p>
    <w:p>
      <w:pPr>
        <w:ind w:right="540" w:firstLine="885"/>
        <w:spacing w:after="0" w:line="277" w:lineRule="auto"/>
        <w:tabs>
          <w:tab w:leader="none" w:pos="1131"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and (2). All Financial Statements and Financial Statement Schedules filed as part of this Annual Report on 10-K are included in Item 8 —“Financial Statements and Supplementary Data” of this Annual Report on 10-K and reference is made thereto.</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20" w:type="dxa"/>
            <w:vAlign w:val="bottom"/>
            <w:gridSpan w:val="3"/>
          </w:tcPr>
          <w:p>
            <w:pPr>
              <w:ind w:left="120"/>
              <w:spacing w:after="0"/>
              <w:rPr>
                <w:sz w:val="20"/>
                <w:szCs w:val="20"/>
                <w:color w:val="auto"/>
              </w:rPr>
            </w:pPr>
            <w:r>
              <w:rPr>
                <w:rFonts w:ascii="Arial" w:cs="Arial" w:eastAsia="Arial" w:hAnsi="Arial"/>
                <w:sz w:val="18"/>
                <w:szCs w:val="18"/>
                <w:color w:val="auto"/>
              </w:rPr>
              <w:t>(3) The following documents are filed or incorporated by references as exhibits to this report:</w:t>
            </w:r>
          </w:p>
        </w:tc>
        <w:tc>
          <w:tcPr>
            <w:tcW w:w="0" w:type="dxa"/>
            <w:vAlign w:val="bottom"/>
          </w:tcPr>
          <w:p>
            <w:pPr>
              <w:spacing w:after="0"/>
              <w:rPr>
                <w:sz w:val="1"/>
                <w:szCs w:val="1"/>
                <w:color w:val="auto"/>
              </w:rPr>
            </w:pPr>
          </w:p>
        </w:tc>
      </w:tr>
      <w:tr>
        <w:trPr>
          <w:trHeight w:val="287"/>
        </w:trPr>
        <w:tc>
          <w:tcPr>
            <w:tcW w:w="100" w:type="dxa"/>
            <w:vAlign w:val="bottom"/>
          </w:tcPr>
          <w:p>
            <w:pPr>
              <w:spacing w:after="0"/>
              <w:rPr>
                <w:sz w:val="24"/>
                <w:szCs w:val="24"/>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506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8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5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3"/>
                <w:szCs w:val="13"/>
                <w:color w:val="auto"/>
              </w:rPr>
            </w:pPr>
          </w:p>
        </w:tc>
        <w:tc>
          <w:tcPr>
            <w:tcW w:w="5060" w:type="dxa"/>
            <w:vAlign w:val="bottom"/>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620" w:type="dxa"/>
            <w:vAlign w:val="bottom"/>
            <w:gridSpan w:val="2"/>
          </w:tcPr>
          <w:p>
            <w:pPr>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0620" w:type="dxa"/>
            <w:vAlign w:val="bottom"/>
            <w:gridSpan w:val="3"/>
          </w:tcPr>
          <w:p>
            <w:pPr>
              <w:ind w:left="200"/>
              <w:spacing w:after="0"/>
              <w:rPr>
                <w:sz w:val="20"/>
                <w:szCs w:val="20"/>
                <w:color w:val="auto"/>
              </w:rPr>
            </w:pPr>
            <w:r>
              <w:rPr>
                <w:rFonts w:ascii="Arial" w:cs="Arial" w:eastAsia="Arial" w:hAnsi="Arial"/>
                <w:sz w:val="18"/>
                <w:szCs w:val="18"/>
                <w:color w:val="auto"/>
                <w:w w:val="96"/>
              </w:rPr>
              <w:t>Purchase and Sale Agreement, dated May 5, 2005 by and among Security Capital Self Storage Incorporated, as seller and Extra Space</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20" w:type="dxa"/>
            <w:vAlign w:val="bottom"/>
            <w:gridSpan w:val="3"/>
          </w:tcPr>
          <w:p>
            <w:pPr>
              <w:ind w:left="360"/>
              <w:spacing w:after="0"/>
              <w:rPr>
                <w:sz w:val="20"/>
                <w:szCs w:val="20"/>
                <w:color w:val="auto"/>
              </w:rPr>
            </w:pPr>
            <w:r>
              <w:rPr>
                <w:rFonts w:ascii="Arial" w:cs="Arial" w:eastAsia="Arial" w:hAnsi="Arial"/>
                <w:sz w:val="18"/>
                <w:szCs w:val="18"/>
                <w:color w:val="auto"/>
                <w:w w:val="98"/>
              </w:rPr>
              <w:t>Storage LLC, PRISA Self Storage LLC, PRISA II Self Storage LLC, PRISA III Self Storage LLC, VRS Self Storage LLC, WCOT Self</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20" w:type="dxa"/>
            <w:vAlign w:val="bottom"/>
            <w:gridSpan w:val="3"/>
          </w:tcPr>
          <w:p>
            <w:pPr>
              <w:ind w:left="360"/>
              <w:spacing w:after="0"/>
              <w:rPr>
                <w:sz w:val="20"/>
                <w:szCs w:val="20"/>
                <w:color w:val="auto"/>
              </w:rPr>
            </w:pPr>
            <w:r>
              <w:rPr>
                <w:rFonts w:ascii="Arial" w:cs="Arial" w:eastAsia="Arial" w:hAnsi="Arial"/>
                <w:sz w:val="18"/>
                <w:szCs w:val="18"/>
                <w:color w:val="auto"/>
                <w:w w:val="90"/>
              </w:rPr>
              <w:t>Storage LLC and Extra Space Storage LP, as purchaser parties and The Prudential Insurance Company of America (incorporated by reference</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20" w:type="dxa"/>
            <w:vAlign w:val="bottom"/>
            <w:gridSpan w:val="3"/>
          </w:tcPr>
          <w:p>
            <w:pPr>
              <w:ind w:left="360"/>
              <w:spacing w:after="0"/>
              <w:rPr>
                <w:sz w:val="20"/>
                <w:szCs w:val="20"/>
                <w:color w:val="auto"/>
              </w:rPr>
            </w:pPr>
            <w:r>
              <w:rPr>
                <w:rFonts w:ascii="Arial" w:cs="Arial" w:eastAsia="Arial" w:hAnsi="Arial"/>
                <w:sz w:val="18"/>
                <w:szCs w:val="18"/>
                <w:color w:val="auto"/>
              </w:rPr>
              <w:t>to Exhibit 2.1 of Form 8-K filed on May 11, 2005).</w:t>
            </w:r>
          </w:p>
        </w:tc>
        <w:tc>
          <w:tcPr>
            <w:tcW w:w="0" w:type="dxa"/>
            <w:vAlign w:val="bottom"/>
          </w:tcPr>
          <w:p>
            <w:pPr>
              <w:spacing w:after="0"/>
              <w:rPr>
                <w:sz w:val="1"/>
                <w:szCs w:val="1"/>
                <w:color w:val="auto"/>
              </w:rPr>
            </w:pPr>
          </w:p>
        </w:tc>
      </w:tr>
      <w:tr>
        <w:trPr>
          <w:trHeight w:val="255"/>
        </w:trPr>
        <w:tc>
          <w:tcPr>
            <w:tcW w:w="620" w:type="dxa"/>
            <w:vAlign w:val="bottom"/>
            <w:gridSpan w:val="2"/>
          </w:tcPr>
          <w:p>
            <w:pPr>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10620" w:type="dxa"/>
            <w:vAlign w:val="bottom"/>
            <w:gridSpan w:val="3"/>
          </w:tcPr>
          <w:p>
            <w:pPr>
              <w:ind w:left="200"/>
              <w:spacing w:after="0"/>
              <w:rPr>
                <w:sz w:val="20"/>
                <w:szCs w:val="20"/>
                <w:color w:val="auto"/>
              </w:rPr>
            </w:pPr>
            <w:r>
              <w:rPr>
                <w:rFonts w:ascii="Arial" w:cs="Arial" w:eastAsia="Arial" w:hAnsi="Arial"/>
                <w:sz w:val="18"/>
                <w:szCs w:val="18"/>
                <w:color w:val="auto"/>
                <w:w w:val="96"/>
              </w:rPr>
              <w:t>Agreement and Plan of Merger, dated as of June 15, 2015, among Extra Space Storage Inc., Extra Space Storage LP, Edgewater REIT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20" w:type="dxa"/>
            <w:vAlign w:val="bottom"/>
            <w:gridSpan w:val="3"/>
          </w:tcPr>
          <w:p>
            <w:pPr>
              <w:ind w:left="360"/>
              <w:spacing w:after="0"/>
              <w:rPr>
                <w:sz w:val="20"/>
                <w:szCs w:val="20"/>
                <w:color w:val="auto"/>
              </w:rPr>
            </w:pPr>
            <w:r>
              <w:rPr>
                <w:rFonts w:ascii="Arial" w:cs="Arial" w:eastAsia="Arial" w:hAnsi="Arial"/>
                <w:sz w:val="18"/>
                <w:szCs w:val="18"/>
                <w:color w:val="auto"/>
                <w:w w:val="94"/>
              </w:rPr>
              <w:t>Acquisition (MD) LLC, Edgewater Partnership Acquisition (DE) LLC, SmartStop Self Storage, Inc. and SmartStop Self Storage Operating</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20" w:type="dxa"/>
            <w:vAlign w:val="bottom"/>
            <w:gridSpan w:val="3"/>
          </w:tcPr>
          <w:p>
            <w:pPr>
              <w:ind w:left="360"/>
              <w:spacing w:after="0"/>
              <w:rPr>
                <w:sz w:val="20"/>
                <w:szCs w:val="20"/>
                <w:color w:val="auto"/>
              </w:rPr>
            </w:pPr>
            <w:r>
              <w:rPr>
                <w:rFonts w:ascii="Arial" w:cs="Arial" w:eastAsia="Arial" w:hAnsi="Arial"/>
                <w:sz w:val="18"/>
                <w:szCs w:val="18"/>
                <w:color w:val="auto"/>
              </w:rPr>
              <w:t>Partnership, L.P. (incorporated by reference to Exhibit 2.1 of Form 8-K filed on June 15, 2015).</w:t>
            </w:r>
          </w:p>
        </w:tc>
        <w:tc>
          <w:tcPr>
            <w:tcW w:w="0" w:type="dxa"/>
            <w:vAlign w:val="bottom"/>
          </w:tcPr>
          <w:p>
            <w:pPr>
              <w:spacing w:after="0"/>
              <w:rPr>
                <w:sz w:val="1"/>
                <w:szCs w:val="1"/>
                <w:color w:val="auto"/>
              </w:rPr>
            </w:pPr>
          </w:p>
        </w:tc>
      </w:tr>
      <w:tr>
        <w:trPr>
          <w:trHeight w:val="255"/>
        </w:trPr>
        <w:tc>
          <w:tcPr>
            <w:tcW w:w="620" w:type="dxa"/>
            <w:vAlign w:val="bottom"/>
            <w:gridSpan w:val="2"/>
          </w:tcPr>
          <w:p>
            <w:pPr>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10620" w:type="dxa"/>
            <w:vAlign w:val="bottom"/>
            <w:gridSpan w:val="3"/>
          </w:tcPr>
          <w:p>
            <w:pPr>
              <w:ind w:left="200"/>
              <w:spacing w:after="0"/>
              <w:rPr>
                <w:sz w:val="20"/>
                <w:szCs w:val="20"/>
                <w:color w:val="auto"/>
              </w:rPr>
            </w:pPr>
            <w:r>
              <w:rPr>
                <w:rFonts w:ascii="Arial" w:cs="Arial" w:eastAsia="Arial" w:hAnsi="Arial"/>
                <w:sz w:val="18"/>
                <w:szCs w:val="18"/>
                <w:color w:val="auto"/>
                <w:w w:val="94"/>
              </w:rPr>
              <w:t>Amendment No. 1 to Agreement and Plan of Merger, dated as of July 16, 2015, among Extra Space Storage Inc., Extra Space Storage LP,</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20" w:type="dxa"/>
            <w:vAlign w:val="bottom"/>
            <w:gridSpan w:val="3"/>
          </w:tcPr>
          <w:p>
            <w:pPr>
              <w:ind w:left="360"/>
              <w:spacing w:after="0"/>
              <w:rPr>
                <w:sz w:val="20"/>
                <w:szCs w:val="20"/>
                <w:color w:val="auto"/>
              </w:rPr>
            </w:pPr>
            <w:r>
              <w:rPr>
                <w:rFonts w:ascii="Arial" w:cs="Arial" w:eastAsia="Arial" w:hAnsi="Arial"/>
                <w:sz w:val="18"/>
                <w:szCs w:val="18"/>
                <w:color w:val="auto"/>
                <w:w w:val="95"/>
              </w:rPr>
              <w:t>Edgewater REIT Acquisition (MD) LLC, Edgewater Partnership Acquisition (DE) LLC, SmartStop Self Storage, Inc. and SmartStop Self</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20" w:type="dxa"/>
            <w:vAlign w:val="bottom"/>
            <w:gridSpan w:val="3"/>
          </w:tcPr>
          <w:p>
            <w:pPr>
              <w:ind w:left="360"/>
              <w:spacing w:after="0"/>
              <w:rPr>
                <w:sz w:val="20"/>
                <w:szCs w:val="20"/>
                <w:color w:val="auto"/>
              </w:rPr>
            </w:pPr>
            <w:r>
              <w:rPr>
                <w:rFonts w:ascii="Arial" w:cs="Arial" w:eastAsia="Arial" w:hAnsi="Arial"/>
                <w:sz w:val="18"/>
                <w:szCs w:val="18"/>
                <w:color w:val="auto"/>
              </w:rPr>
              <w:t>Storage Operating Partnership, L.P. (incorporated by reference to Exhibit 2.1 of Form 8-K filed on July 16, 2015).</w:t>
            </w:r>
          </w:p>
        </w:tc>
        <w:tc>
          <w:tcPr>
            <w:tcW w:w="0" w:type="dxa"/>
            <w:vAlign w:val="bottom"/>
          </w:tcPr>
          <w:p>
            <w:pPr>
              <w:spacing w:after="0"/>
              <w:rPr>
                <w:sz w:val="1"/>
                <w:szCs w:val="1"/>
                <w:color w:val="auto"/>
              </w:rPr>
            </w:pPr>
          </w:p>
        </w:tc>
      </w:tr>
      <w:tr>
        <w:trPr>
          <w:trHeight w:val="270"/>
        </w:trPr>
        <w:tc>
          <w:tcPr>
            <w:tcW w:w="620" w:type="dxa"/>
            <w:vAlign w:val="bottom"/>
            <w:gridSpan w:val="2"/>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3"/>
                <w:szCs w:val="23"/>
                <w:color w:val="auto"/>
              </w:rPr>
            </w:pPr>
          </w:p>
        </w:tc>
        <w:tc>
          <w:tcPr>
            <w:tcW w:w="10620" w:type="dxa"/>
            <w:vAlign w:val="bottom"/>
            <w:gridSpan w:val="3"/>
          </w:tcPr>
          <w:p>
            <w:pPr>
              <w:ind w:left="200"/>
              <w:spacing w:after="0"/>
              <w:rPr>
                <w:sz w:val="20"/>
                <w:szCs w:val="20"/>
                <w:color w:val="auto"/>
              </w:rPr>
            </w:pPr>
            <w:r>
              <w:rPr>
                <w:rFonts w:ascii="Arial" w:cs="Arial" w:eastAsia="Arial" w:hAnsi="Arial"/>
                <w:sz w:val="18"/>
                <w:szCs w:val="18"/>
                <w:color w:val="auto"/>
              </w:rPr>
              <w:t>Amended and Restated Articles of Incorporation of Extra Space Storage Inc.(1)</w:t>
            </w:r>
          </w:p>
        </w:tc>
        <w:tc>
          <w:tcPr>
            <w:tcW w:w="0" w:type="dxa"/>
            <w:vAlign w:val="bottom"/>
          </w:tcPr>
          <w:p>
            <w:pPr>
              <w:spacing w:after="0"/>
              <w:rPr>
                <w:sz w:val="1"/>
                <w:szCs w:val="1"/>
                <w:color w:val="auto"/>
              </w:rPr>
            </w:pPr>
          </w:p>
        </w:tc>
      </w:tr>
      <w:tr>
        <w:trPr>
          <w:trHeight w:val="255"/>
        </w:trPr>
        <w:tc>
          <w:tcPr>
            <w:tcW w:w="620" w:type="dxa"/>
            <w:vAlign w:val="bottom"/>
            <w:gridSpan w:val="2"/>
          </w:tcPr>
          <w:p>
            <w:pP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10620" w:type="dxa"/>
            <w:vAlign w:val="bottom"/>
            <w:gridSpan w:val="3"/>
          </w:tcPr>
          <w:p>
            <w:pPr>
              <w:ind w:left="200"/>
              <w:spacing w:after="0"/>
              <w:rPr>
                <w:sz w:val="20"/>
                <w:szCs w:val="20"/>
                <w:color w:val="auto"/>
              </w:rPr>
            </w:pPr>
            <w:r>
              <w:rPr>
                <w:rFonts w:ascii="Arial" w:cs="Arial" w:eastAsia="Arial" w:hAnsi="Arial"/>
                <w:sz w:val="18"/>
                <w:szCs w:val="18"/>
                <w:color w:val="auto"/>
                <w:w w:val="93"/>
              </w:rPr>
              <w:t>Articles of Amendment of Extra Space Storage Inc., dated September 28, 2007 (incorporated by reference to Exhibit 3.1 of Form 8-K filed on</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20" w:type="dxa"/>
            <w:vAlign w:val="bottom"/>
            <w:gridSpan w:val="3"/>
          </w:tcPr>
          <w:p>
            <w:pPr>
              <w:ind w:left="360"/>
              <w:spacing w:after="0"/>
              <w:rPr>
                <w:sz w:val="20"/>
                <w:szCs w:val="20"/>
                <w:color w:val="auto"/>
              </w:rPr>
            </w:pPr>
            <w:r>
              <w:rPr>
                <w:rFonts w:ascii="Arial" w:cs="Arial" w:eastAsia="Arial" w:hAnsi="Arial"/>
                <w:sz w:val="18"/>
                <w:szCs w:val="18"/>
                <w:color w:val="auto"/>
              </w:rPr>
              <w:t>October 3, 2007).</w:t>
            </w:r>
          </w:p>
        </w:tc>
        <w:tc>
          <w:tcPr>
            <w:tcW w:w="0" w:type="dxa"/>
            <w:vAlign w:val="bottom"/>
          </w:tcPr>
          <w:p>
            <w:pPr>
              <w:spacing w:after="0"/>
              <w:rPr>
                <w:sz w:val="1"/>
                <w:szCs w:val="1"/>
                <w:color w:val="auto"/>
              </w:rPr>
            </w:pPr>
          </w:p>
        </w:tc>
      </w:tr>
      <w:tr>
        <w:trPr>
          <w:trHeight w:val="255"/>
        </w:trPr>
        <w:tc>
          <w:tcPr>
            <w:tcW w:w="620" w:type="dxa"/>
            <w:vAlign w:val="bottom"/>
            <w:gridSpan w:val="2"/>
          </w:tcPr>
          <w:p>
            <w:pPr>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10620" w:type="dxa"/>
            <w:vAlign w:val="bottom"/>
            <w:gridSpan w:val="3"/>
          </w:tcPr>
          <w:p>
            <w:pPr>
              <w:ind w:left="200"/>
              <w:spacing w:after="0"/>
              <w:rPr>
                <w:sz w:val="20"/>
                <w:szCs w:val="20"/>
                <w:color w:val="auto"/>
              </w:rPr>
            </w:pPr>
            <w:r>
              <w:rPr>
                <w:rFonts w:ascii="Arial" w:cs="Arial" w:eastAsia="Arial" w:hAnsi="Arial"/>
                <w:sz w:val="18"/>
                <w:szCs w:val="18"/>
                <w:color w:val="auto"/>
                <w:w w:val="95"/>
              </w:rPr>
              <w:t>Articles of Amendment of Extra Space Storage Inc., dated August 29, 2013 (incorporated by reference to Exhibit 3.1 of Form 8-K filed on</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20" w:type="dxa"/>
            <w:vAlign w:val="bottom"/>
            <w:gridSpan w:val="3"/>
          </w:tcPr>
          <w:p>
            <w:pPr>
              <w:ind w:left="360"/>
              <w:spacing w:after="0"/>
              <w:rPr>
                <w:sz w:val="20"/>
                <w:szCs w:val="20"/>
                <w:color w:val="auto"/>
              </w:rPr>
            </w:pPr>
            <w:r>
              <w:rPr>
                <w:rFonts w:ascii="Arial" w:cs="Arial" w:eastAsia="Arial" w:hAnsi="Arial"/>
                <w:sz w:val="18"/>
                <w:szCs w:val="18"/>
                <w:color w:val="auto"/>
              </w:rPr>
              <w:t>August 29, 2013).</w:t>
            </w:r>
          </w:p>
        </w:tc>
        <w:tc>
          <w:tcPr>
            <w:tcW w:w="0" w:type="dxa"/>
            <w:vAlign w:val="bottom"/>
          </w:tcPr>
          <w:p>
            <w:pPr>
              <w:spacing w:after="0"/>
              <w:rPr>
                <w:sz w:val="1"/>
                <w:szCs w:val="1"/>
                <w:color w:val="auto"/>
              </w:rPr>
            </w:pPr>
          </w:p>
        </w:tc>
      </w:tr>
      <w:tr>
        <w:trPr>
          <w:trHeight w:val="270"/>
        </w:trPr>
        <w:tc>
          <w:tcPr>
            <w:tcW w:w="620" w:type="dxa"/>
            <w:vAlign w:val="bottom"/>
            <w:gridSpan w:val="2"/>
          </w:tcPr>
          <w:p>
            <w:pPr>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10620" w:type="dxa"/>
            <w:vAlign w:val="bottom"/>
            <w:gridSpan w:val="3"/>
          </w:tcPr>
          <w:p>
            <w:pPr>
              <w:ind w:left="200"/>
              <w:spacing w:after="0"/>
              <w:rPr>
                <w:sz w:val="20"/>
                <w:szCs w:val="20"/>
                <w:color w:val="auto"/>
              </w:rPr>
            </w:pPr>
            <w:r>
              <w:rPr>
                <w:rFonts w:ascii="Arial" w:cs="Arial" w:eastAsia="Arial" w:hAnsi="Arial"/>
                <w:sz w:val="18"/>
                <w:szCs w:val="18"/>
                <w:color w:val="auto"/>
                <w:w w:val="96"/>
              </w:rPr>
              <w:t>Amended and Restated Bylaws of Extra Space Storage Inc.(incorporated by reference to Exhibit 3.1 of Form 8-K filed on May 26, 2009)</w:t>
            </w:r>
          </w:p>
        </w:tc>
        <w:tc>
          <w:tcPr>
            <w:tcW w:w="0" w:type="dxa"/>
            <w:vAlign w:val="bottom"/>
          </w:tcPr>
          <w:p>
            <w:pPr>
              <w:spacing w:after="0"/>
              <w:rPr>
                <w:sz w:val="1"/>
                <w:szCs w:val="1"/>
                <w:color w:val="auto"/>
              </w:rPr>
            </w:pPr>
          </w:p>
        </w:tc>
      </w:tr>
      <w:tr>
        <w:trPr>
          <w:trHeight w:val="255"/>
        </w:trPr>
        <w:tc>
          <w:tcPr>
            <w:tcW w:w="620" w:type="dxa"/>
            <w:vAlign w:val="bottom"/>
            <w:gridSpan w:val="2"/>
          </w:tcPr>
          <w:p>
            <w:pPr>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10620" w:type="dxa"/>
            <w:vAlign w:val="bottom"/>
            <w:gridSpan w:val="3"/>
          </w:tcPr>
          <w:p>
            <w:pPr>
              <w:ind w:left="200"/>
              <w:spacing w:after="0"/>
              <w:rPr>
                <w:sz w:val="20"/>
                <w:szCs w:val="20"/>
                <w:color w:val="auto"/>
              </w:rPr>
            </w:pPr>
            <w:r>
              <w:rPr>
                <w:rFonts w:ascii="Arial" w:cs="Arial" w:eastAsia="Arial" w:hAnsi="Arial"/>
                <w:sz w:val="18"/>
                <w:szCs w:val="18"/>
                <w:color w:val="auto"/>
                <w:w w:val="93"/>
              </w:rPr>
              <w:t>Amendment No. 1 to Amended and Restated Bylaws of Extra Space Storage Inc. (incorporated by reference to Exhibit 3.1 of Form 8-K filed</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20" w:type="dxa"/>
            <w:vAlign w:val="bottom"/>
            <w:gridSpan w:val="3"/>
          </w:tcPr>
          <w:p>
            <w:pPr>
              <w:ind w:left="360"/>
              <w:spacing w:after="0"/>
              <w:rPr>
                <w:sz w:val="20"/>
                <w:szCs w:val="20"/>
                <w:color w:val="auto"/>
              </w:rPr>
            </w:pPr>
            <w:r>
              <w:rPr>
                <w:rFonts w:ascii="Arial" w:cs="Arial" w:eastAsia="Arial" w:hAnsi="Arial"/>
                <w:sz w:val="18"/>
                <w:szCs w:val="18"/>
                <w:color w:val="auto"/>
              </w:rPr>
              <w:t>December 23, 2014).</w:t>
            </w:r>
          </w:p>
        </w:tc>
        <w:tc>
          <w:tcPr>
            <w:tcW w:w="0" w:type="dxa"/>
            <w:vAlign w:val="bottom"/>
          </w:tcPr>
          <w:p>
            <w:pPr>
              <w:spacing w:after="0"/>
              <w:rPr>
                <w:sz w:val="1"/>
                <w:szCs w:val="1"/>
                <w:color w:val="auto"/>
              </w:rPr>
            </w:pPr>
          </w:p>
        </w:tc>
      </w:tr>
      <w:tr>
        <w:trPr>
          <w:trHeight w:val="255"/>
        </w:trPr>
        <w:tc>
          <w:tcPr>
            <w:tcW w:w="620" w:type="dxa"/>
            <w:vAlign w:val="bottom"/>
            <w:gridSpan w:val="2"/>
          </w:tcPr>
          <w:p>
            <w:pPr>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10620" w:type="dxa"/>
            <w:vAlign w:val="bottom"/>
            <w:gridSpan w:val="3"/>
          </w:tcPr>
          <w:p>
            <w:pPr>
              <w:ind w:left="200"/>
              <w:spacing w:after="0"/>
              <w:rPr>
                <w:sz w:val="20"/>
                <w:szCs w:val="20"/>
                <w:color w:val="auto"/>
              </w:rPr>
            </w:pPr>
            <w:r>
              <w:rPr>
                <w:rFonts w:ascii="Arial" w:cs="Arial" w:eastAsia="Arial" w:hAnsi="Arial"/>
                <w:sz w:val="18"/>
                <w:szCs w:val="18"/>
                <w:color w:val="auto"/>
                <w:w w:val="95"/>
              </w:rPr>
              <w:t>Fourth Amended and Restated Agreement of Limited Partnership of Extra Space Storage LP (incorporated by reference to Exhibit 10.1 of</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20" w:type="dxa"/>
            <w:vAlign w:val="bottom"/>
            <w:gridSpan w:val="3"/>
          </w:tcPr>
          <w:p>
            <w:pPr>
              <w:ind w:left="360"/>
              <w:spacing w:after="0"/>
              <w:rPr>
                <w:sz w:val="20"/>
                <w:szCs w:val="20"/>
                <w:color w:val="auto"/>
              </w:rPr>
            </w:pPr>
            <w:r>
              <w:rPr>
                <w:rFonts w:ascii="Arial" w:cs="Arial" w:eastAsia="Arial" w:hAnsi="Arial"/>
                <w:sz w:val="18"/>
                <w:szCs w:val="18"/>
                <w:color w:val="auto"/>
              </w:rPr>
              <w:t>Form 8-K filed on December 6, 2013).</w:t>
            </w:r>
          </w:p>
        </w:tc>
        <w:tc>
          <w:tcPr>
            <w:tcW w:w="0" w:type="dxa"/>
            <w:vAlign w:val="bottom"/>
          </w:tcPr>
          <w:p>
            <w:pPr>
              <w:spacing w:after="0"/>
              <w:rPr>
                <w:sz w:val="1"/>
                <w:szCs w:val="1"/>
                <w:color w:val="auto"/>
              </w:rPr>
            </w:pPr>
          </w:p>
        </w:tc>
      </w:tr>
      <w:tr>
        <w:trPr>
          <w:trHeight w:val="270"/>
        </w:trPr>
        <w:tc>
          <w:tcPr>
            <w:tcW w:w="620" w:type="dxa"/>
            <w:vAlign w:val="bottom"/>
            <w:gridSpan w:val="2"/>
          </w:tcPr>
          <w:p>
            <w:pPr>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10620" w:type="dxa"/>
            <w:vAlign w:val="bottom"/>
            <w:gridSpan w:val="3"/>
          </w:tcPr>
          <w:p>
            <w:pPr>
              <w:ind w:left="200"/>
              <w:spacing w:after="0"/>
              <w:rPr>
                <w:sz w:val="20"/>
                <w:szCs w:val="20"/>
                <w:color w:val="auto"/>
              </w:rPr>
            </w:pPr>
            <w:r>
              <w:rPr>
                <w:rFonts w:ascii="Arial" w:cs="Arial" w:eastAsia="Arial" w:hAnsi="Arial"/>
                <w:sz w:val="18"/>
                <w:szCs w:val="18"/>
                <w:color w:val="auto"/>
              </w:rPr>
              <w:t>Declaration of Trust of ESS Holdings Business Trust II.(1)</w:t>
            </w:r>
          </w:p>
        </w:tc>
        <w:tc>
          <w:tcPr>
            <w:tcW w:w="0" w:type="dxa"/>
            <w:vAlign w:val="bottom"/>
          </w:tcPr>
          <w:p>
            <w:pPr>
              <w:spacing w:after="0"/>
              <w:rPr>
                <w:sz w:val="1"/>
                <w:szCs w:val="1"/>
                <w:color w:val="auto"/>
              </w:rPr>
            </w:pPr>
          </w:p>
        </w:tc>
      </w:tr>
      <w:tr>
        <w:trPr>
          <w:trHeight w:val="255"/>
        </w:trPr>
        <w:tc>
          <w:tcPr>
            <w:tcW w:w="620" w:type="dxa"/>
            <w:vAlign w:val="bottom"/>
            <w:gridSpan w:val="2"/>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10620" w:type="dxa"/>
            <w:vAlign w:val="bottom"/>
            <w:gridSpan w:val="3"/>
          </w:tcPr>
          <w:p>
            <w:pPr>
              <w:ind w:left="200"/>
              <w:spacing w:after="0"/>
              <w:rPr>
                <w:sz w:val="20"/>
                <w:szCs w:val="20"/>
                <w:color w:val="auto"/>
              </w:rPr>
            </w:pPr>
            <w:r>
              <w:rPr>
                <w:rFonts w:ascii="Arial" w:cs="Arial" w:eastAsia="Arial" w:hAnsi="Arial"/>
                <w:sz w:val="18"/>
                <w:szCs w:val="18"/>
                <w:color w:val="auto"/>
                <w:w w:val="90"/>
              </w:rPr>
              <w:t>Junior Subordinated Indenture dated as of July 27, 2005, between Extra Space Storage LP and JPMorgan Chase Bank, National Association, as</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20" w:type="dxa"/>
            <w:vAlign w:val="bottom"/>
            <w:gridSpan w:val="3"/>
          </w:tcPr>
          <w:p>
            <w:pPr>
              <w:ind w:left="360"/>
              <w:spacing w:after="0"/>
              <w:rPr>
                <w:sz w:val="20"/>
                <w:szCs w:val="20"/>
                <w:color w:val="auto"/>
              </w:rPr>
            </w:pPr>
            <w:r>
              <w:rPr>
                <w:rFonts w:ascii="Arial" w:cs="Arial" w:eastAsia="Arial" w:hAnsi="Arial"/>
                <w:sz w:val="18"/>
                <w:szCs w:val="18"/>
                <w:color w:val="auto"/>
              </w:rPr>
              <w:t>trustee (incorporated by reference to Exhibit 4.1 of Form 8-K filed on August 2, 2005).</w:t>
            </w:r>
          </w:p>
        </w:tc>
        <w:tc>
          <w:tcPr>
            <w:tcW w:w="0" w:type="dxa"/>
            <w:vAlign w:val="bottom"/>
          </w:tcPr>
          <w:p>
            <w:pPr>
              <w:spacing w:after="0"/>
              <w:rPr>
                <w:sz w:val="1"/>
                <w:szCs w:val="1"/>
                <w:color w:val="auto"/>
              </w:rPr>
            </w:pPr>
          </w:p>
        </w:tc>
      </w:tr>
      <w:tr>
        <w:trPr>
          <w:trHeight w:val="255"/>
        </w:trPr>
        <w:tc>
          <w:tcPr>
            <w:tcW w:w="620" w:type="dxa"/>
            <w:vAlign w:val="bottom"/>
            <w:gridSpan w:val="2"/>
          </w:tcPr>
          <w:p>
            <w:pPr>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10620" w:type="dxa"/>
            <w:vAlign w:val="bottom"/>
            <w:gridSpan w:val="3"/>
          </w:tcPr>
          <w:p>
            <w:pPr>
              <w:ind w:left="200"/>
              <w:spacing w:after="0"/>
              <w:rPr>
                <w:sz w:val="20"/>
                <w:szCs w:val="20"/>
                <w:color w:val="auto"/>
              </w:rPr>
            </w:pPr>
            <w:r>
              <w:rPr>
                <w:rFonts w:ascii="Arial" w:cs="Arial" w:eastAsia="Arial" w:hAnsi="Arial"/>
                <w:sz w:val="18"/>
                <w:szCs w:val="18"/>
                <w:color w:val="auto"/>
                <w:w w:val="91"/>
              </w:rPr>
              <w:t>Amended and Restated Trust Agreement, dated as of July 27, 2005, among Extra Space Storage LP, as depositor and JPMorgan Chase Bank,</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20" w:type="dxa"/>
            <w:vAlign w:val="bottom"/>
            <w:gridSpan w:val="3"/>
          </w:tcPr>
          <w:p>
            <w:pPr>
              <w:ind w:left="360"/>
              <w:spacing w:after="0"/>
              <w:rPr>
                <w:sz w:val="20"/>
                <w:szCs w:val="20"/>
                <w:color w:val="auto"/>
              </w:rPr>
            </w:pPr>
            <w:r>
              <w:rPr>
                <w:rFonts w:ascii="Arial" w:cs="Arial" w:eastAsia="Arial" w:hAnsi="Arial"/>
                <w:sz w:val="18"/>
                <w:szCs w:val="18"/>
                <w:color w:val="auto"/>
                <w:w w:val="92"/>
              </w:rPr>
              <w:t>National Association, as property trustee, Chase Bank USA, National Association, as Delaware trustee, the Administrative Trustees named</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20" w:type="dxa"/>
            <w:vAlign w:val="bottom"/>
            <w:gridSpan w:val="3"/>
          </w:tcPr>
          <w:p>
            <w:pPr>
              <w:ind w:left="360"/>
              <w:spacing w:after="0"/>
              <w:rPr>
                <w:sz w:val="20"/>
                <w:szCs w:val="20"/>
                <w:color w:val="auto"/>
              </w:rPr>
            </w:pPr>
            <w:r>
              <w:rPr>
                <w:rFonts w:ascii="Arial" w:cs="Arial" w:eastAsia="Arial" w:hAnsi="Arial"/>
                <w:sz w:val="18"/>
                <w:szCs w:val="18"/>
                <w:color w:val="auto"/>
                <w:w w:val="94"/>
              </w:rPr>
              <w:t>therein and the holders of undivided beneficial interest in the assets of ESS Statutory Trust III (incorporated by reference to Exhibit 4.2 of</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20" w:type="dxa"/>
            <w:vAlign w:val="bottom"/>
            <w:gridSpan w:val="3"/>
          </w:tcPr>
          <w:p>
            <w:pPr>
              <w:ind w:left="360"/>
              <w:spacing w:after="0"/>
              <w:rPr>
                <w:sz w:val="20"/>
                <w:szCs w:val="20"/>
                <w:color w:val="auto"/>
              </w:rPr>
            </w:pPr>
            <w:r>
              <w:rPr>
                <w:rFonts w:ascii="Arial" w:cs="Arial" w:eastAsia="Arial" w:hAnsi="Arial"/>
                <w:sz w:val="18"/>
                <w:szCs w:val="18"/>
                <w:color w:val="auto"/>
              </w:rPr>
              <w:t>Form 8-K filed on August 2, 2005).</w:t>
            </w:r>
          </w:p>
        </w:tc>
        <w:tc>
          <w:tcPr>
            <w:tcW w:w="0" w:type="dxa"/>
            <w:vAlign w:val="bottom"/>
          </w:tcPr>
          <w:p>
            <w:pPr>
              <w:spacing w:after="0"/>
              <w:rPr>
                <w:sz w:val="1"/>
                <w:szCs w:val="1"/>
                <w:color w:val="auto"/>
              </w:rPr>
            </w:pPr>
          </w:p>
        </w:tc>
      </w:tr>
      <w:tr>
        <w:trPr>
          <w:trHeight w:val="270"/>
        </w:trPr>
        <w:tc>
          <w:tcPr>
            <w:tcW w:w="620" w:type="dxa"/>
            <w:vAlign w:val="bottom"/>
            <w:gridSpan w:val="2"/>
          </w:tcPr>
          <w:p>
            <w:pPr>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3"/>
                <w:szCs w:val="23"/>
                <w:color w:val="auto"/>
              </w:rPr>
            </w:pPr>
          </w:p>
        </w:tc>
        <w:tc>
          <w:tcPr>
            <w:tcW w:w="10620" w:type="dxa"/>
            <w:vAlign w:val="bottom"/>
            <w:gridSpan w:val="3"/>
          </w:tcPr>
          <w:p>
            <w:pPr>
              <w:ind w:left="200"/>
              <w:spacing w:after="0"/>
              <w:rPr>
                <w:sz w:val="20"/>
                <w:szCs w:val="20"/>
                <w:color w:val="auto"/>
              </w:rPr>
            </w:pPr>
            <w:r>
              <w:rPr>
                <w:rFonts w:ascii="Arial" w:cs="Arial" w:eastAsia="Arial" w:hAnsi="Arial"/>
                <w:sz w:val="18"/>
                <w:szCs w:val="18"/>
                <w:color w:val="auto"/>
              </w:rPr>
              <w:t>Junior Subordinated Note (incorporated by reference to Exhibit 4.3 of Form 10-K filed on February 26, 2010)</w:t>
            </w:r>
          </w:p>
        </w:tc>
        <w:tc>
          <w:tcPr>
            <w:tcW w:w="0" w:type="dxa"/>
            <w:vAlign w:val="bottom"/>
          </w:tcPr>
          <w:p>
            <w:pPr>
              <w:spacing w:after="0"/>
              <w:rPr>
                <w:sz w:val="1"/>
                <w:szCs w:val="1"/>
                <w:color w:val="auto"/>
              </w:rPr>
            </w:pPr>
          </w:p>
        </w:tc>
      </w:tr>
      <w:tr>
        <w:trPr>
          <w:trHeight w:val="270"/>
        </w:trPr>
        <w:tc>
          <w:tcPr>
            <w:tcW w:w="620" w:type="dxa"/>
            <w:vAlign w:val="bottom"/>
            <w:gridSpan w:val="2"/>
          </w:tcPr>
          <w:p>
            <w:pPr>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10620" w:type="dxa"/>
            <w:vAlign w:val="bottom"/>
            <w:gridSpan w:val="3"/>
          </w:tcPr>
          <w:p>
            <w:pPr>
              <w:ind w:left="200"/>
              <w:spacing w:after="0"/>
              <w:rPr>
                <w:sz w:val="20"/>
                <w:szCs w:val="20"/>
                <w:color w:val="auto"/>
              </w:rPr>
            </w:pPr>
            <w:r>
              <w:rPr>
                <w:rFonts w:ascii="Arial" w:cs="Arial" w:eastAsia="Arial" w:hAnsi="Arial"/>
                <w:sz w:val="18"/>
                <w:szCs w:val="18"/>
                <w:color w:val="auto"/>
              </w:rPr>
              <w:t>Trust Preferred Security Certificates (incorporated by reference to Exhibit 4.4 of Form 10-K filed on February 26, 2010)</w:t>
            </w:r>
          </w:p>
        </w:tc>
        <w:tc>
          <w:tcPr>
            <w:tcW w:w="0" w:type="dxa"/>
            <w:vAlign w:val="bottom"/>
          </w:tcPr>
          <w:p>
            <w:pPr>
              <w:spacing w:after="0"/>
              <w:rPr>
                <w:sz w:val="1"/>
                <w:szCs w:val="1"/>
                <w:color w:val="auto"/>
              </w:rPr>
            </w:pPr>
          </w:p>
        </w:tc>
      </w:tr>
      <w:tr>
        <w:trPr>
          <w:trHeight w:val="255"/>
        </w:trPr>
        <w:tc>
          <w:tcPr>
            <w:tcW w:w="620" w:type="dxa"/>
            <w:vAlign w:val="bottom"/>
            <w:gridSpan w:val="2"/>
          </w:tcPr>
          <w:p>
            <w:pPr>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10620" w:type="dxa"/>
            <w:vAlign w:val="bottom"/>
            <w:gridSpan w:val="3"/>
          </w:tcPr>
          <w:p>
            <w:pPr>
              <w:ind w:left="200"/>
              <w:spacing w:after="0"/>
              <w:rPr>
                <w:sz w:val="20"/>
                <w:szCs w:val="20"/>
                <w:color w:val="auto"/>
              </w:rPr>
            </w:pPr>
            <w:r>
              <w:rPr>
                <w:rFonts w:ascii="Arial" w:cs="Arial" w:eastAsia="Arial" w:hAnsi="Arial"/>
                <w:sz w:val="18"/>
                <w:szCs w:val="18"/>
                <w:color w:val="auto"/>
                <w:w w:val="93"/>
              </w:rPr>
              <w:t>Indenture, dated June 21, 2013, among Extra Space Storage LP, Extra Space Storage Inc. and Wells Fargo Bank, National Association, as</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20" w:type="dxa"/>
            <w:vAlign w:val="bottom"/>
            <w:gridSpan w:val="3"/>
          </w:tcPr>
          <w:p>
            <w:pPr>
              <w:ind w:left="360"/>
              <w:spacing w:after="0"/>
              <w:rPr>
                <w:sz w:val="20"/>
                <w:szCs w:val="20"/>
                <w:color w:val="auto"/>
              </w:rPr>
            </w:pPr>
            <w:r>
              <w:rPr>
                <w:rFonts w:ascii="Arial" w:cs="Arial" w:eastAsia="Arial" w:hAnsi="Arial"/>
                <w:sz w:val="18"/>
                <w:szCs w:val="18"/>
                <w:color w:val="auto"/>
                <w:w w:val="90"/>
              </w:rPr>
              <w:t>trustee, including the form of 2.375% Exchangeable Senior Notes due 2033 and form of guarantee (incorporated by reference to Exhibit 4.1 of</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20" w:type="dxa"/>
            <w:vAlign w:val="bottom"/>
            <w:gridSpan w:val="3"/>
          </w:tcPr>
          <w:p>
            <w:pPr>
              <w:ind w:left="360"/>
              <w:spacing w:after="0"/>
              <w:rPr>
                <w:sz w:val="20"/>
                <w:szCs w:val="20"/>
                <w:color w:val="auto"/>
              </w:rPr>
            </w:pPr>
            <w:r>
              <w:rPr>
                <w:rFonts w:ascii="Arial" w:cs="Arial" w:eastAsia="Arial" w:hAnsi="Arial"/>
                <w:sz w:val="18"/>
                <w:szCs w:val="18"/>
                <w:color w:val="auto"/>
              </w:rPr>
              <w:t>Form 8-K filed on June 21, 2013).</w:t>
            </w:r>
          </w:p>
        </w:tc>
        <w:tc>
          <w:tcPr>
            <w:tcW w:w="0" w:type="dxa"/>
            <w:vAlign w:val="bottom"/>
          </w:tcPr>
          <w:p>
            <w:pPr>
              <w:spacing w:after="0"/>
              <w:rPr>
                <w:sz w:val="1"/>
                <w:szCs w:val="1"/>
                <w:color w:val="auto"/>
              </w:rPr>
            </w:pPr>
          </w:p>
        </w:tc>
      </w:tr>
      <w:tr>
        <w:trPr>
          <w:trHeight w:val="255"/>
        </w:trPr>
        <w:tc>
          <w:tcPr>
            <w:tcW w:w="620" w:type="dxa"/>
            <w:vAlign w:val="bottom"/>
            <w:gridSpan w:val="2"/>
          </w:tcPr>
          <w:p>
            <w:pPr>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10620" w:type="dxa"/>
            <w:vAlign w:val="bottom"/>
            <w:gridSpan w:val="3"/>
          </w:tcPr>
          <w:p>
            <w:pPr>
              <w:ind w:left="200"/>
              <w:spacing w:after="0"/>
              <w:rPr>
                <w:sz w:val="20"/>
                <w:szCs w:val="20"/>
                <w:color w:val="auto"/>
              </w:rPr>
            </w:pPr>
            <w:r>
              <w:rPr>
                <w:rFonts w:ascii="Arial" w:cs="Arial" w:eastAsia="Arial" w:hAnsi="Arial"/>
                <w:sz w:val="18"/>
                <w:szCs w:val="18"/>
                <w:color w:val="auto"/>
                <w:w w:val="89"/>
              </w:rPr>
              <w:t>Indenture, dated September 21, 2015, among Extra Space Storage LP, as issuer, Extra Space Storage Inc., as guarantor, and Wells Fargo Bank,</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20" w:type="dxa"/>
            <w:vAlign w:val="bottom"/>
            <w:gridSpan w:val="3"/>
          </w:tcPr>
          <w:p>
            <w:pPr>
              <w:ind w:left="360"/>
              <w:spacing w:after="0"/>
              <w:rPr>
                <w:sz w:val="20"/>
                <w:szCs w:val="20"/>
                <w:color w:val="auto"/>
              </w:rPr>
            </w:pPr>
            <w:r>
              <w:rPr>
                <w:rFonts w:ascii="Arial" w:cs="Arial" w:eastAsia="Arial" w:hAnsi="Arial"/>
                <w:sz w:val="18"/>
                <w:szCs w:val="18"/>
                <w:color w:val="auto"/>
                <w:w w:val="91"/>
              </w:rPr>
              <w:t>National Association, as trustee, including the form of 3.125% Exchangeable Senior Notes due 2035 and the form of guarantee (incorporated</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20" w:type="dxa"/>
            <w:vAlign w:val="bottom"/>
            <w:gridSpan w:val="3"/>
          </w:tcPr>
          <w:p>
            <w:pPr>
              <w:ind w:left="360"/>
              <w:spacing w:after="0"/>
              <w:rPr>
                <w:sz w:val="20"/>
                <w:szCs w:val="20"/>
                <w:color w:val="auto"/>
              </w:rPr>
            </w:pPr>
            <w:r>
              <w:rPr>
                <w:rFonts w:ascii="Arial" w:cs="Arial" w:eastAsia="Arial" w:hAnsi="Arial"/>
                <w:sz w:val="18"/>
                <w:szCs w:val="18"/>
                <w:color w:val="auto"/>
              </w:rPr>
              <w:t>by reference to Exhibit 4.1 of Form 8-K filed on September 21, 2015).</w:t>
            </w:r>
          </w:p>
        </w:tc>
        <w:tc>
          <w:tcPr>
            <w:tcW w:w="0" w:type="dxa"/>
            <w:vAlign w:val="bottom"/>
          </w:tcPr>
          <w:p>
            <w:pPr>
              <w:spacing w:after="0"/>
              <w:rPr>
                <w:sz w:val="1"/>
                <w:szCs w:val="1"/>
                <w:color w:val="auto"/>
              </w:rPr>
            </w:pPr>
          </w:p>
        </w:tc>
      </w:tr>
      <w:tr>
        <w:trPr>
          <w:trHeight w:val="270"/>
        </w:trPr>
        <w:tc>
          <w:tcPr>
            <w:tcW w:w="620" w:type="dxa"/>
            <w:vAlign w:val="bottom"/>
            <w:gridSpan w:val="2"/>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3"/>
                <w:szCs w:val="23"/>
                <w:color w:val="auto"/>
              </w:rPr>
            </w:pPr>
          </w:p>
        </w:tc>
        <w:tc>
          <w:tcPr>
            <w:tcW w:w="10620" w:type="dxa"/>
            <w:vAlign w:val="bottom"/>
            <w:gridSpan w:val="3"/>
          </w:tcPr>
          <w:p>
            <w:pPr>
              <w:ind w:left="200"/>
              <w:spacing w:after="0"/>
              <w:rPr>
                <w:sz w:val="20"/>
                <w:szCs w:val="20"/>
                <w:color w:val="auto"/>
              </w:rPr>
            </w:pPr>
            <w:r>
              <w:rPr>
                <w:rFonts w:ascii="Arial" w:cs="Arial" w:eastAsia="Arial" w:hAnsi="Arial"/>
                <w:sz w:val="18"/>
                <w:szCs w:val="18"/>
                <w:color w:val="auto"/>
              </w:rPr>
              <w:t>Registration Rights Agreement, by and among Extra Space Storage Inc. and the parties listed on Schedule I thereto.(1)</w:t>
            </w:r>
          </w:p>
        </w:tc>
        <w:tc>
          <w:tcPr>
            <w:tcW w:w="0" w:type="dxa"/>
            <w:vAlign w:val="bottom"/>
          </w:tcPr>
          <w:p>
            <w:pPr>
              <w:spacing w:after="0"/>
              <w:rPr>
                <w:sz w:val="1"/>
                <w:szCs w:val="1"/>
                <w:color w:val="auto"/>
              </w:rPr>
            </w:pPr>
          </w:p>
        </w:tc>
      </w:tr>
      <w:tr>
        <w:trPr>
          <w:trHeight w:val="486"/>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60" w:type="dxa"/>
            <w:vAlign w:val="bottom"/>
          </w:tcPr>
          <w:p>
            <w:pPr>
              <w:ind w:left="4860"/>
              <w:spacing w:after="0"/>
              <w:rPr>
                <w:sz w:val="20"/>
                <w:szCs w:val="20"/>
                <w:color w:val="auto"/>
              </w:rPr>
            </w:pPr>
            <w:r>
              <w:rPr>
                <w:rFonts w:ascii="Arial" w:cs="Arial" w:eastAsia="Arial" w:hAnsi="Arial"/>
                <w:sz w:val="18"/>
                <w:szCs w:val="18"/>
                <w:color w:val="auto"/>
                <w:w w:val="89"/>
              </w:rPr>
              <w:t>98</w:t>
            </w:r>
          </w:p>
        </w:tc>
        <w:tc>
          <w:tcPr>
            <w:tcW w:w="7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796" w:right="279" w:bottom="1440" w:gutter="0" w:footer="0" w:header="0"/>
        </w:sectPr>
      </w:pPr>
    </w:p>
    <w:bookmarkStart w:id="120" w:name="page121"/>
    <w:bookmarkEnd w:id="1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Exhibit</w:t>
            </w:r>
          </w:p>
        </w:tc>
        <w:tc>
          <w:tcPr>
            <w:tcW w:w="5000" w:type="dxa"/>
            <w:vAlign w:val="bottom"/>
            <w:vMerge w:val="restart"/>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8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5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3"/>
                <w:szCs w:val="13"/>
                <w:color w:val="auto"/>
              </w:rPr>
            </w:pPr>
          </w:p>
        </w:tc>
        <w:tc>
          <w:tcPr>
            <w:tcW w:w="5000" w:type="dxa"/>
            <w:vAlign w:val="bottom"/>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gridSpan w:val="2"/>
          </w:tcPr>
          <w:p>
            <w:pPr>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2"/>
                <w:szCs w:val="22"/>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rPr>
              <w:t>Joint Venture Agreement, dated June 1, 2004, by and between Extra Space Storage LLC and Prudential Financial, Inc.(1)</w:t>
            </w:r>
          </w:p>
        </w:tc>
        <w:tc>
          <w:tcPr>
            <w:tcW w:w="0" w:type="dxa"/>
            <w:vAlign w:val="bottom"/>
          </w:tcPr>
          <w:p>
            <w:pPr>
              <w:spacing w:after="0"/>
              <w:rPr>
                <w:sz w:val="1"/>
                <w:szCs w:val="1"/>
                <w:color w:val="auto"/>
              </w:rPr>
            </w:pPr>
          </w:p>
        </w:tc>
      </w:tr>
      <w:tr>
        <w:trPr>
          <w:trHeight w:val="255"/>
        </w:trPr>
        <w:tc>
          <w:tcPr>
            <w:tcW w:w="620" w:type="dxa"/>
            <w:vAlign w:val="bottom"/>
            <w:gridSpan w:val="2"/>
          </w:tcPr>
          <w:p>
            <w:pPr>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2"/>
                <w:szCs w:val="22"/>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w w:val="95"/>
              </w:rPr>
              <w:t>Registration Rights Agreement, dated June 20, 2005, among Extra Space Storage Inc. and the investors named therein (incorporated by</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reference to Exhibit 10.1 of Form 8-K filed on June 24, 2005).</w:t>
            </w:r>
          </w:p>
        </w:tc>
        <w:tc>
          <w:tcPr>
            <w:tcW w:w="0" w:type="dxa"/>
            <w:vAlign w:val="bottom"/>
          </w:tcPr>
          <w:p>
            <w:pPr>
              <w:spacing w:after="0"/>
              <w:rPr>
                <w:sz w:val="1"/>
                <w:szCs w:val="1"/>
                <w:color w:val="auto"/>
              </w:rPr>
            </w:pPr>
          </w:p>
        </w:tc>
      </w:tr>
      <w:tr>
        <w:trPr>
          <w:trHeight w:val="255"/>
        </w:trPr>
        <w:tc>
          <w:tcPr>
            <w:tcW w:w="620" w:type="dxa"/>
            <w:vAlign w:val="bottom"/>
            <w:gridSpan w:val="2"/>
          </w:tcPr>
          <w:p>
            <w:pPr>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2"/>
                <w:szCs w:val="22"/>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w w:val="93"/>
              </w:rPr>
              <w:t>Purchase Agreement, dated as of July 27, 2005, among Extra Space Storage LP, ESS Statutory Trust III and the Purchaser named therein</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(incorporated by reference to Exhibit 10.1 of Form 8-K filed on August 2, 2005).</w:t>
            </w:r>
          </w:p>
        </w:tc>
        <w:tc>
          <w:tcPr>
            <w:tcW w:w="0" w:type="dxa"/>
            <w:vAlign w:val="bottom"/>
          </w:tcPr>
          <w:p>
            <w:pPr>
              <w:spacing w:after="0"/>
              <w:rPr>
                <w:sz w:val="1"/>
                <w:szCs w:val="1"/>
                <w:color w:val="auto"/>
              </w:rPr>
            </w:pPr>
          </w:p>
        </w:tc>
      </w:tr>
      <w:tr>
        <w:trPr>
          <w:trHeight w:val="255"/>
        </w:trPr>
        <w:tc>
          <w:tcPr>
            <w:tcW w:w="620" w:type="dxa"/>
            <w:vAlign w:val="bottom"/>
            <w:gridSpan w:val="2"/>
          </w:tcPr>
          <w:p>
            <w:pPr>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2"/>
                <w:szCs w:val="22"/>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w w:val="90"/>
              </w:rPr>
              <w:t>Registration Rights Agreement, dated March 27, 2007, among Extra Space Storage LP, Extra Space Storage Inc., Citigroup Global Markets Inc.</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w w:val="94"/>
              </w:rPr>
              <w:t>and Merrill Lynch, Pierce, Fenner &amp; Smith Incorporated (incorporated by reference to Exhibit 10.1 of Form 8-K filed on March 28, 2007).</w:t>
            </w:r>
          </w:p>
        </w:tc>
        <w:tc>
          <w:tcPr>
            <w:tcW w:w="0" w:type="dxa"/>
            <w:vAlign w:val="bottom"/>
          </w:tcPr>
          <w:p>
            <w:pPr>
              <w:spacing w:after="0"/>
              <w:rPr>
                <w:sz w:val="1"/>
                <w:szCs w:val="1"/>
                <w:color w:val="auto"/>
              </w:rPr>
            </w:pPr>
          </w:p>
        </w:tc>
      </w:tr>
      <w:tr>
        <w:trPr>
          <w:trHeight w:val="255"/>
        </w:trPr>
        <w:tc>
          <w:tcPr>
            <w:tcW w:w="620" w:type="dxa"/>
            <w:vAlign w:val="bottom"/>
            <w:gridSpan w:val="2"/>
          </w:tcPr>
          <w:p>
            <w:pPr>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2"/>
                <w:szCs w:val="22"/>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w w:val="91"/>
              </w:rPr>
              <w:t>Promissory Note, dated June 25, 2007, among Extra Space Storage LP, H. James Knuppe and Barbara Knuppe (incorporated by reference to</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Exhibit 10.2 of Form 8-K filed on June 26, 2007).</w:t>
            </w:r>
          </w:p>
        </w:tc>
        <w:tc>
          <w:tcPr>
            <w:tcW w:w="0" w:type="dxa"/>
            <w:vAlign w:val="bottom"/>
          </w:tcPr>
          <w:p>
            <w:pPr>
              <w:spacing w:after="0"/>
              <w:rPr>
                <w:sz w:val="1"/>
                <w:szCs w:val="1"/>
                <w:color w:val="auto"/>
              </w:rPr>
            </w:pPr>
          </w:p>
        </w:tc>
      </w:tr>
      <w:tr>
        <w:trPr>
          <w:trHeight w:val="255"/>
        </w:trPr>
        <w:tc>
          <w:tcPr>
            <w:tcW w:w="620" w:type="dxa"/>
            <w:vAlign w:val="bottom"/>
            <w:gridSpan w:val="2"/>
          </w:tcPr>
          <w:p>
            <w:pPr>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2"/>
                <w:szCs w:val="22"/>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w w:val="90"/>
              </w:rPr>
              <w:t>Pledge Agreement, dated June 25, 2007, among Extra Space Storage LP, H. James Knuppe and Barbara Knuppe (incorporated by reference to</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Exhibit 10.3 of Form 8-K filed on June 26, 2007).</w:t>
            </w:r>
          </w:p>
        </w:tc>
        <w:tc>
          <w:tcPr>
            <w:tcW w:w="0" w:type="dxa"/>
            <w:vAlign w:val="bottom"/>
          </w:tcPr>
          <w:p>
            <w:pPr>
              <w:spacing w:after="0"/>
              <w:rPr>
                <w:sz w:val="1"/>
                <w:szCs w:val="1"/>
                <w:color w:val="auto"/>
              </w:rPr>
            </w:pPr>
          </w:p>
        </w:tc>
      </w:tr>
      <w:tr>
        <w:trPr>
          <w:trHeight w:val="255"/>
        </w:trPr>
        <w:tc>
          <w:tcPr>
            <w:tcW w:w="620" w:type="dxa"/>
            <w:vAlign w:val="bottom"/>
            <w:gridSpan w:val="2"/>
          </w:tcPr>
          <w:p>
            <w:pPr>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2"/>
                <w:szCs w:val="22"/>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w w:val="97"/>
              </w:rPr>
              <w:t>Registration Rights Agreement among Extra Space Storage LP, H. James Knuppe and Barbara Knuppe. (incorporated by reference to</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Exhibit 10.26 of Form 10-K filed on February 26, 2010)</w:t>
            </w:r>
          </w:p>
        </w:tc>
        <w:tc>
          <w:tcPr>
            <w:tcW w:w="0" w:type="dxa"/>
            <w:vAlign w:val="bottom"/>
          </w:tcPr>
          <w:p>
            <w:pPr>
              <w:spacing w:after="0"/>
              <w:rPr>
                <w:sz w:val="1"/>
                <w:szCs w:val="1"/>
                <w:color w:val="auto"/>
              </w:rPr>
            </w:pPr>
          </w:p>
        </w:tc>
      </w:tr>
      <w:tr>
        <w:trPr>
          <w:trHeight w:val="255"/>
        </w:trPr>
        <w:tc>
          <w:tcPr>
            <w:tcW w:w="620" w:type="dxa"/>
            <w:vAlign w:val="bottom"/>
            <w:gridSpan w:val="2"/>
          </w:tcPr>
          <w:p>
            <w:pPr>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22"/>
                <w:szCs w:val="22"/>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w w:val="94"/>
              </w:rPr>
              <w:t>Membership Interest Purchase Agreement, dated as of April 13, 2012, between Extra Space Properties Sixty Three LLC and PRISA III Co-</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Investment LLC (incorporated by reference to Exhibit 10.1 of Form 8-K filed on April 16, 2012).</w:t>
            </w:r>
          </w:p>
        </w:tc>
        <w:tc>
          <w:tcPr>
            <w:tcW w:w="0" w:type="dxa"/>
            <w:vAlign w:val="bottom"/>
          </w:tcPr>
          <w:p>
            <w:pPr>
              <w:spacing w:after="0"/>
              <w:rPr>
                <w:sz w:val="1"/>
                <w:szCs w:val="1"/>
                <w:color w:val="auto"/>
              </w:rPr>
            </w:pPr>
          </w:p>
        </w:tc>
      </w:tr>
      <w:tr>
        <w:trPr>
          <w:trHeight w:val="270"/>
        </w:trPr>
        <w:tc>
          <w:tcPr>
            <w:tcW w:w="620" w:type="dxa"/>
            <w:vAlign w:val="bottom"/>
            <w:gridSpan w:val="2"/>
          </w:tcPr>
          <w:p>
            <w:pPr>
              <w:spacing w:after="0"/>
              <w:rPr>
                <w:sz w:val="20"/>
                <w:szCs w:val="20"/>
                <w:color w:val="auto"/>
              </w:rPr>
            </w:pPr>
            <w:r>
              <w:rPr>
                <w:rFonts w:ascii="Arial" w:cs="Arial" w:eastAsia="Arial" w:hAnsi="Arial"/>
                <w:sz w:val="18"/>
                <w:szCs w:val="18"/>
                <w:color w:val="auto"/>
              </w:rPr>
              <w:t>10.10</w:t>
            </w:r>
          </w:p>
        </w:tc>
        <w:tc>
          <w:tcPr>
            <w:tcW w:w="160" w:type="dxa"/>
            <w:vAlign w:val="bottom"/>
          </w:tcPr>
          <w:p>
            <w:pPr>
              <w:spacing w:after="0"/>
              <w:rPr>
                <w:sz w:val="23"/>
                <w:szCs w:val="23"/>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w w:val="92"/>
              </w:rPr>
              <w:t>Extra Space Storage Inc. Executive Change in Control Plan (incorporated by reference to Exhibit 10.1 of Form 8-K filed on August 31, 2011).</w:t>
            </w:r>
          </w:p>
        </w:tc>
        <w:tc>
          <w:tcPr>
            <w:tcW w:w="0" w:type="dxa"/>
            <w:vAlign w:val="bottom"/>
          </w:tcPr>
          <w:p>
            <w:pPr>
              <w:spacing w:after="0"/>
              <w:rPr>
                <w:sz w:val="1"/>
                <w:szCs w:val="1"/>
                <w:color w:val="auto"/>
              </w:rPr>
            </w:pPr>
          </w:p>
        </w:tc>
      </w:tr>
      <w:tr>
        <w:trPr>
          <w:trHeight w:val="255"/>
        </w:trPr>
        <w:tc>
          <w:tcPr>
            <w:tcW w:w="620" w:type="dxa"/>
            <w:vAlign w:val="bottom"/>
            <w:gridSpan w:val="2"/>
          </w:tcPr>
          <w:p>
            <w:pPr>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22"/>
                <w:szCs w:val="22"/>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w w:val="91"/>
              </w:rPr>
              <w:t>Registration Rights Agreement, dated June 21, 2013, among Extra Space Storage LP, Extra Space Storage Inc., Citigroup Global Markets Inc.</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and Wells Fargo Securities, LLC (incorporated by reference to Exhibit 10.1 of Form 8-K filed on June 21, 2013).</w:t>
            </w:r>
          </w:p>
        </w:tc>
        <w:tc>
          <w:tcPr>
            <w:tcW w:w="0" w:type="dxa"/>
            <w:vAlign w:val="bottom"/>
          </w:tcPr>
          <w:p>
            <w:pPr>
              <w:spacing w:after="0"/>
              <w:rPr>
                <w:sz w:val="1"/>
                <w:szCs w:val="1"/>
                <w:color w:val="auto"/>
              </w:rPr>
            </w:pPr>
          </w:p>
        </w:tc>
      </w:tr>
      <w:tr>
        <w:trPr>
          <w:trHeight w:val="255"/>
        </w:trPr>
        <w:tc>
          <w:tcPr>
            <w:tcW w:w="620" w:type="dxa"/>
            <w:vAlign w:val="bottom"/>
            <w:gridSpan w:val="2"/>
          </w:tcPr>
          <w:p>
            <w:pPr>
              <w:spacing w:after="0"/>
              <w:rPr>
                <w:sz w:val="20"/>
                <w:szCs w:val="20"/>
                <w:color w:val="auto"/>
              </w:rPr>
            </w:pPr>
            <w:r>
              <w:rPr>
                <w:rFonts w:ascii="Arial" w:cs="Arial" w:eastAsia="Arial" w:hAnsi="Arial"/>
                <w:sz w:val="18"/>
                <w:szCs w:val="18"/>
                <w:color w:val="auto"/>
              </w:rPr>
              <w:t>10.12</w:t>
            </w:r>
          </w:p>
        </w:tc>
        <w:tc>
          <w:tcPr>
            <w:tcW w:w="160" w:type="dxa"/>
            <w:vAlign w:val="bottom"/>
          </w:tcPr>
          <w:p>
            <w:pPr>
              <w:spacing w:after="0"/>
              <w:rPr>
                <w:sz w:val="22"/>
                <w:szCs w:val="22"/>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w w:val="90"/>
              </w:rPr>
              <w:t>Letter Agreement, dated as of November 22, 2013, amending the Contribution Agreement, dated June 15, 2007, among Extra Space Storage LP</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w w:val="93"/>
              </w:rPr>
              <w:t>and various limited partnerships affiliated with AAAAA Rent-A-Space, and the Promissory Note, dated June 25, 2007, among Extra Space</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w w:val="98"/>
              </w:rPr>
              <w:t>Storage LP, H. James Knuppe and Barbara Knuppe (incorporated by reference to Exhibit 10.1 of Form 10-Q filed on May 8, 2014).</w:t>
            </w:r>
          </w:p>
        </w:tc>
        <w:tc>
          <w:tcPr>
            <w:tcW w:w="0" w:type="dxa"/>
            <w:vAlign w:val="bottom"/>
          </w:tcPr>
          <w:p>
            <w:pPr>
              <w:spacing w:after="0"/>
              <w:rPr>
                <w:sz w:val="1"/>
                <w:szCs w:val="1"/>
                <w:color w:val="auto"/>
              </w:rPr>
            </w:pPr>
          </w:p>
        </w:tc>
      </w:tr>
      <w:tr>
        <w:trPr>
          <w:trHeight w:val="270"/>
        </w:trPr>
        <w:tc>
          <w:tcPr>
            <w:tcW w:w="620" w:type="dxa"/>
            <w:vAlign w:val="bottom"/>
            <w:gridSpan w:val="2"/>
          </w:tcPr>
          <w:p>
            <w:pPr>
              <w:spacing w:after="0"/>
              <w:rPr>
                <w:sz w:val="20"/>
                <w:szCs w:val="20"/>
                <w:color w:val="auto"/>
              </w:rPr>
            </w:pPr>
            <w:r>
              <w:rPr>
                <w:rFonts w:ascii="Arial" w:cs="Arial" w:eastAsia="Arial" w:hAnsi="Arial"/>
                <w:sz w:val="18"/>
                <w:szCs w:val="18"/>
                <w:color w:val="auto"/>
              </w:rPr>
              <w:t>10.13*</w:t>
            </w:r>
          </w:p>
        </w:tc>
        <w:tc>
          <w:tcPr>
            <w:tcW w:w="160" w:type="dxa"/>
            <w:vAlign w:val="bottom"/>
          </w:tcPr>
          <w:p>
            <w:pPr>
              <w:spacing w:after="0"/>
              <w:rPr>
                <w:sz w:val="23"/>
                <w:szCs w:val="23"/>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rPr>
              <w:t>2015 Incentive Award Plan (incorporated by reference to the Definitive Proxy Statement on Schedule 14A filed on April 14, 2015)</w:t>
            </w:r>
          </w:p>
        </w:tc>
        <w:tc>
          <w:tcPr>
            <w:tcW w:w="0" w:type="dxa"/>
            <w:vAlign w:val="bottom"/>
          </w:tcPr>
          <w:p>
            <w:pPr>
              <w:spacing w:after="0"/>
              <w:rPr>
                <w:sz w:val="1"/>
                <w:szCs w:val="1"/>
                <w:color w:val="auto"/>
              </w:rPr>
            </w:pPr>
          </w:p>
        </w:tc>
      </w:tr>
      <w:tr>
        <w:trPr>
          <w:trHeight w:val="255"/>
        </w:trPr>
        <w:tc>
          <w:tcPr>
            <w:tcW w:w="620" w:type="dxa"/>
            <w:vAlign w:val="bottom"/>
            <w:gridSpan w:val="2"/>
          </w:tcPr>
          <w:p>
            <w:pPr>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22"/>
                <w:szCs w:val="22"/>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w w:val="90"/>
              </w:rPr>
              <w:t>Registration Rights Agreement, dated September 21, 2015, among Extra Space Storage LP, Extra Space Storage Inc., Citigroup Global Markets</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w w:val="91"/>
              </w:rPr>
              <w:t>Inc. and Wells Fargo Securities, LLC, as representatives of the initial purchasers (incorporated by reference to Exhibit 10.1 of Form 8-K filed</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on September 21, 2015).</w:t>
            </w:r>
          </w:p>
        </w:tc>
        <w:tc>
          <w:tcPr>
            <w:tcW w:w="0" w:type="dxa"/>
            <w:vAlign w:val="bottom"/>
          </w:tcPr>
          <w:p>
            <w:pPr>
              <w:spacing w:after="0"/>
              <w:rPr>
                <w:sz w:val="1"/>
                <w:szCs w:val="1"/>
                <w:color w:val="auto"/>
              </w:rPr>
            </w:pPr>
          </w:p>
        </w:tc>
      </w:tr>
      <w:tr>
        <w:trPr>
          <w:trHeight w:val="255"/>
        </w:trPr>
        <w:tc>
          <w:tcPr>
            <w:tcW w:w="620" w:type="dxa"/>
            <w:vAlign w:val="bottom"/>
            <w:gridSpan w:val="2"/>
          </w:tcPr>
          <w:p>
            <w:pPr>
              <w:spacing w:after="0"/>
              <w:rPr>
                <w:sz w:val="20"/>
                <w:szCs w:val="20"/>
                <w:color w:val="auto"/>
              </w:rPr>
            </w:pPr>
            <w:r>
              <w:rPr>
                <w:rFonts w:ascii="Arial" w:cs="Arial" w:eastAsia="Arial" w:hAnsi="Arial"/>
                <w:sz w:val="18"/>
                <w:szCs w:val="18"/>
                <w:color w:val="auto"/>
              </w:rPr>
              <w:t>10.15</w:t>
            </w:r>
          </w:p>
        </w:tc>
        <w:tc>
          <w:tcPr>
            <w:tcW w:w="160" w:type="dxa"/>
            <w:vAlign w:val="bottom"/>
          </w:tcPr>
          <w:p>
            <w:pPr>
              <w:spacing w:after="0"/>
              <w:rPr>
                <w:sz w:val="22"/>
                <w:szCs w:val="22"/>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w w:val="96"/>
              </w:rPr>
              <w:t>Credit Agreement, dated as of October 14, 2016, by and among Extra Space Storage Inc., Extra Space Storage LP, U.S. Bank National</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w w:val="98"/>
              </w:rPr>
              <w:t>Association, as administrative agent, certain other financial institutions acting as syndication agents, documentation agents, senior</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w w:val="89"/>
              </w:rPr>
              <w:t>management agents and lead arrangers and book runners, and certain lenders party thereto (incorporated by reference to Exhibit 10.1 of Form</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255"/>
        </w:trPr>
        <w:tc>
          <w:tcPr>
            <w:tcW w:w="620" w:type="dxa"/>
            <w:vAlign w:val="bottom"/>
            <w:gridSpan w:val="2"/>
          </w:tcPr>
          <w:p>
            <w:pPr>
              <w:spacing w:after="0"/>
              <w:rPr>
                <w:sz w:val="20"/>
                <w:szCs w:val="20"/>
                <w:color w:val="auto"/>
              </w:rPr>
            </w:pPr>
            <w:r>
              <w:rPr>
                <w:rFonts w:ascii="Arial" w:cs="Arial" w:eastAsia="Arial" w:hAnsi="Arial"/>
                <w:sz w:val="18"/>
                <w:szCs w:val="18"/>
                <w:color w:val="auto"/>
              </w:rPr>
              <w:t>10.16*</w:t>
            </w:r>
          </w:p>
        </w:tc>
        <w:tc>
          <w:tcPr>
            <w:tcW w:w="160" w:type="dxa"/>
            <w:vAlign w:val="bottom"/>
          </w:tcPr>
          <w:p>
            <w:pPr>
              <w:spacing w:after="0"/>
              <w:rPr>
                <w:sz w:val="22"/>
                <w:szCs w:val="22"/>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w w:val="91"/>
              </w:rPr>
              <w:t>2004 Long-Term Compensation Incentive Plan as amended and restated effective March 25, 2008 (incorporated by reference to the Definitive</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Proxy Statement on Schedule 14A filed on April 14, 2008)</w:t>
            </w:r>
          </w:p>
        </w:tc>
        <w:tc>
          <w:tcPr>
            <w:tcW w:w="0" w:type="dxa"/>
            <w:vAlign w:val="bottom"/>
          </w:tcPr>
          <w:p>
            <w:pPr>
              <w:spacing w:after="0"/>
              <w:rPr>
                <w:sz w:val="1"/>
                <w:szCs w:val="1"/>
                <w:color w:val="auto"/>
              </w:rPr>
            </w:pPr>
          </w:p>
        </w:tc>
      </w:tr>
      <w:tr>
        <w:trPr>
          <w:trHeight w:val="255"/>
        </w:trPr>
        <w:tc>
          <w:tcPr>
            <w:tcW w:w="620" w:type="dxa"/>
            <w:vAlign w:val="bottom"/>
            <w:gridSpan w:val="2"/>
          </w:tcPr>
          <w:p>
            <w:pPr>
              <w:spacing w:after="0"/>
              <w:rPr>
                <w:sz w:val="20"/>
                <w:szCs w:val="20"/>
                <w:color w:val="auto"/>
              </w:rPr>
            </w:pPr>
            <w:r>
              <w:rPr>
                <w:rFonts w:ascii="Arial" w:cs="Arial" w:eastAsia="Arial" w:hAnsi="Arial"/>
                <w:sz w:val="18"/>
                <w:szCs w:val="18"/>
                <w:color w:val="auto"/>
              </w:rPr>
              <w:t>10.17*</w:t>
            </w:r>
          </w:p>
        </w:tc>
        <w:tc>
          <w:tcPr>
            <w:tcW w:w="160" w:type="dxa"/>
            <w:vAlign w:val="bottom"/>
          </w:tcPr>
          <w:p>
            <w:pPr>
              <w:spacing w:after="0"/>
              <w:rPr>
                <w:sz w:val="22"/>
                <w:szCs w:val="22"/>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w w:val="92"/>
              </w:rPr>
              <w:t>Form of 2004 Long Term Incentive Compensation Plan Option Award Agreement for Employees with employment agreements. (incorporated</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by reference to Exhibit 10.11 of Form 10-K filed on February 26, 2010)</w:t>
            </w:r>
          </w:p>
        </w:tc>
        <w:tc>
          <w:tcPr>
            <w:tcW w:w="0" w:type="dxa"/>
            <w:vAlign w:val="bottom"/>
          </w:tcPr>
          <w:p>
            <w:pPr>
              <w:spacing w:after="0"/>
              <w:rPr>
                <w:sz w:val="1"/>
                <w:szCs w:val="1"/>
                <w:color w:val="auto"/>
              </w:rPr>
            </w:pPr>
          </w:p>
        </w:tc>
      </w:tr>
      <w:tr>
        <w:trPr>
          <w:trHeight w:val="255"/>
        </w:trPr>
        <w:tc>
          <w:tcPr>
            <w:tcW w:w="620" w:type="dxa"/>
            <w:vAlign w:val="bottom"/>
            <w:gridSpan w:val="2"/>
          </w:tcPr>
          <w:p>
            <w:pPr>
              <w:spacing w:after="0"/>
              <w:rPr>
                <w:sz w:val="20"/>
                <w:szCs w:val="20"/>
                <w:color w:val="auto"/>
              </w:rPr>
            </w:pPr>
            <w:r>
              <w:rPr>
                <w:rFonts w:ascii="Arial" w:cs="Arial" w:eastAsia="Arial" w:hAnsi="Arial"/>
                <w:sz w:val="18"/>
                <w:szCs w:val="18"/>
                <w:color w:val="auto"/>
              </w:rPr>
              <w:t>10.18*</w:t>
            </w:r>
          </w:p>
        </w:tc>
        <w:tc>
          <w:tcPr>
            <w:tcW w:w="160" w:type="dxa"/>
            <w:vAlign w:val="bottom"/>
          </w:tcPr>
          <w:p>
            <w:pPr>
              <w:spacing w:after="0"/>
              <w:rPr>
                <w:sz w:val="22"/>
                <w:szCs w:val="22"/>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rPr>
              <w:t>Form of 2004 Long Term Incentive Compensation Plan Option Award Agreement for employees without employment agreements.</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(incorporated by reference to Exhibit 10.12 of Form 10-K filed on February 26, 2010)</w:t>
            </w:r>
          </w:p>
        </w:tc>
        <w:tc>
          <w:tcPr>
            <w:tcW w:w="0" w:type="dxa"/>
            <w:vAlign w:val="bottom"/>
          </w:tcPr>
          <w:p>
            <w:pPr>
              <w:spacing w:after="0"/>
              <w:rPr>
                <w:sz w:val="1"/>
                <w:szCs w:val="1"/>
                <w:color w:val="auto"/>
              </w:rPr>
            </w:pPr>
          </w:p>
        </w:tc>
      </w:tr>
      <w:tr>
        <w:trPr>
          <w:trHeight w:val="255"/>
        </w:trPr>
        <w:tc>
          <w:tcPr>
            <w:tcW w:w="620" w:type="dxa"/>
            <w:vAlign w:val="bottom"/>
            <w:gridSpan w:val="2"/>
          </w:tcPr>
          <w:p>
            <w:pPr>
              <w:spacing w:after="0"/>
              <w:rPr>
                <w:sz w:val="20"/>
                <w:szCs w:val="20"/>
                <w:color w:val="auto"/>
              </w:rPr>
            </w:pPr>
            <w:r>
              <w:rPr>
                <w:rFonts w:ascii="Arial" w:cs="Arial" w:eastAsia="Arial" w:hAnsi="Arial"/>
                <w:sz w:val="18"/>
                <w:szCs w:val="18"/>
                <w:color w:val="auto"/>
              </w:rPr>
              <w:t>10.19*</w:t>
            </w:r>
          </w:p>
        </w:tc>
        <w:tc>
          <w:tcPr>
            <w:tcW w:w="160" w:type="dxa"/>
            <w:vAlign w:val="bottom"/>
          </w:tcPr>
          <w:p>
            <w:pPr>
              <w:spacing w:after="0"/>
              <w:rPr>
                <w:sz w:val="22"/>
                <w:szCs w:val="22"/>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w w:val="91"/>
              </w:rPr>
              <w:t>Form of 2004 Non-Employee Directors Share Plan Option Award Agreement for Directors. (incorporated by reference to Exhibit 10.13 of Form</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10-K filed on February 26, 2010)</w:t>
            </w:r>
          </w:p>
        </w:tc>
        <w:tc>
          <w:tcPr>
            <w:tcW w:w="0" w:type="dxa"/>
            <w:vAlign w:val="bottom"/>
          </w:tcPr>
          <w:p>
            <w:pPr>
              <w:spacing w:after="0"/>
              <w:rPr>
                <w:sz w:val="1"/>
                <w:szCs w:val="1"/>
                <w:color w:val="auto"/>
              </w:rPr>
            </w:pPr>
          </w:p>
        </w:tc>
      </w:tr>
      <w:tr>
        <w:trPr>
          <w:trHeight w:val="255"/>
        </w:trPr>
        <w:tc>
          <w:tcPr>
            <w:tcW w:w="620" w:type="dxa"/>
            <w:vAlign w:val="bottom"/>
            <w:gridSpan w:val="2"/>
          </w:tcPr>
          <w:p>
            <w:pPr>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22"/>
                <w:szCs w:val="22"/>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w w:val="94"/>
              </w:rPr>
              <w:t>2004 Long Term Incentive Compensation Plan Restricted Stock Award Agreement (incorporated by reference to Exhibit 10.2 of Form 10-Q</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filed on November 7, 2007).</w:t>
            </w:r>
          </w:p>
        </w:tc>
        <w:tc>
          <w:tcPr>
            <w:tcW w:w="0" w:type="dxa"/>
            <w:vAlign w:val="bottom"/>
          </w:tcPr>
          <w:p>
            <w:pPr>
              <w:spacing w:after="0"/>
              <w:rPr>
                <w:sz w:val="1"/>
                <w:szCs w:val="1"/>
                <w:color w:val="auto"/>
              </w:rPr>
            </w:pPr>
          </w:p>
        </w:tc>
      </w:tr>
      <w:tr>
        <w:trPr>
          <w:trHeight w:val="255"/>
        </w:trPr>
        <w:tc>
          <w:tcPr>
            <w:tcW w:w="620" w:type="dxa"/>
            <w:vAlign w:val="bottom"/>
            <w:gridSpan w:val="2"/>
          </w:tcPr>
          <w:p>
            <w:pPr>
              <w:spacing w:after="0"/>
              <w:rPr>
                <w:sz w:val="20"/>
                <w:szCs w:val="20"/>
                <w:color w:val="auto"/>
              </w:rPr>
            </w:pPr>
            <w:r>
              <w:rPr>
                <w:rFonts w:ascii="Arial" w:cs="Arial" w:eastAsia="Arial" w:hAnsi="Arial"/>
                <w:sz w:val="18"/>
                <w:szCs w:val="18"/>
                <w:color w:val="auto"/>
              </w:rPr>
              <w:t>10.21*</w:t>
            </w:r>
          </w:p>
        </w:tc>
        <w:tc>
          <w:tcPr>
            <w:tcW w:w="160" w:type="dxa"/>
            <w:vAlign w:val="bottom"/>
          </w:tcPr>
          <w:p>
            <w:pPr>
              <w:spacing w:after="0"/>
              <w:rPr>
                <w:sz w:val="22"/>
                <w:szCs w:val="22"/>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w w:val="91"/>
              </w:rPr>
              <w:t>First Amendment to Extra Space Storage Inc. 2004 Non-Employee Directors’ Share Plan (incorporated by reference to Exhibit 10.4 of Form 10-</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Q filed on November 7, 2007).</w:t>
            </w:r>
          </w:p>
        </w:tc>
        <w:tc>
          <w:tcPr>
            <w:tcW w:w="0" w:type="dxa"/>
            <w:vAlign w:val="bottom"/>
          </w:tcPr>
          <w:p>
            <w:pPr>
              <w:spacing w:after="0"/>
              <w:rPr>
                <w:sz w:val="1"/>
                <w:szCs w:val="1"/>
                <w:color w:val="auto"/>
              </w:rPr>
            </w:pPr>
          </w:p>
        </w:tc>
      </w:tr>
      <w:tr>
        <w:trPr>
          <w:trHeight w:val="255"/>
        </w:trPr>
        <w:tc>
          <w:tcPr>
            <w:tcW w:w="620" w:type="dxa"/>
            <w:vAlign w:val="bottom"/>
            <w:gridSpan w:val="2"/>
          </w:tcPr>
          <w:p>
            <w:pPr>
              <w:spacing w:after="0"/>
              <w:rPr>
                <w:sz w:val="20"/>
                <w:szCs w:val="20"/>
                <w:color w:val="auto"/>
              </w:rPr>
            </w:pPr>
            <w:r>
              <w:rPr>
                <w:rFonts w:ascii="Arial" w:cs="Arial" w:eastAsia="Arial" w:hAnsi="Arial"/>
                <w:sz w:val="18"/>
                <w:szCs w:val="18"/>
                <w:color w:val="auto"/>
              </w:rPr>
              <w:t>10.22*</w:t>
            </w:r>
          </w:p>
        </w:tc>
        <w:tc>
          <w:tcPr>
            <w:tcW w:w="160" w:type="dxa"/>
            <w:vAlign w:val="bottom"/>
          </w:tcPr>
          <w:p>
            <w:pPr>
              <w:spacing w:after="0"/>
              <w:rPr>
                <w:sz w:val="22"/>
                <w:szCs w:val="22"/>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w w:val="95"/>
              </w:rPr>
              <w:t>Extra Space Storage Non-Employee Directors’ Share Plan (incorporated by reference to Exhibit 10.22 of Form 10-K/A filed on March 22,</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0" w:type="dxa"/>
            <w:vAlign w:val="bottom"/>
          </w:tcPr>
          <w:p>
            <w:pPr>
              <w:ind w:left="300"/>
              <w:spacing w:after="0"/>
              <w:rPr>
                <w:sz w:val="20"/>
                <w:szCs w:val="20"/>
                <w:color w:val="auto"/>
              </w:rPr>
            </w:pPr>
            <w:r>
              <w:rPr>
                <w:rFonts w:ascii="Arial" w:cs="Arial" w:eastAsia="Arial" w:hAnsi="Arial"/>
                <w:sz w:val="18"/>
                <w:szCs w:val="18"/>
                <w:color w:val="auto"/>
              </w:rPr>
              <w:t>2007).</w:t>
            </w:r>
          </w:p>
        </w:tc>
        <w:tc>
          <w:tcPr>
            <w:tcW w:w="7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20" w:type="dxa"/>
            <w:vAlign w:val="bottom"/>
            <w:gridSpan w:val="2"/>
          </w:tcPr>
          <w:p>
            <w:pPr>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23"/>
                <w:szCs w:val="23"/>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rPr>
              <w:t>Subsidiaries of the Company(2)</w:t>
            </w:r>
          </w:p>
        </w:tc>
        <w:tc>
          <w:tcPr>
            <w:tcW w:w="0" w:type="dxa"/>
            <w:vAlign w:val="bottom"/>
          </w:tcPr>
          <w:p>
            <w:pPr>
              <w:spacing w:after="0"/>
              <w:rPr>
                <w:sz w:val="1"/>
                <w:szCs w:val="1"/>
                <w:color w:val="auto"/>
              </w:rPr>
            </w:pPr>
          </w:p>
        </w:tc>
      </w:tr>
      <w:tr>
        <w:trPr>
          <w:trHeight w:val="270"/>
        </w:trPr>
        <w:tc>
          <w:tcPr>
            <w:tcW w:w="620" w:type="dxa"/>
            <w:vAlign w:val="bottom"/>
            <w:gridSpan w:val="2"/>
          </w:tcPr>
          <w:p>
            <w:pPr>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23"/>
                <w:szCs w:val="23"/>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rPr>
              <w:t>Consent of Ernst &amp; Young LLP(2)</w:t>
            </w:r>
          </w:p>
        </w:tc>
        <w:tc>
          <w:tcPr>
            <w:tcW w:w="0" w:type="dxa"/>
            <w:vAlign w:val="bottom"/>
          </w:tcPr>
          <w:p>
            <w:pPr>
              <w:spacing w:after="0"/>
              <w:rPr>
                <w:sz w:val="1"/>
                <w:szCs w:val="1"/>
                <w:color w:val="auto"/>
              </w:rPr>
            </w:pPr>
          </w:p>
        </w:tc>
      </w:tr>
      <w:tr>
        <w:trPr>
          <w:trHeight w:val="270"/>
        </w:trPr>
        <w:tc>
          <w:tcPr>
            <w:tcW w:w="620" w:type="dxa"/>
            <w:vAlign w:val="bottom"/>
            <w:gridSpan w:val="2"/>
          </w:tcPr>
          <w:p>
            <w:pPr>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3"/>
                <w:szCs w:val="23"/>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2002.(2)</w:t>
            </w:r>
          </w:p>
        </w:tc>
        <w:tc>
          <w:tcPr>
            <w:tcW w:w="0" w:type="dxa"/>
            <w:vAlign w:val="bottom"/>
          </w:tcPr>
          <w:p>
            <w:pPr>
              <w:spacing w:after="0"/>
              <w:rPr>
                <w:sz w:val="1"/>
                <w:szCs w:val="1"/>
                <w:color w:val="auto"/>
              </w:rPr>
            </w:pPr>
          </w:p>
        </w:tc>
      </w:tr>
      <w:tr>
        <w:trPr>
          <w:trHeight w:val="270"/>
        </w:trPr>
        <w:tc>
          <w:tcPr>
            <w:tcW w:w="620" w:type="dxa"/>
            <w:vAlign w:val="bottom"/>
            <w:gridSpan w:val="2"/>
          </w:tcPr>
          <w:p>
            <w:pPr>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3"/>
                <w:szCs w:val="23"/>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2002.(2)</w:t>
            </w:r>
          </w:p>
        </w:tc>
        <w:tc>
          <w:tcPr>
            <w:tcW w:w="0" w:type="dxa"/>
            <w:vAlign w:val="bottom"/>
          </w:tcPr>
          <w:p>
            <w:pPr>
              <w:spacing w:after="0"/>
              <w:rPr>
                <w:sz w:val="1"/>
                <w:szCs w:val="1"/>
                <w:color w:val="auto"/>
              </w:rPr>
            </w:pPr>
          </w:p>
        </w:tc>
      </w:tr>
      <w:tr>
        <w:trPr>
          <w:trHeight w:val="486"/>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0" w:type="dxa"/>
            <w:vAlign w:val="bottom"/>
          </w:tcPr>
          <w:p>
            <w:pPr>
              <w:ind w:left="4800"/>
              <w:spacing w:after="0"/>
              <w:rPr>
                <w:sz w:val="20"/>
                <w:szCs w:val="20"/>
                <w:color w:val="auto"/>
              </w:rPr>
            </w:pPr>
            <w:r>
              <w:rPr>
                <w:rFonts w:ascii="Arial" w:cs="Arial" w:eastAsia="Arial" w:hAnsi="Arial"/>
                <w:sz w:val="18"/>
                <w:szCs w:val="18"/>
                <w:color w:val="auto"/>
                <w:w w:val="89"/>
              </w:rPr>
              <w:t>99</w:t>
            </w:r>
          </w:p>
        </w:tc>
        <w:tc>
          <w:tcPr>
            <w:tcW w:w="7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80" w:top="941" w:right="299" w:bottom="1440" w:gutter="0" w:footer="0" w:header="0"/>
        </w:sectPr>
      </w:pPr>
    </w:p>
    <w:bookmarkStart w:id="121" w:name="page122"/>
    <w:bookmarkEnd w:id="12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Exhibit</w:t>
            </w:r>
          </w:p>
        </w:tc>
        <w:tc>
          <w:tcPr>
            <w:tcW w:w="5000" w:type="dxa"/>
            <w:vAlign w:val="bottom"/>
            <w:vMerge w:val="restart"/>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48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5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3"/>
                <w:szCs w:val="13"/>
                <w:color w:val="auto"/>
              </w:rPr>
            </w:pPr>
          </w:p>
        </w:tc>
        <w:tc>
          <w:tcPr>
            <w:tcW w:w="5000" w:type="dxa"/>
            <w:vAlign w:val="bottom"/>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620" w:type="dxa"/>
            <w:vAlign w:val="bottom"/>
            <w:gridSpan w:val="2"/>
          </w:tcPr>
          <w:p>
            <w:pPr>
              <w:jc w:val="right"/>
              <w:ind w:right="248"/>
              <w:spacing w:after="0"/>
              <w:rPr>
                <w:sz w:val="20"/>
                <w:szCs w:val="20"/>
                <w:color w:val="auto"/>
              </w:rPr>
            </w:pPr>
            <w:r>
              <w:rPr>
                <w:rFonts w:ascii="Arial" w:cs="Arial" w:eastAsia="Arial" w:hAnsi="Arial"/>
                <w:sz w:val="18"/>
                <w:szCs w:val="18"/>
                <w:color w:val="auto"/>
                <w:w w:val="79"/>
              </w:rPr>
              <w:t>32.1</w:t>
            </w:r>
          </w:p>
        </w:tc>
        <w:tc>
          <w:tcPr>
            <w:tcW w:w="160" w:type="dxa"/>
            <w:vAlign w:val="bottom"/>
          </w:tcPr>
          <w:p>
            <w:pPr>
              <w:spacing w:after="0"/>
              <w:rPr>
                <w:sz w:val="21"/>
                <w:szCs w:val="21"/>
                <w:color w:val="auto"/>
              </w:rPr>
            </w:pPr>
          </w:p>
        </w:tc>
        <w:tc>
          <w:tcPr>
            <w:tcW w:w="10560" w:type="dxa"/>
            <w:vAlign w:val="bottom"/>
            <w:gridSpan w:val="3"/>
          </w:tcPr>
          <w:p>
            <w:pPr>
              <w:jc w:val="center"/>
              <w:ind w:left="50"/>
              <w:spacing w:after="0"/>
              <w:rPr>
                <w:sz w:val="20"/>
                <w:szCs w:val="20"/>
                <w:color w:val="auto"/>
              </w:rPr>
            </w:pPr>
            <w:r>
              <w:rPr>
                <w:rFonts w:ascii="Arial" w:cs="Arial" w:eastAsia="Arial" w:hAnsi="Arial"/>
                <w:sz w:val="18"/>
                <w:szCs w:val="18"/>
                <w:color w:val="auto"/>
                <w:w w:val="91"/>
              </w:rPr>
              <w:t>Certifications of the Chief Executive Officer and Chief Financial Officer pursuant to 18 U.S.C. Section 1350, as adopted pursuant to Section 906</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of the Sarbanes-Oxley Act of 2002.(2)</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20" w:hanging="1085"/>
        <w:spacing w:after="0" w:line="255" w:lineRule="auto"/>
        <w:tabs>
          <w:tab w:leader="none" w:pos="958"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following financial information from Registrant’s Annual Report on Form 10-K for the period ended December 31, 2014, formatted in Extensible Business Reporting Language (XBRL): (i) Consolidated Balance Sheets as of December 31, 2014 and 2013; (ii) Consolidated Statements of Operations for the years ended December 31, 2014, 2013 and 2012; (iii) Consolidated Statements of Comprehensive Income for the years ended December 31, 2014, 2013 and 2012; (iv) Consolidated Statements of Stockholders’ Equity for the years ended December 31, 2014, 2013 and 2012; (v) Consolidated Statements of Cash Flows for the years ended December 31, 2014, 2013 and 2012; and (vi) Notes to Consolidated Financial Statements(2).</w:t>
      </w:r>
    </w:p>
    <w:p>
      <w:pPr>
        <w:spacing w:after="0" w:line="21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Management compensatory plan or arrangement</w:t>
      </w:r>
    </w:p>
    <w:p>
      <w:pPr>
        <w:spacing w:after="0" w:line="36" w:lineRule="exact"/>
        <w:rPr>
          <w:sz w:val="20"/>
          <w:szCs w:val="20"/>
          <w:color w:val="auto"/>
        </w:rPr>
      </w:pPr>
    </w:p>
    <w:p>
      <w:pPr>
        <w:ind w:left="860" w:hanging="852"/>
        <w:spacing w:after="0"/>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Incorporated by reference to Registration Statement on Form S-11 (File No. 333-115436 dated August 11, 2004).</w:t>
      </w:r>
    </w:p>
    <w:p>
      <w:pPr>
        <w:spacing w:after="0" w:line="49" w:lineRule="exact"/>
        <w:rPr>
          <w:rFonts w:ascii="Arial" w:cs="Arial" w:eastAsia="Arial" w:hAnsi="Arial"/>
          <w:sz w:val="18"/>
          <w:szCs w:val="18"/>
          <w:color w:val="auto"/>
        </w:rPr>
      </w:pPr>
    </w:p>
    <w:p>
      <w:pPr>
        <w:ind w:left="860" w:hanging="852"/>
        <w:spacing w:after="0"/>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49" w:lineRule="exact"/>
        <w:rPr>
          <w:rFonts w:ascii="Arial" w:cs="Arial" w:eastAsia="Arial" w:hAnsi="Arial"/>
          <w:sz w:val="18"/>
          <w:szCs w:val="18"/>
          <w:color w:val="auto"/>
        </w:rPr>
      </w:pPr>
    </w:p>
    <w:p>
      <w:pPr>
        <w:ind w:left="860" w:hanging="852"/>
        <w:spacing w:after="0"/>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See Item 15(a)(2)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80"/>
          </w:cols>
          <w:pgMar w:left="240" w:top="941" w:right="27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EXTRA SPACE STORAGE INC.</w:t>
      </w:r>
    </w:p>
    <w:p>
      <w:pPr>
        <w:spacing w:after="0" w:line="63" w:lineRule="exact"/>
        <w:rPr>
          <w:sz w:val="20"/>
          <w:szCs w:val="20"/>
          <w:color w:val="auto"/>
        </w:rPr>
      </w:pPr>
    </w:p>
    <w:p>
      <w:pPr>
        <w:ind w:left="40"/>
        <w:spacing w:after="0"/>
        <w:tabs>
          <w:tab w:leader="none" w:pos="4800" w:val="left"/>
          <w:tab w:leader="none" w:pos="7300" w:val="left"/>
        </w:tabs>
        <w:rPr>
          <w:sz w:val="20"/>
          <w:szCs w:val="20"/>
          <w:color w:val="auto"/>
        </w:rPr>
      </w:pPr>
      <w:r>
        <w:rPr>
          <w:rFonts w:ascii="Arial" w:cs="Arial" w:eastAsia="Arial" w:hAnsi="Arial"/>
          <w:sz w:val="18"/>
          <w:szCs w:val="18"/>
          <w:color w:val="auto"/>
        </w:rPr>
        <w:t>Date: February 27,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D. MARGOLIS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31750</wp:posOffset>
            </wp:positionV>
            <wp:extent cx="382016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820160" cy="8255"/>
                    </a:xfrm>
                    <a:prstGeom prst="rect">
                      <a:avLst/>
                    </a:prstGeom>
                    <a:noFill/>
                  </pic:spPr>
                </pic:pic>
              </a:graphicData>
            </a:graphic>
          </wp:anchor>
        </w:drawing>
      </w:r>
    </w:p>
    <w:p>
      <w:pPr>
        <w:spacing w:after="0" w:line="56" w:lineRule="exact"/>
        <w:rPr>
          <w:sz w:val="20"/>
          <w:szCs w:val="20"/>
          <w:color w:val="auto"/>
        </w:rPr>
      </w:pPr>
    </w:p>
    <w:p>
      <w:pPr>
        <w:jc w:val="center"/>
        <w:ind w:left="5300"/>
        <w:spacing w:after="0"/>
        <w:rPr>
          <w:sz w:val="20"/>
          <w:szCs w:val="20"/>
          <w:color w:val="auto"/>
        </w:rPr>
      </w:pPr>
      <w:r>
        <w:rPr>
          <w:rFonts w:ascii="Arial" w:cs="Arial" w:eastAsia="Arial" w:hAnsi="Arial"/>
          <w:sz w:val="18"/>
          <w:szCs w:val="18"/>
          <w:color w:val="auto"/>
        </w:rPr>
        <w:t>Joseph D. Margolis</w:t>
      </w:r>
    </w:p>
    <w:p>
      <w:pPr>
        <w:spacing w:after="0" w:line="23" w:lineRule="exact"/>
        <w:rPr>
          <w:sz w:val="20"/>
          <w:szCs w:val="20"/>
          <w:color w:val="auto"/>
        </w:rPr>
      </w:pPr>
    </w:p>
    <w:p>
      <w:pPr>
        <w:jc w:val="center"/>
        <w:ind w:left="5300"/>
        <w:spacing w:after="0"/>
        <w:rPr>
          <w:sz w:val="20"/>
          <w:szCs w:val="20"/>
          <w:color w:val="auto"/>
        </w:rPr>
      </w:pPr>
      <w:r>
        <w:rPr>
          <w:rFonts w:ascii="Arial" w:cs="Arial" w:eastAsia="Arial" w:hAnsi="Arial"/>
          <w:sz w:val="18"/>
          <w:szCs w:val="18"/>
          <w:i w:val="1"/>
          <w:iCs w:val="1"/>
          <w:color w:val="auto"/>
        </w:rPr>
        <w:t>Chief Executive Officer</w:t>
      </w:r>
    </w:p>
    <w:p>
      <w:pPr>
        <w:spacing w:after="0" w:line="237"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Date: February 27, 2017</w:t>
            </w:r>
          </w:p>
        </w:tc>
        <w:tc>
          <w:tcPr>
            <w:tcW w:w="2060" w:type="dxa"/>
            <w:vAlign w:val="bottom"/>
          </w:tcPr>
          <w:p>
            <w:pPr>
              <w:ind w:left="1520"/>
              <w:spacing w:after="0"/>
              <w:rPr>
                <w:sz w:val="20"/>
                <w:szCs w:val="20"/>
                <w:color w:val="auto"/>
              </w:rPr>
            </w:pPr>
            <w:r>
              <w:rPr>
                <w:rFonts w:ascii="Arial" w:cs="Arial" w:eastAsia="Arial" w:hAnsi="Arial"/>
                <w:sz w:val="18"/>
                <w:szCs w:val="18"/>
                <w:color w:val="auto"/>
              </w:rPr>
              <w:t>By:</w:t>
            </w:r>
          </w:p>
        </w:tc>
        <w:tc>
          <w:tcPr>
            <w:tcW w:w="6040" w:type="dxa"/>
            <w:vAlign w:val="bottom"/>
          </w:tcPr>
          <w:p>
            <w:pPr>
              <w:jc w:val="center"/>
              <w:spacing w:after="0"/>
              <w:rPr>
                <w:sz w:val="20"/>
                <w:szCs w:val="20"/>
                <w:color w:val="auto"/>
              </w:rPr>
            </w:pPr>
            <w:r>
              <w:rPr>
                <w:rFonts w:ascii="Arial" w:cs="Arial" w:eastAsia="Arial" w:hAnsi="Arial"/>
                <w:sz w:val="18"/>
                <w:szCs w:val="18"/>
                <w:color w:val="auto"/>
                <w:w w:val="93"/>
              </w:rPr>
              <w:t>/S/ JOSEPH D. MARGOLIS</w:t>
            </w:r>
          </w:p>
        </w:tc>
      </w:tr>
      <w:tr>
        <w:trPr>
          <w:trHeight w:val="27"/>
        </w:trPr>
        <w:tc>
          <w:tcPr>
            <w:tcW w:w="3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22"/>
        </w:trPr>
        <w:tc>
          <w:tcPr>
            <w:tcW w:w="3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40" w:type="dxa"/>
            <w:vAlign w:val="bottom"/>
          </w:tcPr>
          <w:p>
            <w:pPr>
              <w:jc w:val="center"/>
              <w:spacing w:after="0"/>
              <w:rPr>
                <w:sz w:val="20"/>
                <w:szCs w:val="20"/>
                <w:color w:val="auto"/>
              </w:rPr>
            </w:pPr>
            <w:r>
              <w:rPr>
                <w:rFonts w:ascii="Arial" w:cs="Arial" w:eastAsia="Arial" w:hAnsi="Arial"/>
                <w:sz w:val="18"/>
                <w:szCs w:val="18"/>
                <w:color w:val="auto"/>
                <w:w w:val="90"/>
              </w:rPr>
              <w:t>Joseph D. Margolis</w:t>
            </w:r>
          </w:p>
        </w:tc>
      </w:tr>
      <w:tr>
        <w:trPr>
          <w:trHeight w:val="216"/>
        </w:trPr>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40" w:type="dxa"/>
            <w:vAlign w:val="bottom"/>
          </w:tcPr>
          <w:p>
            <w:pPr>
              <w:jc w:val="center"/>
              <w:spacing w:after="0"/>
              <w:rPr>
                <w:sz w:val="20"/>
                <w:szCs w:val="20"/>
                <w:color w:val="auto"/>
              </w:rPr>
            </w:pPr>
            <w:r>
              <w:rPr>
                <w:rFonts w:ascii="Arial" w:cs="Arial" w:eastAsia="Arial" w:hAnsi="Arial"/>
                <w:sz w:val="18"/>
                <w:szCs w:val="18"/>
                <w:i w:val="1"/>
                <w:iCs w:val="1"/>
                <w:color w:val="auto"/>
                <w:w w:val="91"/>
              </w:rPr>
              <w:t>Chief Executive Officer</w:t>
            </w:r>
          </w:p>
        </w:tc>
      </w:tr>
      <w:tr>
        <w:trPr>
          <w:trHeight w:val="230"/>
        </w:trPr>
        <w:tc>
          <w:tcPr>
            <w:tcW w:w="3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4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r>
        <w:trPr>
          <w:trHeight w:val="499"/>
        </w:trPr>
        <w:tc>
          <w:tcPr>
            <w:tcW w:w="3280" w:type="dxa"/>
            <w:vAlign w:val="bottom"/>
          </w:tcPr>
          <w:p>
            <w:pPr>
              <w:spacing w:after="0"/>
              <w:rPr>
                <w:sz w:val="20"/>
                <w:szCs w:val="20"/>
                <w:color w:val="auto"/>
              </w:rPr>
            </w:pPr>
            <w:r>
              <w:rPr>
                <w:rFonts w:ascii="Arial" w:cs="Arial" w:eastAsia="Arial" w:hAnsi="Arial"/>
                <w:sz w:val="18"/>
                <w:szCs w:val="18"/>
                <w:color w:val="auto"/>
              </w:rPr>
              <w:t>Date: February 27, 2017</w:t>
            </w:r>
          </w:p>
        </w:tc>
        <w:tc>
          <w:tcPr>
            <w:tcW w:w="2060" w:type="dxa"/>
            <w:vAlign w:val="bottom"/>
          </w:tcPr>
          <w:p>
            <w:pPr>
              <w:ind w:left="1520"/>
              <w:spacing w:after="0"/>
              <w:rPr>
                <w:sz w:val="20"/>
                <w:szCs w:val="20"/>
                <w:color w:val="auto"/>
              </w:rPr>
            </w:pPr>
            <w:r>
              <w:rPr>
                <w:rFonts w:ascii="Arial" w:cs="Arial" w:eastAsia="Arial" w:hAnsi="Arial"/>
                <w:sz w:val="18"/>
                <w:szCs w:val="18"/>
                <w:color w:val="auto"/>
              </w:rPr>
              <w:t>By:</w:t>
            </w:r>
          </w:p>
        </w:tc>
        <w:tc>
          <w:tcPr>
            <w:tcW w:w="6040" w:type="dxa"/>
            <w:vAlign w:val="bottom"/>
          </w:tcPr>
          <w:p>
            <w:pPr>
              <w:jc w:val="center"/>
              <w:spacing w:after="0"/>
              <w:rPr>
                <w:sz w:val="20"/>
                <w:szCs w:val="20"/>
                <w:color w:val="auto"/>
              </w:rPr>
            </w:pPr>
            <w:r>
              <w:rPr>
                <w:rFonts w:ascii="Arial" w:cs="Arial" w:eastAsia="Arial" w:hAnsi="Arial"/>
                <w:sz w:val="18"/>
                <w:szCs w:val="18"/>
                <w:color w:val="auto"/>
                <w:w w:val="91"/>
              </w:rPr>
              <w:t>/S/ P. SCOTT STUBBS</w:t>
            </w:r>
          </w:p>
        </w:tc>
      </w:tr>
      <w:tr>
        <w:trPr>
          <w:trHeight w:val="27"/>
        </w:trPr>
        <w:tc>
          <w:tcPr>
            <w:tcW w:w="3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22"/>
        </w:trPr>
        <w:tc>
          <w:tcPr>
            <w:tcW w:w="3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40" w:type="dxa"/>
            <w:vAlign w:val="bottom"/>
          </w:tcPr>
          <w:p>
            <w:pPr>
              <w:jc w:val="center"/>
              <w:spacing w:after="0"/>
              <w:rPr>
                <w:sz w:val="20"/>
                <w:szCs w:val="20"/>
                <w:color w:val="auto"/>
              </w:rPr>
            </w:pPr>
            <w:r>
              <w:rPr>
                <w:rFonts w:ascii="Arial" w:cs="Arial" w:eastAsia="Arial" w:hAnsi="Arial"/>
                <w:sz w:val="18"/>
                <w:szCs w:val="18"/>
                <w:color w:val="auto"/>
                <w:w w:val="87"/>
              </w:rPr>
              <w:t>P. Scott Stubbs</w:t>
            </w:r>
          </w:p>
        </w:tc>
      </w:tr>
      <w:tr>
        <w:trPr>
          <w:trHeight w:val="216"/>
        </w:trPr>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40" w:type="dxa"/>
            <w:vAlign w:val="bottom"/>
          </w:tcPr>
          <w:p>
            <w:pPr>
              <w:jc w:val="center"/>
              <w:spacing w:after="0"/>
              <w:rPr>
                <w:sz w:val="20"/>
                <w:szCs w:val="20"/>
                <w:color w:val="auto"/>
              </w:rPr>
            </w:pPr>
            <w:r>
              <w:rPr>
                <w:rFonts w:ascii="Arial" w:cs="Arial" w:eastAsia="Arial" w:hAnsi="Arial"/>
                <w:sz w:val="18"/>
                <w:szCs w:val="18"/>
                <w:i w:val="1"/>
                <w:iCs w:val="1"/>
                <w:color w:val="auto"/>
                <w:w w:val="91"/>
              </w:rPr>
              <w:t>Executive Vice President and Chief Financial</w:t>
            </w:r>
          </w:p>
        </w:tc>
      </w:tr>
      <w:tr>
        <w:trPr>
          <w:trHeight w:val="230"/>
        </w:trPr>
        <w:tc>
          <w:tcPr>
            <w:tcW w:w="3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40" w:type="dxa"/>
            <w:vAlign w:val="bottom"/>
          </w:tcPr>
          <w:p>
            <w:pPr>
              <w:jc w:val="center"/>
              <w:spacing w:after="0"/>
              <w:rPr>
                <w:sz w:val="20"/>
                <w:szCs w:val="20"/>
                <w:color w:val="auto"/>
              </w:rPr>
            </w:pPr>
            <w:r>
              <w:rPr>
                <w:rFonts w:ascii="Arial" w:cs="Arial" w:eastAsia="Arial" w:hAnsi="Arial"/>
                <w:sz w:val="18"/>
                <w:szCs w:val="18"/>
                <w:i w:val="1"/>
                <w:iCs w:val="1"/>
                <w:color w:val="auto"/>
                <w:w w:val="96"/>
              </w:rPr>
              <w:t>Officer (Principal Financial Officer)</w:t>
            </w:r>
          </w:p>
        </w:tc>
      </w:tr>
      <w:tr>
        <w:trPr>
          <w:trHeight w:val="499"/>
        </w:trPr>
        <w:tc>
          <w:tcPr>
            <w:tcW w:w="3280" w:type="dxa"/>
            <w:vAlign w:val="bottom"/>
          </w:tcPr>
          <w:p>
            <w:pPr>
              <w:spacing w:after="0"/>
              <w:rPr>
                <w:sz w:val="20"/>
                <w:szCs w:val="20"/>
                <w:color w:val="auto"/>
              </w:rPr>
            </w:pPr>
            <w:r>
              <w:rPr>
                <w:rFonts w:ascii="Arial" w:cs="Arial" w:eastAsia="Arial" w:hAnsi="Arial"/>
                <w:sz w:val="18"/>
                <w:szCs w:val="18"/>
                <w:color w:val="auto"/>
              </w:rPr>
              <w:t>Date: February 27, 2017</w:t>
            </w:r>
          </w:p>
        </w:tc>
        <w:tc>
          <w:tcPr>
            <w:tcW w:w="2060" w:type="dxa"/>
            <w:vAlign w:val="bottom"/>
          </w:tcPr>
          <w:p>
            <w:pPr>
              <w:ind w:left="1520"/>
              <w:spacing w:after="0"/>
              <w:rPr>
                <w:sz w:val="20"/>
                <w:szCs w:val="20"/>
                <w:color w:val="auto"/>
              </w:rPr>
            </w:pPr>
            <w:r>
              <w:rPr>
                <w:rFonts w:ascii="Arial" w:cs="Arial" w:eastAsia="Arial" w:hAnsi="Arial"/>
                <w:sz w:val="18"/>
                <w:szCs w:val="18"/>
                <w:color w:val="auto"/>
              </w:rPr>
              <w:t>By:</w:t>
            </w:r>
          </w:p>
        </w:tc>
        <w:tc>
          <w:tcPr>
            <w:tcW w:w="6040" w:type="dxa"/>
            <w:vAlign w:val="bottom"/>
          </w:tcPr>
          <w:p>
            <w:pPr>
              <w:jc w:val="center"/>
              <w:spacing w:after="0"/>
              <w:rPr>
                <w:sz w:val="20"/>
                <w:szCs w:val="20"/>
                <w:color w:val="auto"/>
              </w:rPr>
            </w:pPr>
            <w:r>
              <w:rPr>
                <w:rFonts w:ascii="Arial" w:cs="Arial" w:eastAsia="Arial" w:hAnsi="Arial"/>
                <w:sz w:val="18"/>
                <w:szCs w:val="18"/>
                <w:color w:val="auto"/>
                <w:w w:val="95"/>
              </w:rPr>
              <w:t>/S/ GRACE KUNDE</w:t>
            </w:r>
          </w:p>
        </w:tc>
      </w:tr>
      <w:tr>
        <w:trPr>
          <w:trHeight w:val="27"/>
        </w:trPr>
        <w:tc>
          <w:tcPr>
            <w:tcW w:w="3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22"/>
        </w:trPr>
        <w:tc>
          <w:tcPr>
            <w:tcW w:w="3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40" w:type="dxa"/>
            <w:vAlign w:val="bottom"/>
          </w:tcPr>
          <w:p>
            <w:pPr>
              <w:jc w:val="center"/>
              <w:spacing w:after="0"/>
              <w:rPr>
                <w:sz w:val="20"/>
                <w:szCs w:val="20"/>
                <w:color w:val="auto"/>
              </w:rPr>
            </w:pPr>
            <w:r>
              <w:rPr>
                <w:rFonts w:ascii="Arial" w:cs="Arial" w:eastAsia="Arial" w:hAnsi="Arial"/>
                <w:sz w:val="18"/>
                <w:szCs w:val="18"/>
                <w:color w:val="auto"/>
                <w:w w:val="90"/>
              </w:rPr>
              <w:t>Grace Kunde</w:t>
            </w:r>
          </w:p>
        </w:tc>
      </w:tr>
      <w:tr>
        <w:trPr>
          <w:trHeight w:val="216"/>
        </w:trPr>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4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Accounting and Finance</w:t>
            </w:r>
          </w:p>
        </w:tc>
      </w:tr>
      <w:tr>
        <w:trPr>
          <w:trHeight w:val="230"/>
        </w:trPr>
        <w:tc>
          <w:tcPr>
            <w:tcW w:w="3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Accounting Officer)</w:t>
            </w:r>
          </w:p>
        </w:tc>
      </w:tr>
      <w:tr>
        <w:trPr>
          <w:trHeight w:val="499"/>
        </w:trPr>
        <w:tc>
          <w:tcPr>
            <w:tcW w:w="3280" w:type="dxa"/>
            <w:vAlign w:val="bottom"/>
          </w:tcPr>
          <w:p>
            <w:pPr>
              <w:spacing w:after="0"/>
              <w:rPr>
                <w:sz w:val="20"/>
                <w:szCs w:val="20"/>
                <w:color w:val="auto"/>
              </w:rPr>
            </w:pPr>
            <w:r>
              <w:rPr>
                <w:rFonts w:ascii="Arial" w:cs="Arial" w:eastAsia="Arial" w:hAnsi="Arial"/>
                <w:sz w:val="18"/>
                <w:szCs w:val="18"/>
                <w:color w:val="auto"/>
              </w:rPr>
              <w:t>Date: February 27, 2017</w:t>
            </w:r>
          </w:p>
        </w:tc>
        <w:tc>
          <w:tcPr>
            <w:tcW w:w="2060" w:type="dxa"/>
            <w:vAlign w:val="bottom"/>
          </w:tcPr>
          <w:p>
            <w:pPr>
              <w:ind w:left="1520"/>
              <w:spacing w:after="0"/>
              <w:rPr>
                <w:sz w:val="20"/>
                <w:szCs w:val="20"/>
                <w:color w:val="auto"/>
              </w:rPr>
            </w:pPr>
            <w:r>
              <w:rPr>
                <w:rFonts w:ascii="Arial" w:cs="Arial" w:eastAsia="Arial" w:hAnsi="Arial"/>
                <w:sz w:val="18"/>
                <w:szCs w:val="18"/>
                <w:color w:val="auto"/>
              </w:rPr>
              <w:t>By:</w:t>
            </w:r>
          </w:p>
        </w:tc>
        <w:tc>
          <w:tcPr>
            <w:tcW w:w="6040" w:type="dxa"/>
            <w:vAlign w:val="bottom"/>
          </w:tcPr>
          <w:p>
            <w:pPr>
              <w:jc w:val="center"/>
              <w:spacing w:after="0"/>
              <w:rPr>
                <w:sz w:val="20"/>
                <w:szCs w:val="20"/>
                <w:color w:val="auto"/>
              </w:rPr>
            </w:pPr>
            <w:r>
              <w:rPr>
                <w:rFonts w:ascii="Arial" w:cs="Arial" w:eastAsia="Arial" w:hAnsi="Arial"/>
                <w:sz w:val="18"/>
                <w:szCs w:val="18"/>
                <w:color w:val="auto"/>
                <w:w w:val="98"/>
              </w:rPr>
              <w:t>/S/ KENNETH M. WOOLLEY</w:t>
            </w:r>
          </w:p>
        </w:tc>
      </w:tr>
      <w:tr>
        <w:trPr>
          <w:trHeight w:val="27"/>
        </w:trPr>
        <w:tc>
          <w:tcPr>
            <w:tcW w:w="3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22"/>
        </w:trPr>
        <w:tc>
          <w:tcPr>
            <w:tcW w:w="3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40" w:type="dxa"/>
            <w:vAlign w:val="bottom"/>
          </w:tcPr>
          <w:p>
            <w:pPr>
              <w:jc w:val="center"/>
              <w:spacing w:after="0"/>
              <w:rPr>
                <w:sz w:val="20"/>
                <w:szCs w:val="20"/>
                <w:color w:val="auto"/>
              </w:rPr>
            </w:pPr>
            <w:r>
              <w:rPr>
                <w:rFonts w:ascii="Arial" w:cs="Arial" w:eastAsia="Arial" w:hAnsi="Arial"/>
                <w:sz w:val="18"/>
                <w:szCs w:val="18"/>
                <w:color w:val="auto"/>
                <w:w w:val="94"/>
              </w:rPr>
              <w:t>Kenneth M. Woolley</w:t>
            </w:r>
          </w:p>
        </w:tc>
      </w:tr>
      <w:tr>
        <w:trPr>
          <w:trHeight w:val="230"/>
        </w:trPr>
        <w:tc>
          <w:tcPr>
            <w:tcW w:w="3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40" w:type="dxa"/>
            <w:vAlign w:val="bottom"/>
          </w:tcPr>
          <w:p>
            <w:pPr>
              <w:jc w:val="center"/>
              <w:spacing w:after="0"/>
              <w:rPr>
                <w:sz w:val="20"/>
                <w:szCs w:val="20"/>
                <w:color w:val="auto"/>
              </w:rPr>
            </w:pPr>
            <w:r>
              <w:rPr>
                <w:rFonts w:ascii="Arial" w:cs="Arial" w:eastAsia="Arial" w:hAnsi="Arial"/>
                <w:sz w:val="18"/>
                <w:szCs w:val="18"/>
                <w:i w:val="1"/>
                <w:iCs w:val="1"/>
                <w:color w:val="auto"/>
                <w:w w:val="91"/>
              </w:rPr>
              <w:t>Executive Chairman</w:t>
            </w:r>
          </w:p>
        </w:tc>
      </w:tr>
      <w:tr>
        <w:trPr>
          <w:trHeight w:val="499"/>
        </w:trPr>
        <w:tc>
          <w:tcPr>
            <w:tcW w:w="3280" w:type="dxa"/>
            <w:vAlign w:val="bottom"/>
          </w:tcPr>
          <w:p>
            <w:pPr>
              <w:spacing w:after="0"/>
              <w:rPr>
                <w:sz w:val="20"/>
                <w:szCs w:val="20"/>
                <w:color w:val="auto"/>
              </w:rPr>
            </w:pPr>
            <w:r>
              <w:rPr>
                <w:rFonts w:ascii="Arial" w:cs="Arial" w:eastAsia="Arial" w:hAnsi="Arial"/>
                <w:sz w:val="18"/>
                <w:szCs w:val="18"/>
                <w:color w:val="auto"/>
              </w:rPr>
              <w:t>Date: February 27, 2017</w:t>
            </w:r>
          </w:p>
        </w:tc>
        <w:tc>
          <w:tcPr>
            <w:tcW w:w="2060" w:type="dxa"/>
            <w:vAlign w:val="bottom"/>
          </w:tcPr>
          <w:p>
            <w:pPr>
              <w:ind w:left="1520"/>
              <w:spacing w:after="0"/>
              <w:rPr>
                <w:sz w:val="20"/>
                <w:szCs w:val="20"/>
                <w:color w:val="auto"/>
              </w:rPr>
            </w:pPr>
            <w:r>
              <w:rPr>
                <w:rFonts w:ascii="Arial" w:cs="Arial" w:eastAsia="Arial" w:hAnsi="Arial"/>
                <w:sz w:val="18"/>
                <w:szCs w:val="18"/>
                <w:color w:val="auto"/>
              </w:rPr>
              <w:t>By:</w:t>
            </w:r>
          </w:p>
        </w:tc>
        <w:tc>
          <w:tcPr>
            <w:tcW w:w="6040" w:type="dxa"/>
            <w:vAlign w:val="bottom"/>
          </w:tcPr>
          <w:p>
            <w:pPr>
              <w:jc w:val="center"/>
              <w:spacing w:after="0"/>
              <w:rPr>
                <w:sz w:val="20"/>
                <w:szCs w:val="20"/>
                <w:color w:val="auto"/>
              </w:rPr>
            </w:pPr>
            <w:r>
              <w:rPr>
                <w:rFonts w:ascii="Arial" w:cs="Arial" w:eastAsia="Arial" w:hAnsi="Arial"/>
                <w:sz w:val="18"/>
                <w:szCs w:val="18"/>
                <w:color w:val="auto"/>
                <w:w w:val="99"/>
              </w:rPr>
              <w:t>/S/ KARL HAAS</w:t>
            </w:r>
          </w:p>
        </w:tc>
      </w:tr>
      <w:tr>
        <w:trPr>
          <w:trHeight w:val="27"/>
        </w:trPr>
        <w:tc>
          <w:tcPr>
            <w:tcW w:w="3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22"/>
        </w:trPr>
        <w:tc>
          <w:tcPr>
            <w:tcW w:w="3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40" w:type="dxa"/>
            <w:vAlign w:val="bottom"/>
          </w:tcPr>
          <w:p>
            <w:pPr>
              <w:jc w:val="center"/>
              <w:spacing w:after="0"/>
              <w:rPr>
                <w:sz w:val="20"/>
                <w:szCs w:val="20"/>
                <w:color w:val="auto"/>
              </w:rPr>
            </w:pPr>
            <w:r>
              <w:rPr>
                <w:rFonts w:ascii="Arial" w:cs="Arial" w:eastAsia="Arial" w:hAnsi="Arial"/>
                <w:sz w:val="18"/>
                <w:szCs w:val="18"/>
                <w:color w:val="auto"/>
                <w:w w:val="91"/>
              </w:rPr>
              <w:t>Karl Haas</w:t>
            </w:r>
          </w:p>
        </w:tc>
      </w:tr>
      <w:tr>
        <w:trPr>
          <w:trHeight w:val="230"/>
        </w:trPr>
        <w:tc>
          <w:tcPr>
            <w:tcW w:w="3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499"/>
        </w:trPr>
        <w:tc>
          <w:tcPr>
            <w:tcW w:w="3280" w:type="dxa"/>
            <w:vAlign w:val="bottom"/>
          </w:tcPr>
          <w:p>
            <w:pPr>
              <w:spacing w:after="0"/>
              <w:rPr>
                <w:sz w:val="20"/>
                <w:szCs w:val="20"/>
                <w:color w:val="auto"/>
              </w:rPr>
            </w:pPr>
            <w:r>
              <w:rPr>
                <w:rFonts w:ascii="Arial" w:cs="Arial" w:eastAsia="Arial" w:hAnsi="Arial"/>
                <w:sz w:val="18"/>
                <w:szCs w:val="18"/>
                <w:color w:val="auto"/>
              </w:rPr>
              <w:t>Date: February 27, 2017</w:t>
            </w:r>
          </w:p>
        </w:tc>
        <w:tc>
          <w:tcPr>
            <w:tcW w:w="2060" w:type="dxa"/>
            <w:vAlign w:val="bottom"/>
          </w:tcPr>
          <w:p>
            <w:pPr>
              <w:ind w:left="1520"/>
              <w:spacing w:after="0"/>
              <w:rPr>
                <w:sz w:val="20"/>
                <w:szCs w:val="20"/>
                <w:color w:val="auto"/>
              </w:rPr>
            </w:pPr>
            <w:r>
              <w:rPr>
                <w:rFonts w:ascii="Arial" w:cs="Arial" w:eastAsia="Arial" w:hAnsi="Arial"/>
                <w:sz w:val="18"/>
                <w:szCs w:val="18"/>
                <w:color w:val="auto"/>
              </w:rPr>
              <w:t>By:</w:t>
            </w:r>
          </w:p>
        </w:tc>
        <w:tc>
          <w:tcPr>
            <w:tcW w:w="6040" w:type="dxa"/>
            <w:vAlign w:val="bottom"/>
          </w:tcPr>
          <w:p>
            <w:pPr>
              <w:jc w:val="center"/>
              <w:spacing w:after="0"/>
              <w:rPr>
                <w:sz w:val="20"/>
                <w:szCs w:val="20"/>
                <w:color w:val="auto"/>
              </w:rPr>
            </w:pPr>
            <w:r>
              <w:rPr>
                <w:rFonts w:ascii="Arial" w:cs="Arial" w:eastAsia="Arial" w:hAnsi="Arial"/>
                <w:sz w:val="18"/>
                <w:szCs w:val="18"/>
                <w:color w:val="auto"/>
                <w:w w:val="92"/>
              </w:rPr>
              <w:t>/S/ SPENCER F. KIRK</w:t>
            </w:r>
          </w:p>
        </w:tc>
      </w:tr>
      <w:tr>
        <w:trPr>
          <w:trHeight w:val="27"/>
        </w:trPr>
        <w:tc>
          <w:tcPr>
            <w:tcW w:w="3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22"/>
        </w:trPr>
        <w:tc>
          <w:tcPr>
            <w:tcW w:w="3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40" w:type="dxa"/>
            <w:vAlign w:val="bottom"/>
          </w:tcPr>
          <w:p>
            <w:pPr>
              <w:jc w:val="center"/>
              <w:spacing w:after="0"/>
              <w:rPr>
                <w:sz w:val="20"/>
                <w:szCs w:val="20"/>
                <w:color w:val="auto"/>
              </w:rPr>
            </w:pPr>
            <w:r>
              <w:rPr>
                <w:rFonts w:ascii="Arial" w:cs="Arial" w:eastAsia="Arial" w:hAnsi="Arial"/>
                <w:sz w:val="18"/>
                <w:szCs w:val="18"/>
                <w:color w:val="auto"/>
                <w:w w:val="90"/>
              </w:rPr>
              <w:t>Spencer F. Kirk</w:t>
            </w:r>
          </w:p>
        </w:tc>
      </w:tr>
      <w:tr>
        <w:trPr>
          <w:trHeight w:val="230"/>
        </w:trPr>
        <w:tc>
          <w:tcPr>
            <w:tcW w:w="3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499"/>
        </w:trPr>
        <w:tc>
          <w:tcPr>
            <w:tcW w:w="3280" w:type="dxa"/>
            <w:vAlign w:val="bottom"/>
          </w:tcPr>
          <w:p>
            <w:pPr>
              <w:spacing w:after="0"/>
              <w:rPr>
                <w:sz w:val="20"/>
                <w:szCs w:val="20"/>
                <w:color w:val="auto"/>
              </w:rPr>
            </w:pPr>
            <w:r>
              <w:rPr>
                <w:rFonts w:ascii="Arial" w:cs="Arial" w:eastAsia="Arial" w:hAnsi="Arial"/>
                <w:sz w:val="18"/>
                <w:szCs w:val="18"/>
                <w:color w:val="auto"/>
              </w:rPr>
              <w:t>Date: February 27, 2017</w:t>
            </w:r>
          </w:p>
        </w:tc>
        <w:tc>
          <w:tcPr>
            <w:tcW w:w="2060" w:type="dxa"/>
            <w:vAlign w:val="bottom"/>
          </w:tcPr>
          <w:p>
            <w:pPr>
              <w:ind w:left="1520"/>
              <w:spacing w:after="0"/>
              <w:rPr>
                <w:sz w:val="20"/>
                <w:szCs w:val="20"/>
                <w:color w:val="auto"/>
              </w:rPr>
            </w:pPr>
            <w:r>
              <w:rPr>
                <w:rFonts w:ascii="Arial" w:cs="Arial" w:eastAsia="Arial" w:hAnsi="Arial"/>
                <w:sz w:val="18"/>
                <w:szCs w:val="18"/>
                <w:color w:val="auto"/>
              </w:rPr>
              <w:t>By:</w:t>
            </w:r>
          </w:p>
        </w:tc>
        <w:tc>
          <w:tcPr>
            <w:tcW w:w="6040" w:type="dxa"/>
            <w:vAlign w:val="bottom"/>
          </w:tcPr>
          <w:p>
            <w:pPr>
              <w:jc w:val="center"/>
              <w:spacing w:after="0"/>
              <w:rPr>
                <w:sz w:val="20"/>
                <w:szCs w:val="20"/>
                <w:color w:val="auto"/>
              </w:rPr>
            </w:pPr>
            <w:r>
              <w:rPr>
                <w:rFonts w:ascii="Arial" w:cs="Arial" w:eastAsia="Arial" w:hAnsi="Arial"/>
                <w:sz w:val="18"/>
                <w:szCs w:val="18"/>
                <w:color w:val="auto"/>
                <w:w w:val="98"/>
              </w:rPr>
              <w:t>/S/ DENNIS LETHAM</w:t>
            </w:r>
          </w:p>
        </w:tc>
      </w:tr>
      <w:tr>
        <w:trPr>
          <w:trHeight w:val="27"/>
        </w:trPr>
        <w:tc>
          <w:tcPr>
            <w:tcW w:w="3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22"/>
        </w:trPr>
        <w:tc>
          <w:tcPr>
            <w:tcW w:w="3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40" w:type="dxa"/>
            <w:vAlign w:val="bottom"/>
          </w:tcPr>
          <w:p>
            <w:pPr>
              <w:jc w:val="center"/>
              <w:spacing w:after="0"/>
              <w:rPr>
                <w:sz w:val="20"/>
                <w:szCs w:val="20"/>
                <w:color w:val="auto"/>
              </w:rPr>
            </w:pPr>
            <w:r>
              <w:rPr>
                <w:rFonts w:ascii="Arial" w:cs="Arial" w:eastAsia="Arial" w:hAnsi="Arial"/>
                <w:sz w:val="18"/>
                <w:szCs w:val="18"/>
                <w:color w:val="auto"/>
                <w:w w:val="92"/>
              </w:rPr>
              <w:t>Dennis Letham</w:t>
            </w:r>
          </w:p>
        </w:tc>
      </w:tr>
      <w:tr>
        <w:trPr>
          <w:trHeight w:val="230"/>
        </w:trPr>
        <w:tc>
          <w:tcPr>
            <w:tcW w:w="3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499"/>
        </w:trPr>
        <w:tc>
          <w:tcPr>
            <w:tcW w:w="3280" w:type="dxa"/>
            <w:vAlign w:val="bottom"/>
          </w:tcPr>
          <w:p>
            <w:pPr>
              <w:spacing w:after="0"/>
              <w:rPr>
                <w:sz w:val="20"/>
                <w:szCs w:val="20"/>
                <w:color w:val="auto"/>
              </w:rPr>
            </w:pPr>
            <w:r>
              <w:rPr>
                <w:rFonts w:ascii="Arial" w:cs="Arial" w:eastAsia="Arial" w:hAnsi="Arial"/>
                <w:sz w:val="18"/>
                <w:szCs w:val="18"/>
                <w:color w:val="auto"/>
              </w:rPr>
              <w:t>Date: February 27, 2017</w:t>
            </w:r>
          </w:p>
        </w:tc>
        <w:tc>
          <w:tcPr>
            <w:tcW w:w="2060" w:type="dxa"/>
            <w:vAlign w:val="bottom"/>
          </w:tcPr>
          <w:p>
            <w:pPr>
              <w:ind w:left="1520"/>
              <w:spacing w:after="0"/>
              <w:rPr>
                <w:sz w:val="20"/>
                <w:szCs w:val="20"/>
                <w:color w:val="auto"/>
              </w:rPr>
            </w:pPr>
            <w:r>
              <w:rPr>
                <w:rFonts w:ascii="Arial" w:cs="Arial" w:eastAsia="Arial" w:hAnsi="Arial"/>
                <w:sz w:val="18"/>
                <w:szCs w:val="18"/>
                <w:color w:val="auto"/>
              </w:rPr>
              <w:t>By:</w:t>
            </w:r>
          </w:p>
        </w:tc>
        <w:tc>
          <w:tcPr>
            <w:tcW w:w="6040" w:type="dxa"/>
            <w:vAlign w:val="bottom"/>
          </w:tcPr>
          <w:p>
            <w:pPr>
              <w:jc w:val="center"/>
              <w:spacing w:after="0"/>
              <w:rPr>
                <w:sz w:val="20"/>
                <w:szCs w:val="20"/>
                <w:color w:val="auto"/>
              </w:rPr>
            </w:pPr>
            <w:r>
              <w:rPr>
                <w:rFonts w:ascii="Arial" w:cs="Arial" w:eastAsia="Arial" w:hAnsi="Arial"/>
                <w:sz w:val="18"/>
                <w:szCs w:val="18"/>
                <w:color w:val="auto"/>
                <w:w w:val="98"/>
              </w:rPr>
              <w:t>/S/ DIANE OLMSTEAD</w:t>
            </w:r>
          </w:p>
        </w:tc>
      </w:tr>
      <w:tr>
        <w:trPr>
          <w:trHeight w:val="27"/>
        </w:trPr>
        <w:tc>
          <w:tcPr>
            <w:tcW w:w="3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22"/>
        </w:trPr>
        <w:tc>
          <w:tcPr>
            <w:tcW w:w="3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40" w:type="dxa"/>
            <w:vAlign w:val="bottom"/>
          </w:tcPr>
          <w:p>
            <w:pPr>
              <w:jc w:val="center"/>
              <w:spacing w:after="0"/>
              <w:rPr>
                <w:sz w:val="20"/>
                <w:szCs w:val="20"/>
                <w:color w:val="auto"/>
              </w:rPr>
            </w:pPr>
            <w:r>
              <w:rPr>
                <w:rFonts w:ascii="Arial" w:cs="Arial" w:eastAsia="Arial" w:hAnsi="Arial"/>
                <w:sz w:val="18"/>
                <w:szCs w:val="18"/>
                <w:color w:val="auto"/>
                <w:w w:val="89"/>
              </w:rPr>
              <w:t>Diane Olmstead</w:t>
            </w:r>
          </w:p>
        </w:tc>
      </w:tr>
      <w:tr>
        <w:trPr>
          <w:trHeight w:val="230"/>
        </w:trPr>
        <w:tc>
          <w:tcPr>
            <w:tcW w:w="3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499"/>
        </w:trPr>
        <w:tc>
          <w:tcPr>
            <w:tcW w:w="3280" w:type="dxa"/>
            <w:vAlign w:val="bottom"/>
          </w:tcPr>
          <w:p>
            <w:pPr>
              <w:spacing w:after="0"/>
              <w:rPr>
                <w:sz w:val="20"/>
                <w:szCs w:val="20"/>
                <w:color w:val="auto"/>
              </w:rPr>
            </w:pPr>
            <w:r>
              <w:rPr>
                <w:rFonts w:ascii="Arial" w:cs="Arial" w:eastAsia="Arial" w:hAnsi="Arial"/>
                <w:sz w:val="18"/>
                <w:szCs w:val="18"/>
                <w:color w:val="auto"/>
              </w:rPr>
              <w:t>Date: February 27, 2017</w:t>
            </w:r>
          </w:p>
        </w:tc>
        <w:tc>
          <w:tcPr>
            <w:tcW w:w="2060" w:type="dxa"/>
            <w:vAlign w:val="bottom"/>
          </w:tcPr>
          <w:p>
            <w:pPr>
              <w:ind w:left="1520"/>
              <w:spacing w:after="0"/>
              <w:rPr>
                <w:sz w:val="20"/>
                <w:szCs w:val="20"/>
                <w:color w:val="auto"/>
              </w:rPr>
            </w:pPr>
            <w:r>
              <w:rPr>
                <w:rFonts w:ascii="Arial" w:cs="Arial" w:eastAsia="Arial" w:hAnsi="Arial"/>
                <w:sz w:val="18"/>
                <w:szCs w:val="18"/>
                <w:color w:val="auto"/>
              </w:rPr>
              <w:t>By:</w:t>
            </w:r>
          </w:p>
        </w:tc>
        <w:tc>
          <w:tcPr>
            <w:tcW w:w="6040" w:type="dxa"/>
            <w:vAlign w:val="bottom"/>
          </w:tcPr>
          <w:p>
            <w:pPr>
              <w:jc w:val="center"/>
              <w:spacing w:after="0"/>
              <w:rPr>
                <w:sz w:val="20"/>
                <w:szCs w:val="20"/>
                <w:color w:val="auto"/>
              </w:rPr>
            </w:pPr>
            <w:r>
              <w:rPr>
                <w:rFonts w:ascii="Arial" w:cs="Arial" w:eastAsia="Arial" w:hAnsi="Arial"/>
                <w:sz w:val="18"/>
                <w:szCs w:val="18"/>
                <w:color w:val="auto"/>
                <w:w w:val="92"/>
              </w:rPr>
              <w:t>/S/ ROGER B. PORTER</w:t>
            </w:r>
          </w:p>
        </w:tc>
      </w:tr>
      <w:tr>
        <w:trPr>
          <w:trHeight w:val="27"/>
        </w:trPr>
        <w:tc>
          <w:tcPr>
            <w:tcW w:w="3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22"/>
        </w:trPr>
        <w:tc>
          <w:tcPr>
            <w:tcW w:w="3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40" w:type="dxa"/>
            <w:vAlign w:val="bottom"/>
          </w:tcPr>
          <w:p>
            <w:pPr>
              <w:jc w:val="center"/>
              <w:spacing w:after="0"/>
              <w:rPr>
                <w:sz w:val="20"/>
                <w:szCs w:val="20"/>
                <w:color w:val="auto"/>
              </w:rPr>
            </w:pPr>
            <w:r>
              <w:rPr>
                <w:rFonts w:ascii="Arial" w:cs="Arial" w:eastAsia="Arial" w:hAnsi="Arial"/>
                <w:sz w:val="18"/>
                <w:szCs w:val="18"/>
                <w:color w:val="auto"/>
                <w:w w:val="89"/>
              </w:rPr>
              <w:t>Roger B. Porter</w:t>
            </w:r>
          </w:p>
        </w:tc>
      </w:tr>
      <w:tr>
        <w:trPr>
          <w:trHeight w:val="230"/>
        </w:trPr>
        <w:tc>
          <w:tcPr>
            <w:tcW w:w="3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499"/>
        </w:trPr>
        <w:tc>
          <w:tcPr>
            <w:tcW w:w="3280" w:type="dxa"/>
            <w:vAlign w:val="bottom"/>
          </w:tcPr>
          <w:p>
            <w:pPr>
              <w:spacing w:after="0"/>
              <w:rPr>
                <w:sz w:val="20"/>
                <w:szCs w:val="20"/>
                <w:color w:val="auto"/>
              </w:rPr>
            </w:pPr>
            <w:r>
              <w:rPr>
                <w:rFonts w:ascii="Arial" w:cs="Arial" w:eastAsia="Arial" w:hAnsi="Arial"/>
                <w:sz w:val="18"/>
                <w:szCs w:val="18"/>
                <w:color w:val="auto"/>
              </w:rPr>
              <w:t>Date: February 27, 2017</w:t>
            </w:r>
          </w:p>
        </w:tc>
        <w:tc>
          <w:tcPr>
            <w:tcW w:w="2060" w:type="dxa"/>
            <w:vAlign w:val="bottom"/>
          </w:tcPr>
          <w:p>
            <w:pPr>
              <w:ind w:left="1520"/>
              <w:spacing w:after="0"/>
              <w:rPr>
                <w:sz w:val="20"/>
                <w:szCs w:val="20"/>
                <w:color w:val="auto"/>
              </w:rPr>
            </w:pPr>
            <w:r>
              <w:rPr>
                <w:rFonts w:ascii="Arial" w:cs="Arial" w:eastAsia="Arial" w:hAnsi="Arial"/>
                <w:sz w:val="18"/>
                <w:szCs w:val="18"/>
                <w:color w:val="auto"/>
              </w:rPr>
              <w:t>By:</w:t>
            </w:r>
          </w:p>
        </w:tc>
        <w:tc>
          <w:tcPr>
            <w:tcW w:w="6040" w:type="dxa"/>
            <w:vAlign w:val="bottom"/>
          </w:tcPr>
          <w:p>
            <w:pPr>
              <w:jc w:val="center"/>
              <w:spacing w:after="0"/>
              <w:rPr>
                <w:sz w:val="20"/>
                <w:szCs w:val="20"/>
                <w:color w:val="auto"/>
              </w:rPr>
            </w:pPr>
            <w:r>
              <w:rPr>
                <w:rFonts w:ascii="Arial" w:cs="Arial" w:eastAsia="Arial" w:hAnsi="Arial"/>
                <w:sz w:val="18"/>
                <w:szCs w:val="18"/>
                <w:color w:val="auto"/>
                <w:w w:val="94"/>
              </w:rPr>
              <w:t>/S/ K. FRED SKOUSEN</w:t>
            </w:r>
          </w:p>
        </w:tc>
      </w:tr>
      <w:tr>
        <w:trPr>
          <w:trHeight w:val="27"/>
        </w:trPr>
        <w:tc>
          <w:tcPr>
            <w:tcW w:w="3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22"/>
        </w:trPr>
        <w:tc>
          <w:tcPr>
            <w:tcW w:w="3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40" w:type="dxa"/>
            <w:vAlign w:val="bottom"/>
          </w:tcPr>
          <w:p>
            <w:pPr>
              <w:jc w:val="center"/>
              <w:spacing w:after="0"/>
              <w:rPr>
                <w:sz w:val="20"/>
                <w:szCs w:val="20"/>
                <w:color w:val="auto"/>
              </w:rPr>
            </w:pPr>
            <w:r>
              <w:rPr>
                <w:rFonts w:ascii="Arial" w:cs="Arial" w:eastAsia="Arial" w:hAnsi="Arial"/>
                <w:sz w:val="18"/>
                <w:szCs w:val="18"/>
                <w:color w:val="auto"/>
                <w:w w:val="89"/>
              </w:rPr>
              <w:t>K. Fred Skousen</w:t>
            </w:r>
          </w:p>
        </w:tc>
      </w:tr>
      <w:tr>
        <w:trPr>
          <w:trHeight w:val="230"/>
        </w:trPr>
        <w:tc>
          <w:tcPr>
            <w:tcW w:w="3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20"/>
          </w:cols>
          <w:pgMar w:left="240" w:top="796" w:right="239" w:bottom="1440" w:gutter="0" w:footer="0" w:header="0"/>
          <w:type w:val="continuous"/>
        </w:sectPr>
      </w:pPr>
    </w:p>
    <w:bookmarkStart w:id="123" w:name="page124"/>
    <w:bookmarkEnd w:id="123"/>
    <w:tbl>
      <w:tblPr>
        <w:tblLayout w:type="fixed"/>
        <w:tblInd w:w="4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3180" w:type="dxa"/>
            <w:vAlign w:val="bottom"/>
          </w:tcPr>
          <w:p>
            <w:pPr>
              <w:ind w:left="2260"/>
              <w:spacing w:after="0"/>
              <w:rPr>
                <w:sz w:val="20"/>
                <w:szCs w:val="20"/>
                <w:color w:val="auto"/>
              </w:rPr>
            </w:pPr>
            <w:r>
              <w:rPr>
                <w:rFonts w:ascii="Arial" w:cs="Arial" w:eastAsia="Arial" w:hAnsi="Arial"/>
                <w:sz w:val="18"/>
                <w:szCs w:val="18"/>
                <w:b w:val="1"/>
                <w:bCs w:val="1"/>
                <w:color w:val="auto"/>
                <w:w w:val="89"/>
              </w:rPr>
              <w:t>Exhibit 21.1</w:t>
            </w:r>
          </w:p>
        </w:tc>
      </w:tr>
      <w:tr>
        <w:trPr>
          <w:trHeight w:val="911"/>
        </w:trPr>
        <w:tc>
          <w:tcPr>
            <w:tcW w:w="82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1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Jurisdiction of Formation/Incorporation</w:t>
            </w:r>
          </w:p>
        </w:tc>
      </w:tr>
      <w:tr>
        <w:trPr>
          <w:trHeight w:val="243"/>
        </w:trPr>
        <w:tc>
          <w:tcPr>
            <w:tcW w:w="8200" w:type="dxa"/>
            <w:vAlign w:val="bottom"/>
          </w:tcPr>
          <w:p>
            <w:pPr>
              <w:spacing w:after="0"/>
              <w:rPr>
                <w:sz w:val="20"/>
                <w:szCs w:val="20"/>
                <w:color w:val="auto"/>
              </w:rPr>
            </w:pPr>
            <w:r>
              <w:rPr>
                <w:rFonts w:ascii="Arial" w:cs="Arial" w:eastAsia="Arial" w:hAnsi="Arial"/>
                <w:sz w:val="18"/>
                <w:szCs w:val="18"/>
                <w:color w:val="auto"/>
              </w:rPr>
              <w:t>Extra Space Storage LP</w:t>
            </w: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pacing w:after="0" w:line="22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list above excludes consolidated wholly-owned subsidiaries carrying on the same line of business (the ownership and operation of commercial real estate). The list also excludes other subsidiaries which, considered in the aggregate as a single subsidiary, would not constitute a significant subsidiary as of December 31, 2016. A total of 279 subsidiaries have been excluded, each of which operates in the United States [other than one subsidiary which operates in Bermuda].</w:t>
      </w:r>
    </w:p>
    <w:p>
      <w:pPr>
        <w:sectPr>
          <w:pgSz w:w="11900" w:h="16838" w:orient="portrait"/>
          <w:cols w:equalWidth="0" w:num="1">
            <w:col w:w="11420"/>
          </w:cols>
          <w:pgMar w:left="240" w:top="580"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44" w:lineRule="exact"/>
        <w:rPr>
          <w:sz w:val="20"/>
          <w:szCs w:val="20"/>
          <w:color w:val="auto"/>
        </w:rPr>
      </w:pPr>
    </w:p>
    <w:p>
      <w:pPr>
        <w:ind w:left="800" w:hanging="387"/>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Registration Statement (Form S-3 No. 333-211126) of Extra Space Storage Inc.,</w:t>
      </w:r>
    </w:p>
    <w:p>
      <w:pPr>
        <w:spacing w:after="0" w:line="157" w:lineRule="exact"/>
        <w:rPr>
          <w:rFonts w:ascii="Arial" w:cs="Arial" w:eastAsia="Arial" w:hAnsi="Arial"/>
          <w:sz w:val="18"/>
          <w:szCs w:val="18"/>
          <w:color w:val="auto"/>
        </w:rPr>
      </w:pPr>
    </w:p>
    <w:p>
      <w:pPr>
        <w:ind w:left="800" w:hanging="387"/>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Registration Statement (Form S-3 No. 333-211125) of Extra Space Storage Inc.,</w:t>
      </w:r>
    </w:p>
    <w:p>
      <w:pPr>
        <w:spacing w:after="0" w:line="157" w:lineRule="exact"/>
        <w:rPr>
          <w:rFonts w:ascii="Arial" w:cs="Arial" w:eastAsia="Arial" w:hAnsi="Arial"/>
          <w:sz w:val="18"/>
          <w:szCs w:val="18"/>
          <w:color w:val="auto"/>
        </w:rPr>
      </w:pPr>
    </w:p>
    <w:p>
      <w:pPr>
        <w:ind w:left="800" w:hanging="387"/>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Registration Statement (Form S-8 No. 333-204010) pertaining to the 2015 Incentive Award Plan of Extra Space Storage Inc.,</w:t>
      </w:r>
    </w:p>
    <w:p>
      <w:pPr>
        <w:spacing w:after="0" w:line="157" w:lineRule="exact"/>
        <w:rPr>
          <w:rFonts w:ascii="Arial" w:cs="Arial" w:eastAsia="Arial" w:hAnsi="Arial"/>
          <w:sz w:val="18"/>
          <w:szCs w:val="18"/>
          <w:color w:val="auto"/>
        </w:rPr>
      </w:pPr>
    </w:p>
    <w:p>
      <w:pPr>
        <w:ind w:left="800" w:hanging="387"/>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Registration Statement (Form S-3 No. 333-198215) of Extra Space Storage Inc.,</w:t>
      </w:r>
    </w:p>
    <w:p>
      <w:pPr>
        <w:spacing w:after="0" w:line="157" w:lineRule="exact"/>
        <w:rPr>
          <w:rFonts w:ascii="Arial" w:cs="Arial" w:eastAsia="Arial" w:hAnsi="Arial"/>
          <w:sz w:val="18"/>
          <w:szCs w:val="18"/>
          <w:color w:val="auto"/>
        </w:rPr>
      </w:pPr>
    </w:p>
    <w:p>
      <w:pPr>
        <w:ind w:left="800" w:hanging="387"/>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Registration Statement (Form S-3 No. 333-198194) of Extra Space Storage Inc.,</w:t>
      </w:r>
    </w:p>
    <w:p>
      <w:pPr>
        <w:spacing w:after="0" w:line="157" w:lineRule="exact"/>
        <w:rPr>
          <w:rFonts w:ascii="Arial" w:cs="Arial" w:eastAsia="Arial" w:hAnsi="Arial"/>
          <w:sz w:val="18"/>
          <w:szCs w:val="18"/>
          <w:color w:val="auto"/>
        </w:rPr>
      </w:pPr>
    </w:p>
    <w:p>
      <w:pPr>
        <w:ind w:left="800" w:hanging="387"/>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Registration Statement (Form S-3 No. 333-190928) of Extra Space Storage Inc.,</w:t>
      </w:r>
    </w:p>
    <w:p>
      <w:pPr>
        <w:spacing w:after="0" w:line="157" w:lineRule="exact"/>
        <w:rPr>
          <w:rFonts w:ascii="Arial" w:cs="Arial" w:eastAsia="Arial" w:hAnsi="Arial"/>
          <w:sz w:val="18"/>
          <w:szCs w:val="18"/>
          <w:color w:val="auto"/>
        </w:rPr>
      </w:pPr>
    </w:p>
    <w:p>
      <w:pPr>
        <w:ind w:left="800" w:hanging="387"/>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Registration Statement (Form S-3 No. 333-176296) of Extra Space Storage Inc.,</w:t>
      </w:r>
    </w:p>
    <w:p>
      <w:pPr>
        <w:spacing w:after="0" w:line="157" w:lineRule="exact"/>
        <w:rPr>
          <w:rFonts w:ascii="Arial" w:cs="Arial" w:eastAsia="Arial" w:hAnsi="Arial"/>
          <w:sz w:val="18"/>
          <w:szCs w:val="18"/>
          <w:color w:val="auto"/>
        </w:rPr>
      </w:pPr>
    </w:p>
    <w:p>
      <w:pPr>
        <w:ind w:left="800" w:hanging="387"/>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Registration Statement (Form S-3 No. 333-176277) of Extra Space Storage Inc.,</w:t>
      </w:r>
    </w:p>
    <w:p>
      <w:pPr>
        <w:spacing w:after="0" w:line="157" w:lineRule="exact"/>
        <w:rPr>
          <w:rFonts w:ascii="Arial" w:cs="Arial" w:eastAsia="Arial" w:hAnsi="Arial"/>
          <w:sz w:val="18"/>
          <w:szCs w:val="18"/>
          <w:color w:val="auto"/>
        </w:rPr>
      </w:pPr>
    </w:p>
    <w:p>
      <w:pPr>
        <w:ind w:left="800" w:hanging="387"/>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Registration Statement (Form S-3 No. 333-176276) of Extra Space Storage Inc.,</w:t>
      </w:r>
    </w:p>
    <w:p>
      <w:pPr>
        <w:spacing w:after="0" w:line="157" w:lineRule="exact"/>
        <w:rPr>
          <w:rFonts w:ascii="Arial" w:cs="Arial" w:eastAsia="Arial" w:hAnsi="Arial"/>
          <w:sz w:val="18"/>
          <w:szCs w:val="18"/>
          <w:color w:val="auto"/>
        </w:rPr>
      </w:pPr>
    </w:p>
    <w:p>
      <w:pPr>
        <w:ind w:left="900" w:hanging="487"/>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Registration Statement (Form S-8 No. 333-157559) pertaining to the 401 (k) Plan of Extra Space Storage Inc.,</w:t>
      </w:r>
    </w:p>
    <w:p>
      <w:pPr>
        <w:spacing w:after="0" w:line="157" w:lineRule="exact"/>
        <w:rPr>
          <w:rFonts w:ascii="Arial" w:cs="Arial" w:eastAsia="Arial" w:hAnsi="Arial"/>
          <w:sz w:val="18"/>
          <w:szCs w:val="18"/>
          <w:color w:val="auto"/>
        </w:rPr>
      </w:pPr>
    </w:p>
    <w:p>
      <w:pPr>
        <w:ind w:left="880" w:hanging="46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Registration Statement (Form S-3 No. 333-153082) of Extra Space Storage Inc.,</w:t>
      </w:r>
    </w:p>
    <w:p>
      <w:pPr>
        <w:spacing w:after="0" w:line="157" w:lineRule="exact"/>
        <w:rPr>
          <w:rFonts w:ascii="Arial" w:cs="Arial" w:eastAsia="Arial" w:hAnsi="Arial"/>
          <w:sz w:val="18"/>
          <w:szCs w:val="18"/>
          <w:color w:val="auto"/>
        </w:rPr>
      </w:pPr>
    </w:p>
    <w:p>
      <w:pPr>
        <w:ind w:left="900" w:hanging="487"/>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Registration Statement (Form S-3 No. 333-153081) of Extra Space Storage Inc.,</w:t>
      </w:r>
    </w:p>
    <w:p>
      <w:pPr>
        <w:spacing w:after="0" w:line="157" w:lineRule="exact"/>
        <w:rPr>
          <w:rFonts w:ascii="Arial" w:cs="Arial" w:eastAsia="Arial" w:hAnsi="Arial"/>
          <w:sz w:val="18"/>
          <w:szCs w:val="18"/>
          <w:color w:val="auto"/>
        </w:rPr>
      </w:pPr>
    </w:p>
    <w:p>
      <w:pPr>
        <w:ind w:left="900" w:hanging="487"/>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Registration Statement (Form S-3 No. 333-142816) of Extra Space Storage Inc.,</w:t>
      </w:r>
    </w:p>
    <w:p>
      <w:pPr>
        <w:spacing w:after="0" w:line="157" w:lineRule="exact"/>
        <w:rPr>
          <w:rFonts w:ascii="Arial" w:cs="Arial" w:eastAsia="Arial" w:hAnsi="Arial"/>
          <w:sz w:val="18"/>
          <w:szCs w:val="18"/>
          <w:color w:val="auto"/>
        </w:rPr>
      </w:pPr>
    </w:p>
    <w:p>
      <w:pPr>
        <w:ind w:left="900" w:hanging="487"/>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Registration Statement (Form S-3 No. 333-133407) of Extra Space Storage Inc.,</w:t>
      </w:r>
    </w:p>
    <w:p>
      <w:pPr>
        <w:spacing w:after="0" w:line="157" w:lineRule="exact"/>
        <w:rPr>
          <w:rFonts w:ascii="Arial" w:cs="Arial" w:eastAsia="Arial" w:hAnsi="Arial"/>
          <w:sz w:val="18"/>
          <w:szCs w:val="18"/>
          <w:color w:val="auto"/>
        </w:rPr>
      </w:pPr>
    </w:p>
    <w:p>
      <w:pPr>
        <w:ind w:left="900" w:hanging="487"/>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Registration Statement (Form S-3 No. 333-128988) of Extra Space Storage Inc.,</w:t>
      </w:r>
    </w:p>
    <w:p>
      <w:pPr>
        <w:spacing w:after="0" w:line="157" w:lineRule="exact"/>
        <w:rPr>
          <w:rFonts w:ascii="Arial" w:cs="Arial" w:eastAsia="Arial" w:hAnsi="Arial"/>
          <w:sz w:val="18"/>
          <w:szCs w:val="18"/>
          <w:color w:val="auto"/>
        </w:rPr>
      </w:pPr>
    </w:p>
    <w:p>
      <w:pPr>
        <w:ind w:left="900" w:hanging="487"/>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Registration Statement (Form S-3 No. 333-128970) of Extra Space Storage Inc.,</w:t>
      </w:r>
    </w:p>
    <w:p>
      <w:pPr>
        <w:spacing w:after="0" w:line="157" w:lineRule="exact"/>
        <w:rPr>
          <w:rFonts w:ascii="Arial" w:cs="Arial" w:eastAsia="Arial" w:hAnsi="Arial"/>
          <w:sz w:val="18"/>
          <w:szCs w:val="18"/>
          <w:color w:val="auto"/>
        </w:rPr>
      </w:pPr>
    </w:p>
    <w:p>
      <w:pPr>
        <w:ind w:left="900" w:hanging="487"/>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Registration Statement (Form S-3 No. 333-128504) of Extra Space Storage Inc.,</w:t>
      </w:r>
    </w:p>
    <w:p>
      <w:pPr>
        <w:spacing w:after="0" w:line="157" w:lineRule="exact"/>
        <w:rPr>
          <w:rFonts w:ascii="Arial" w:cs="Arial" w:eastAsia="Arial" w:hAnsi="Arial"/>
          <w:sz w:val="18"/>
          <w:szCs w:val="18"/>
          <w:color w:val="auto"/>
        </w:rPr>
      </w:pPr>
    </w:p>
    <w:p>
      <w:pPr>
        <w:ind w:right="60" w:firstLine="413"/>
        <w:spacing w:after="0" w:line="324" w:lineRule="auto"/>
        <w:tabs>
          <w:tab w:leader="none" w:pos="887"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Registration Statement (Form S-8 No. 333-126742) pertaining to the 2004 Long Term Incentive Compensation Plan and the 2004 Non-Employee Directors’ Share Plan of Extra Space Storage Inc.;</w:t>
      </w:r>
    </w:p>
    <w:p>
      <w:pPr>
        <w:spacing w:after="0" w:line="14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of our reports dated February 27, 2017 with respect to the consolidated financial statements and schedule of Extra Space Storage Inc., and the effectiveness of internal control over financial reporting of Extra Space Storage Inc., included in this Annual Report (Form 10-K) of Extra Space Storage Inc. for the year ended December 31,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ectPr>
          <w:pgSz w:w="11900" w:h="16838" w:orient="portrait"/>
          <w:cols w:equalWidth="0" w:num="1">
            <w:col w:w="11420"/>
          </w:cols>
          <w:pgMar w:left="240" w:top="580"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Joseph D. Margolis, certify that:</w:t>
      </w:r>
    </w:p>
    <w:p>
      <w:pPr>
        <w:spacing w:after="0" w:line="225"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Extra Space Storage Inc.;</w:t>
      </w:r>
    </w:p>
    <w:p>
      <w:pPr>
        <w:spacing w:after="0" w:line="116" w:lineRule="exact"/>
        <w:rPr>
          <w:rFonts w:ascii="Arial" w:cs="Arial" w:eastAsia="Arial" w:hAnsi="Arial"/>
          <w:sz w:val="18"/>
          <w:szCs w:val="18"/>
          <w:color w:val="auto"/>
        </w:rPr>
      </w:pPr>
    </w:p>
    <w:p>
      <w:pPr>
        <w:jc w:val="both"/>
        <w:ind w:left="660" w:right="40" w:hanging="652"/>
        <w:spacing w:after="0" w:line="26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660" w:right="260" w:hanging="652"/>
        <w:spacing w:after="0" w:line="307"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660" w:right="300" w:hanging="652"/>
        <w:spacing w:after="0" w:line="26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300" w:right="100" w:hanging="645"/>
        <w:spacing w:after="0" w:line="263"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300" w:right="240" w:hanging="645"/>
        <w:spacing w:after="0" w:line="263"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1300" w:right="400" w:hanging="645"/>
        <w:spacing w:after="0" w:line="341" w:lineRule="auto"/>
        <w:tabs>
          <w:tab w:leader="none" w:pos="13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300" w:right="100" w:hanging="645"/>
        <w:spacing w:after="0" w:line="263"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660" w:right="200" w:hanging="652"/>
        <w:spacing w:after="0" w:line="307"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300" w:right="640" w:hanging="645"/>
        <w:spacing w:after="0" w:line="341" w:lineRule="auto"/>
        <w:tabs>
          <w:tab w:leader="none" w:pos="13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300" w:right="340" w:hanging="645"/>
        <w:spacing w:after="0" w:line="277"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2017</w:t>
      </w:r>
    </w:p>
    <w:p>
      <w:pPr>
        <w:spacing w:after="0" w:line="279" w:lineRule="exact"/>
        <w:rPr>
          <w:sz w:val="20"/>
          <w:szCs w:val="20"/>
          <w:color w:val="auto"/>
        </w:rPr>
      </w:pPr>
    </w:p>
    <w:p>
      <w:pPr>
        <w:ind w:left="7420"/>
        <w:spacing w:after="0"/>
        <w:tabs>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D. MARGOLIS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5084445</wp:posOffset>
            </wp:positionH>
            <wp:positionV relativeFrom="paragraph">
              <wp:posOffset>31750</wp:posOffset>
            </wp:positionV>
            <wp:extent cx="21672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167255" cy="8255"/>
                    </a:xfrm>
                    <a:prstGeom prst="rect">
                      <a:avLst/>
                    </a:prstGeom>
                    <a:noFill/>
                  </pic:spPr>
                </pic:pic>
              </a:graphicData>
            </a:graphic>
          </wp:anchor>
        </w:drawing>
      </w:r>
    </w:p>
    <w:p>
      <w:pPr>
        <w:spacing w:after="0" w:line="56"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Name: JOSEPH D. MARGOLIS</w:t>
      </w:r>
    </w:p>
    <w:p>
      <w:pPr>
        <w:spacing w:after="0" w:line="6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P. Scott Stubbs, certify that:</w:t>
      </w:r>
    </w:p>
    <w:p>
      <w:pPr>
        <w:spacing w:after="0" w:line="225"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Extra Space Storage Inc.;</w:t>
      </w:r>
    </w:p>
    <w:p>
      <w:pPr>
        <w:spacing w:after="0" w:line="116" w:lineRule="exact"/>
        <w:rPr>
          <w:rFonts w:ascii="Arial" w:cs="Arial" w:eastAsia="Arial" w:hAnsi="Arial"/>
          <w:sz w:val="18"/>
          <w:szCs w:val="18"/>
          <w:color w:val="auto"/>
        </w:rPr>
      </w:pPr>
    </w:p>
    <w:p>
      <w:pPr>
        <w:jc w:val="both"/>
        <w:ind w:left="660" w:right="40" w:hanging="652"/>
        <w:spacing w:after="0" w:line="263"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660" w:right="260" w:hanging="652"/>
        <w:spacing w:after="0" w:line="307"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660" w:right="300" w:hanging="652"/>
        <w:spacing w:after="0" w:line="263"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300" w:right="100" w:hanging="645"/>
        <w:spacing w:after="0" w:line="263"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300" w:right="240" w:hanging="645"/>
        <w:spacing w:after="0" w:line="263"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1300" w:right="400" w:hanging="645"/>
        <w:spacing w:after="0" w:line="341" w:lineRule="auto"/>
        <w:tabs>
          <w:tab w:leader="none" w:pos="13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300" w:right="100" w:hanging="645"/>
        <w:spacing w:after="0" w:line="263"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660" w:right="200" w:hanging="652"/>
        <w:spacing w:after="0" w:line="307"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300" w:right="640" w:hanging="645"/>
        <w:spacing w:after="0" w:line="341" w:lineRule="auto"/>
        <w:tabs>
          <w:tab w:leader="none" w:pos="13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300" w:right="340" w:hanging="645"/>
        <w:spacing w:after="0" w:line="277"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2017</w:t>
      </w:r>
    </w:p>
    <w:p>
      <w:pPr>
        <w:spacing w:after="0" w:line="279" w:lineRule="exact"/>
        <w:rPr>
          <w:sz w:val="20"/>
          <w:szCs w:val="20"/>
          <w:color w:val="auto"/>
        </w:rPr>
      </w:pPr>
    </w:p>
    <w:p>
      <w:pPr>
        <w:ind w:left="6120"/>
        <w:spacing w:after="0"/>
        <w:tabs>
          <w:tab w:leader="none" w:pos="6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 SCOTT STUBBS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4142105</wp:posOffset>
            </wp:positionH>
            <wp:positionV relativeFrom="paragraph">
              <wp:posOffset>31750</wp:posOffset>
            </wp:positionV>
            <wp:extent cx="310959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109595" cy="8255"/>
                    </a:xfrm>
                    <a:prstGeom prst="rect">
                      <a:avLst/>
                    </a:prstGeom>
                    <a:noFill/>
                  </pic:spPr>
                </pic:pic>
              </a:graphicData>
            </a:graphic>
          </wp:anchor>
        </w:drawing>
      </w:r>
    </w:p>
    <w:p>
      <w:pPr>
        <w:spacing w:after="0" w:line="43" w:lineRule="exact"/>
        <w:rPr>
          <w:sz w:val="20"/>
          <w:szCs w:val="20"/>
          <w:color w:val="auto"/>
        </w:rPr>
      </w:pPr>
    </w:p>
    <w:p>
      <w:pPr>
        <w:ind w:left="5720"/>
        <w:spacing w:after="0"/>
        <w:tabs>
          <w:tab w:leader="none" w:pos="65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P. Scott Stubbs</w:t>
      </w:r>
    </w:p>
    <w:p>
      <w:pPr>
        <w:spacing w:after="0" w:line="76" w:lineRule="exact"/>
        <w:rPr>
          <w:sz w:val="20"/>
          <w:szCs w:val="20"/>
          <w:color w:val="auto"/>
        </w:rPr>
      </w:pPr>
    </w:p>
    <w:p>
      <w:pPr>
        <w:ind w:left="6000"/>
        <w:spacing w:after="0"/>
        <w:tabs>
          <w:tab w:leader="none" w:pos="6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ind w:right="60" w:firstLine="432"/>
        <w:spacing w:after="0" w:line="256" w:lineRule="auto"/>
        <w:rPr>
          <w:sz w:val="20"/>
          <w:szCs w:val="20"/>
          <w:color w:val="auto"/>
        </w:rPr>
      </w:pPr>
      <w:r>
        <w:rPr>
          <w:rFonts w:ascii="Arial" w:cs="Arial" w:eastAsia="Arial" w:hAnsi="Arial"/>
          <w:sz w:val="18"/>
          <w:szCs w:val="18"/>
          <w:color w:val="auto"/>
        </w:rPr>
        <w:t>I, Joseph D. Margolis, Chief Executive Officer of Extra Space Storage Inc. (the “Company”), hereby certify as of the date hereof, pursuant to 18 U.S.C. Section 1350, as adopted pursuant to Section 906 of the Sarbanes-Oxley Act of 2002, that the Annual Report of the Company on Form 10-K for the year ended December 31, 2016 (the “Form 10-K”) fully complies with the requirements of Section 13(a) or 15(d) of the Securities Exchange Act of 1934, as amended, and that information contained in the Form 10-K fairly presents, in all material respects, the financial condition and results of operations of the Company.</w:t>
      </w:r>
    </w:p>
    <w:p>
      <w:pPr>
        <w:spacing w:after="0" w:line="393" w:lineRule="exact"/>
        <w:rPr>
          <w:sz w:val="20"/>
          <w:szCs w:val="20"/>
          <w:color w:val="auto"/>
        </w:rPr>
      </w:pPr>
    </w:p>
    <w:p>
      <w:pPr>
        <w:ind w:left="40"/>
        <w:spacing w:after="0"/>
        <w:tabs>
          <w:tab w:leader="none" w:pos="5700" w:val="left"/>
          <w:tab w:leader="none" w:pos="6540" w:val="left"/>
        </w:tabs>
        <w:rPr>
          <w:sz w:val="20"/>
          <w:szCs w:val="20"/>
          <w:color w:val="auto"/>
        </w:rPr>
      </w:pPr>
      <w:r>
        <w:rPr>
          <w:rFonts w:ascii="Arial" w:cs="Arial" w:eastAsia="Arial" w:hAnsi="Arial"/>
          <w:sz w:val="18"/>
          <w:szCs w:val="18"/>
          <w:color w:val="auto"/>
        </w:rPr>
        <w:t>Date: February 27,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D. MARGOLIS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4142105</wp:posOffset>
            </wp:positionH>
            <wp:positionV relativeFrom="paragraph">
              <wp:posOffset>31750</wp:posOffset>
            </wp:positionV>
            <wp:extent cx="310959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109595" cy="8255"/>
                    </a:xfrm>
                    <a:prstGeom prst="rect">
                      <a:avLst/>
                    </a:prstGeom>
                    <a:noFill/>
                  </pic:spPr>
                </pic:pic>
              </a:graphicData>
            </a:graphic>
          </wp:anchor>
        </w:drawing>
      </w:r>
    </w:p>
    <w:p>
      <w:pPr>
        <w:spacing w:after="0" w:line="56" w:lineRule="exact"/>
        <w:rPr>
          <w:sz w:val="20"/>
          <w:szCs w:val="20"/>
          <w:color w:val="auto"/>
        </w:rPr>
      </w:pPr>
    </w:p>
    <w:p>
      <w:pPr>
        <w:ind w:left="5720"/>
        <w:spacing w:after="0"/>
        <w:tabs>
          <w:tab w:leader="none" w:pos="65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JOSEPH D. MARGOLIS</w:t>
      </w:r>
    </w:p>
    <w:p>
      <w:pPr>
        <w:spacing w:after="0" w:line="63" w:lineRule="exact"/>
        <w:rPr>
          <w:sz w:val="20"/>
          <w:szCs w:val="20"/>
          <w:color w:val="auto"/>
        </w:rPr>
      </w:pPr>
    </w:p>
    <w:p>
      <w:pPr>
        <w:ind w:left="5720"/>
        <w:spacing w:after="0"/>
        <w:tabs>
          <w:tab w:leader="none" w:pos="6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pacing w:after="0" w:line="252" w:lineRule="exact"/>
        <w:rPr>
          <w:sz w:val="20"/>
          <w:szCs w:val="20"/>
          <w:color w:val="auto"/>
        </w:rPr>
      </w:pPr>
    </w:p>
    <w:p>
      <w:pPr>
        <w:ind w:right="340" w:firstLine="432"/>
        <w:spacing w:after="0" w:line="279" w:lineRule="auto"/>
        <w:rPr>
          <w:sz w:val="20"/>
          <w:szCs w:val="20"/>
          <w:color w:val="auto"/>
        </w:rPr>
      </w:pPr>
      <w:r>
        <w:rPr>
          <w:rFonts w:ascii="Arial" w:cs="Arial" w:eastAsia="Arial" w:hAnsi="Arial"/>
          <w:sz w:val="17"/>
          <w:szCs w:val="17"/>
          <w:color w:val="auto"/>
        </w:rPr>
        <w:t>I, P. Scott Stubbs, the Chief Financial Officer of the Company, hereby certify as of the date hereof, pursuant to 18 U.S.C. Section 1350, as adopted pursuant to Section 906 of the Sarbanes-Oxley Act of 2002, that the Annual Report of the Company on Form 10-K for the year ended December 31, 2016 fully complies with the requirements of Section 13(a) or 15(d) of the Securities Exchange Act of 1934, as amended, and that information contained in the Form 10-K fairly presents in all material respects the financial condition and results of operations of the Company.</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Date: February 27, 2017</w:t>
            </w:r>
          </w:p>
        </w:tc>
        <w:tc>
          <w:tcPr>
            <w:tcW w:w="2760" w:type="dxa"/>
            <w:vAlign w:val="bottom"/>
          </w:tcPr>
          <w:p>
            <w:pPr>
              <w:ind w:left="1960"/>
              <w:spacing w:after="0"/>
              <w:rPr>
                <w:sz w:val="20"/>
                <w:szCs w:val="20"/>
                <w:color w:val="auto"/>
              </w:rPr>
            </w:pPr>
            <w:r>
              <w:rPr>
                <w:rFonts w:ascii="Arial" w:cs="Arial" w:eastAsia="Arial" w:hAnsi="Arial"/>
                <w:sz w:val="18"/>
                <w:szCs w:val="18"/>
                <w:color w:val="auto"/>
              </w:rPr>
              <w:t>By:</w:t>
            </w:r>
          </w:p>
        </w:tc>
        <w:tc>
          <w:tcPr>
            <w:tcW w:w="4900" w:type="dxa"/>
            <w:vAlign w:val="bottom"/>
          </w:tcPr>
          <w:p>
            <w:pPr>
              <w:ind w:left="40"/>
              <w:spacing w:after="0"/>
              <w:rPr>
                <w:sz w:val="20"/>
                <w:szCs w:val="20"/>
                <w:color w:val="auto"/>
              </w:rPr>
            </w:pPr>
            <w:r>
              <w:rPr>
                <w:rFonts w:ascii="Arial" w:cs="Arial" w:eastAsia="Arial" w:hAnsi="Arial"/>
                <w:sz w:val="18"/>
                <w:szCs w:val="18"/>
                <w:color w:val="auto"/>
              </w:rPr>
              <w:t>/s/ P. SCOTT STUBBS</w:t>
            </w:r>
          </w:p>
        </w:tc>
      </w:tr>
      <w:tr>
        <w:trPr>
          <w:trHeight w:val="27"/>
        </w:trPr>
        <w:tc>
          <w:tcPr>
            <w:tcW w:w="37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6"/>
        </w:trPr>
        <w:tc>
          <w:tcPr>
            <w:tcW w:w="3720" w:type="dxa"/>
            <w:vAlign w:val="bottom"/>
          </w:tcPr>
          <w:p>
            <w:pPr>
              <w:spacing w:after="0"/>
              <w:rPr>
                <w:sz w:val="20"/>
                <w:szCs w:val="20"/>
                <w:color w:val="auto"/>
              </w:rPr>
            </w:pPr>
          </w:p>
        </w:tc>
        <w:tc>
          <w:tcPr>
            <w:tcW w:w="2760" w:type="dxa"/>
            <w:vAlign w:val="bottom"/>
          </w:tcPr>
          <w:p>
            <w:pPr>
              <w:ind w:left="1960"/>
              <w:spacing w:after="0"/>
              <w:rPr>
                <w:sz w:val="20"/>
                <w:szCs w:val="20"/>
                <w:color w:val="auto"/>
              </w:rPr>
            </w:pPr>
            <w:r>
              <w:rPr>
                <w:rFonts w:ascii="Arial" w:cs="Arial" w:eastAsia="Arial" w:hAnsi="Arial"/>
                <w:sz w:val="18"/>
                <w:szCs w:val="18"/>
                <w:color w:val="auto"/>
              </w:rPr>
              <w:t>Name:</w:t>
            </w:r>
          </w:p>
        </w:tc>
        <w:tc>
          <w:tcPr>
            <w:tcW w:w="4900" w:type="dxa"/>
            <w:vAlign w:val="bottom"/>
          </w:tcPr>
          <w:p>
            <w:pPr>
              <w:ind w:left="40"/>
              <w:spacing w:after="0"/>
              <w:rPr>
                <w:sz w:val="20"/>
                <w:szCs w:val="20"/>
                <w:color w:val="auto"/>
              </w:rPr>
            </w:pPr>
            <w:r>
              <w:rPr>
                <w:rFonts w:ascii="Arial" w:cs="Arial" w:eastAsia="Arial" w:hAnsi="Arial"/>
                <w:sz w:val="18"/>
                <w:szCs w:val="18"/>
                <w:color w:val="auto"/>
              </w:rPr>
              <w:t>P. Scott Stubbs</w:t>
            </w:r>
          </w:p>
        </w:tc>
      </w:tr>
      <w:tr>
        <w:trPr>
          <w:trHeight w:val="270"/>
        </w:trPr>
        <w:tc>
          <w:tcPr>
            <w:tcW w:w="3720" w:type="dxa"/>
            <w:vAlign w:val="bottom"/>
          </w:tcPr>
          <w:p>
            <w:pPr>
              <w:spacing w:after="0"/>
              <w:rPr>
                <w:sz w:val="23"/>
                <w:szCs w:val="23"/>
                <w:color w:val="auto"/>
              </w:rPr>
            </w:pPr>
          </w:p>
        </w:tc>
        <w:tc>
          <w:tcPr>
            <w:tcW w:w="2760" w:type="dxa"/>
            <w:vAlign w:val="bottom"/>
          </w:tcPr>
          <w:p>
            <w:pPr>
              <w:ind w:left="1960"/>
              <w:spacing w:after="0"/>
              <w:rPr>
                <w:sz w:val="20"/>
                <w:szCs w:val="20"/>
                <w:color w:val="auto"/>
              </w:rPr>
            </w:pPr>
            <w:r>
              <w:rPr>
                <w:rFonts w:ascii="Arial" w:cs="Arial" w:eastAsia="Arial" w:hAnsi="Arial"/>
                <w:sz w:val="18"/>
                <w:szCs w:val="18"/>
                <w:color w:val="auto"/>
              </w:rPr>
              <w:t>Title:</w:t>
            </w:r>
          </w:p>
        </w:tc>
        <w:tc>
          <w:tcPr>
            <w:tcW w:w="4900" w:type="dxa"/>
            <w:vAlign w:val="bottom"/>
          </w:tcPr>
          <w:p>
            <w:pPr>
              <w:ind w:left="40"/>
              <w:spacing w:after="0"/>
              <w:rPr>
                <w:sz w:val="20"/>
                <w:szCs w:val="20"/>
                <w:color w:val="auto"/>
              </w:rPr>
            </w:pPr>
            <w:r>
              <w:rPr>
                <w:rFonts w:ascii="Arial" w:cs="Arial" w:eastAsia="Arial" w:hAnsi="Arial"/>
                <w:sz w:val="18"/>
                <w:szCs w:val="18"/>
                <w:i w:val="1"/>
                <w:iCs w:val="1"/>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x"/>
      <w:numFmt w:val="bullet"/>
      <w:start w:val="1"/>
    </w:lvl>
  </w:abstractNum>
  <w:abstractNum w:abstractNumId="1">
    <w:nsid w:val="189A769B"/>
    <w:multiLevelType w:val="hybridMultilevel"/>
    <w:lvl w:ilvl="0">
      <w:lvlJc w:val="left"/>
      <w:lvlText w:val="o"/>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1."/>
      <w:numFmt w:val="decimal"/>
      <w:start w:val="122"/>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decimal"/>
      <w:start w:val="2"/>
    </w:lvl>
  </w:abstractNum>
  <w:abstractNum w:abstractNumId="21">
    <w:nsid w:val="3804823E"/>
    <w:multiLevelType w:val="hybridMultilevel"/>
    <w:lvl w:ilvl="0">
      <w:lvlJc w:val="left"/>
      <w:lvlText w:val="%1."/>
      <w:numFmt w:val="decimal"/>
      <w:start w:val="4"/>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1."/>
      <w:numFmt w:val="decimal"/>
      <w:start w:val="5"/>
    </w:lvl>
  </w:abstractNum>
  <w:abstractNum w:abstractNumId="24">
    <w:nsid w:val="5C482A97"/>
    <w:multiLevelType w:val="hybridMultilevel"/>
    <w:lvl w:ilvl="0">
      <w:lvlJc w:val="left"/>
      <w:lvlText w:val="%1."/>
      <w:numFmt w:val="decimal"/>
      <w:start w:val="6"/>
    </w:lvl>
  </w:abstractNum>
  <w:abstractNum w:abstractNumId="25">
    <w:nsid w:val="2463B9EA"/>
    <w:multiLevelType w:val="hybridMultilevel"/>
    <w:lvl w:ilvl="0">
      <w:lvlJc w:val="left"/>
      <w:lvlText w:val="(%1)"/>
      <w:numFmt w:val="lowerLetter"/>
      <w:start w:val="3"/>
    </w:lvl>
  </w:abstractNum>
  <w:abstractNum w:abstractNumId="26">
    <w:nsid w:val="5E884ADC"/>
    <w:multiLevelType w:val="hybridMultilevel"/>
    <w:lvl w:ilvl="0">
      <w:lvlJc w:val="left"/>
      <w:lvlText w:val="%1"/>
      <w:numFmt w:val="decimal"/>
      <w:start w:val="1"/>
    </w:lvl>
    <w:lvl w:ilvl="1">
      <w:lvlJc w:val="left"/>
      <w:lvlText w:val="(%2)"/>
      <w:numFmt w:val="decimal"/>
      <w:start w:val="1"/>
    </w:lvl>
  </w:abstractNum>
  <w:abstractNum w:abstractNumId="27">
    <w:nsid w:val="51EAD36B"/>
    <w:multiLevelType w:val="hybridMultilevel"/>
    <w:lvl w:ilvl="0">
      <w:lvlJc w:val="left"/>
      <w:lvlText w:val="%1."/>
      <w:numFmt w:val="decimal"/>
      <w:start w:val="7"/>
    </w:lvl>
    <w:lvl w:ilvl="1">
      <w:lvlJc w:val="left"/>
      <w:lvlText w:val="%2"/>
      <w:numFmt w:val="decimal"/>
      <w:start w:val="1"/>
    </w:lvl>
  </w:abstractNum>
  <w:abstractNum w:abstractNumId="28">
    <w:nsid w:val="2D517796"/>
    <w:multiLevelType w:val="hybridMultilevel"/>
    <w:lvl w:ilvl="0">
      <w:lvlJc w:val="left"/>
      <w:lvlText w:val="%1."/>
      <w:numFmt w:val="decimal"/>
      <w:start w:val="8"/>
    </w:lvl>
  </w:abstractNum>
  <w:abstractNum w:abstractNumId="29">
    <w:nsid w:val="580BD78F"/>
    <w:multiLevelType w:val="hybridMultilevel"/>
    <w:lvl w:ilvl="0">
      <w:lvlJc w:val="left"/>
      <w:lvlText w:val="%1."/>
      <w:numFmt w:val="decimal"/>
      <w:start w:val="9"/>
    </w:lvl>
  </w:abstractNum>
  <w:abstractNum w:abstractNumId="30">
    <w:nsid w:val="153EA438"/>
    <w:multiLevelType w:val="hybridMultilevel"/>
    <w:lvl w:ilvl="0">
      <w:lvlJc w:val="left"/>
      <w:lvlText w:val="%1."/>
      <w:numFmt w:val="decimal"/>
      <w:start w:val="11"/>
    </w:lvl>
  </w:abstractNum>
  <w:abstractNum w:abstractNumId="31">
    <w:nsid w:val="3855585C"/>
    <w:multiLevelType w:val="hybridMultilevel"/>
    <w:lvl w:ilvl="0">
      <w:lvlJc w:val="left"/>
      <w:lvlText w:val="%1."/>
      <w:numFmt w:val="decimal"/>
      <w:start w:val="12"/>
    </w:lvl>
  </w:abstractNum>
  <w:abstractNum w:abstractNumId="32">
    <w:nsid w:val="70A64E2A"/>
    <w:multiLevelType w:val="hybridMultilevel"/>
    <w:lvl w:ilvl="0">
      <w:lvlJc w:val="left"/>
      <w:lvlText w:val="%1."/>
      <w:numFmt w:val="decimal"/>
      <w:start w:val="13"/>
    </w:lvl>
  </w:abstractNum>
  <w:abstractNum w:abstractNumId="33">
    <w:nsid w:val="6A2342EC"/>
    <w:multiLevelType w:val="hybridMultilevel"/>
    <w:lvl w:ilvl="0">
      <w:lvlJc w:val="left"/>
      <w:lvlText w:val="%1."/>
      <w:numFmt w:val="decimal"/>
      <w:start w:val="14"/>
    </w:lvl>
  </w:abstractNum>
  <w:abstractNum w:abstractNumId="34">
    <w:nsid w:val="2A487CB0"/>
    <w:multiLevelType w:val="hybridMultilevel"/>
    <w:lvl w:ilvl="0">
      <w:lvlJc w:val="left"/>
      <w:lvlText w:val="%1."/>
      <w:numFmt w:val="decimal"/>
      <w:start w:val="15"/>
    </w:lvl>
  </w:abstractNum>
  <w:abstractNum w:abstractNumId="35">
    <w:nsid w:val="1D4ED43B"/>
    <w:multiLevelType w:val="hybridMultilevel"/>
    <w:lvl w:ilvl="0">
      <w:lvlJc w:val="left"/>
      <w:lvlText w:val="%1."/>
      <w:numFmt w:val="decimal"/>
      <w:start w:val="16"/>
    </w:lvl>
  </w:abstractNum>
  <w:abstractNum w:abstractNumId="36">
    <w:nsid w:val="725A06FB"/>
    <w:multiLevelType w:val="hybridMultilevel"/>
    <w:lvl w:ilvl="0">
      <w:lvlJc w:val="left"/>
      <w:lvlText w:val="%1."/>
      <w:numFmt w:val="decimal"/>
      <w:start w:val="17"/>
    </w:lvl>
  </w:abstractNum>
  <w:abstractNum w:abstractNumId="37">
    <w:nsid w:val="2CD89A32"/>
    <w:multiLevelType w:val="hybridMultilevel"/>
    <w:lvl w:ilvl="0">
      <w:lvlJc w:val="left"/>
      <w:lvlText w:val="%1."/>
      <w:numFmt w:val="decimal"/>
      <w:start w:val="18"/>
    </w:lvl>
  </w:abstractNum>
  <w:abstractNum w:abstractNumId="38">
    <w:nsid w:val="57E4CCAF"/>
    <w:multiLevelType w:val="hybridMultilevel"/>
    <w:lvl w:ilvl="0">
      <w:lvlJc w:val="left"/>
      <w:lvlText w:val="%1."/>
      <w:numFmt w:val="decimal"/>
      <w:start w:val="19"/>
    </w:lvl>
  </w:abstractNum>
  <w:abstractNum w:abstractNumId="39">
    <w:nsid w:val="7A6D8D3C"/>
    <w:multiLevelType w:val="hybridMultilevel"/>
    <w:lvl w:ilvl="0">
      <w:lvlJc w:val="left"/>
      <w:lvlText w:val="%1."/>
      <w:numFmt w:val="decimal"/>
      <w:start w:val="20"/>
    </w:lvl>
  </w:abstractNum>
  <w:abstractNum w:abstractNumId="40">
    <w:nsid w:val="4B588F54"/>
    <w:multiLevelType w:val="hybridMultilevel"/>
    <w:lvl w:ilvl="0">
      <w:lvlJc w:val="left"/>
      <w:lvlText w:val="%1."/>
      <w:numFmt w:val="decimal"/>
      <w:start w:val="21"/>
    </w:lvl>
  </w:abstractNum>
  <w:abstractNum w:abstractNumId="41">
    <w:nsid w:val="542289EC"/>
    <w:multiLevelType w:val="hybridMultilevel"/>
    <w:lvl w:ilvl="0">
      <w:lvlJc w:val="left"/>
      <w:lvlText w:val="%1."/>
      <w:numFmt w:val="decimal"/>
      <w:start w:val="22"/>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1)"/>
      <w:numFmt w:val="lowerLetter"/>
      <w:start w:val="35"/>
    </w:lvl>
    <w:lvl w:ilvl="1">
      <w:lvlJc w:val="left"/>
      <w:lvlText w:val="(%2)"/>
      <w:numFmt w:val="lowerLetter"/>
      <w:start w:val="1"/>
    </w:lvl>
  </w:abstractNum>
  <w:abstractNum w:abstractNumId="44">
    <w:nsid w:val="7644A45C"/>
    <w:multiLevelType w:val="hybridMultilevel"/>
    <w:lvl w:ilvl="0">
      <w:lvlJc w:val="left"/>
      <w:lvlText w:val="(%1)"/>
      <w:numFmt w:val="lowerLetter"/>
      <w:start w:val="2"/>
    </w:lvl>
  </w:abstractNum>
  <w:abstractNum w:abstractNumId="45">
    <w:nsid w:val="32FFF902"/>
    <w:multiLevelType w:val="hybridMultilevel"/>
    <w:lvl w:ilvl="0">
      <w:lvlJc w:val="left"/>
      <w:lvlText w:val="(%1)"/>
      <w:numFmt w:val="lowerLetter"/>
      <w:start w:val="1"/>
    </w:lvl>
    <w:lvl w:ilvl="1">
      <w:lvlJc w:val="left"/>
      <w:lvlText w:val="(%2)"/>
      <w:numFmt w:val="decimal"/>
      <w:start w:val="1"/>
    </w:lvl>
  </w:abstractNum>
  <w:abstractNum w:abstractNumId="46">
    <w:nsid w:val="684A481A"/>
    <w:multiLevelType w:val="hybridMultilevel"/>
    <w:lvl w:ilvl="0">
      <w:lvlJc w:val="left"/>
      <w:lvlText w:val="*"/>
      <w:numFmt w:val="bullet"/>
      <w:start w:val="1"/>
    </w:lvl>
    <w:lvl w:ilvl="1">
      <w:lvlJc w:val="left"/>
      <w:lvlText w:val="%2"/>
      <w:numFmt w:val="decimal"/>
      <w:start w:val="101"/>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1)"/>
      <w:numFmt w:val="decimal"/>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2019-12-29T09:25:03Z</dcterms:created>
  <dcterms:modified xsi:type="dcterms:W3CDTF">2019-12-29T09:25:03Z</dcterms:modified>
</cp:coreProperties>
</file>