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Norman Jeffrey 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2795 E COTTONWOOD PARKWAY,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20" w:space="3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in payment of the tax liability arising in connection with the settlement of vested restricted stock awards. Restricted stock awards vest 25% annually over four years,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4827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2026-04-03T13:25:57Z</dcterms:created>
  <dcterms:modified xsi:type="dcterms:W3CDTF">2026-04-03T13:25:57Z</dcterms:modified>
</cp:coreProperties>
</file>