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85725</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87630</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237"/>
        </w:trPr>
        <w:tc>
          <w:tcPr>
            <w:tcW w:w="490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EXTRA SPACE STORAGE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5" w:lineRule="exact"/>
        <w:rPr>
          <w:sz w:val="24"/>
          <w:szCs w:val="24"/>
          <w:color w:val="auto"/>
        </w:rPr>
      </w:pPr>
    </w:p>
    <w:p>
      <w:pPr>
        <w:ind w:left="240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Maryland</w:t>
      </w:r>
      <w:r>
        <w:rPr>
          <w:sz w:val="20"/>
          <w:szCs w:val="20"/>
          <w:color w:val="auto"/>
        </w:rPr>
        <w:tab/>
      </w:r>
      <w:r>
        <w:rPr>
          <w:rFonts w:ascii="Times New Roman" w:cs="Times New Roman" w:eastAsia="Times New Roman" w:hAnsi="Times New Roman"/>
          <w:sz w:val="18"/>
          <w:szCs w:val="18"/>
          <w:b w:val="1"/>
          <w:bCs w:val="1"/>
          <w:color w:val="auto"/>
        </w:rPr>
        <w:t>20-1076777</w:t>
      </w:r>
    </w:p>
    <w:p>
      <w:pPr>
        <w:spacing w:after="0" w:line="34" w:lineRule="exact"/>
        <w:rPr>
          <w:sz w:val="24"/>
          <w:szCs w:val="24"/>
          <w:color w:val="auto"/>
        </w:rPr>
      </w:pPr>
    </w:p>
    <w:p>
      <w:pPr>
        <w:ind w:left="1880"/>
        <w:spacing w:after="0"/>
        <w:tabs>
          <w:tab w:leader="none" w:pos="80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ind w:left="184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2795 East Cottonwood Parkway, Suite 300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Salt Lake City, Utah 84121</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365-4600</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54"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15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534"/>
        </w:trPr>
        <w:tc>
          <w:tcPr>
            <w:tcW w:w="38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7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color w:val="auto"/>
                <w:w w:val="99"/>
              </w:rPr>
              <w:t>EXR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00" w:lineRule="exact"/>
        <w:rPr>
          <w:sz w:val="24"/>
          <w:szCs w:val="24"/>
          <w:color w:val="auto"/>
        </w:rPr>
      </w:pPr>
    </w:p>
    <w:p>
      <w:pPr>
        <w:spacing w:after="0" w:line="335"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00"/>
          </w:cols>
          <w:pgMar w:left="320" w:top="538" w:right="379" w:bottom="1440" w:gutter="0" w:footer="0" w:header="0"/>
        </w:sectPr>
      </w:pPr>
    </w:p>
    <w:p>
      <w:pPr>
        <w:spacing w:after="0" w:line="1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6"/>
          <w:szCs w:val="16"/>
          <w:b w:val="1"/>
          <w:bCs w:val="1"/>
          <w:color w:val="auto"/>
        </w:rPr>
        <w:t>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par value $0.01 per share, as of October 23, 2026, was 208,719,831.</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7"/>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EXTRA SPACE STORAGE INC.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6"/>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STATEMENT ON FORWARD-LOOKING INFORMATION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1620" w:type="dxa"/>
            <w:vAlign w:val="bottom"/>
            <w:gridSpan w:val="5"/>
          </w:tcPr>
          <w:p>
            <w:pPr>
              <w:spacing w:after="0"/>
              <w:rPr>
                <w:sz w:val="24"/>
                <w:szCs w:val="24"/>
                <w:color w:val="auto"/>
              </w:rPr>
            </w:pPr>
          </w:p>
        </w:tc>
        <w:tc>
          <w:tcPr>
            <w:tcW w:w="5340" w:type="dxa"/>
            <w:vAlign w:val="bottom"/>
            <w:gridSpan w:val="5"/>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1. FINANCIAL STATEMENTS (unaudited)</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7"/>
              </w:rPr>
              <w:t>OPERATIONS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30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20" w:type="dxa"/>
            <w:vAlign w:val="bottom"/>
            <w:gridSpan w:val="1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94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vMerge w:val="continue"/>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60" w:type="dxa"/>
            <w:vAlign w:val="bottom"/>
            <w:tcBorders>
              <w:top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25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1. LEGAL PROCEEDINGS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1A. RISK FACTORS</w:t>
            </w:r>
          </w:p>
        </w:tc>
        <w:tc>
          <w:tcPr>
            <w:tcW w:w="520" w:type="dxa"/>
            <w:vAlign w:val="bottom"/>
            <w:tcBorders>
              <w:top w:val="single" w:sz="8" w:color="0000FF"/>
            </w:tcBorders>
            <w:gridSpan w:val="2"/>
          </w:tcPr>
          <w:p>
            <w:pPr>
              <w:spacing w:after="0"/>
              <w:rPr>
                <w:sz w:val="19"/>
                <w:szCs w:val="19"/>
                <w:color w:val="auto"/>
              </w:rPr>
            </w:pPr>
          </w:p>
        </w:tc>
        <w:tc>
          <w:tcPr>
            <w:tcW w:w="7020" w:type="dxa"/>
            <w:vAlign w:val="bottom"/>
            <w:gridSpan w:val="11"/>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2620" w:type="dxa"/>
            <w:vAlign w:val="bottom"/>
            <w:gridSpan w:val="3"/>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780" w:type="dxa"/>
            <w:vAlign w:val="bottom"/>
            <w:tcBorders>
              <w:top w:val="single" w:sz="8" w:color="0000FF"/>
            </w:tcBorders>
            <w:gridSpan w:val="3"/>
          </w:tcPr>
          <w:p>
            <w:pPr>
              <w:spacing w:after="0"/>
              <w:rPr>
                <w:sz w:val="19"/>
                <w:szCs w:val="19"/>
                <w:color w:val="auto"/>
              </w:rPr>
            </w:pPr>
          </w:p>
        </w:tc>
        <w:tc>
          <w:tcPr>
            <w:tcW w:w="5660" w:type="dxa"/>
            <w:vAlign w:val="bottom"/>
            <w:gridSpan w:val="6"/>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5. OTHER INFORMATION</w:t>
            </w:r>
          </w:p>
        </w:tc>
        <w:tc>
          <w:tcPr>
            <w:tcW w:w="6960" w:type="dxa"/>
            <w:vAlign w:val="bottom"/>
            <w:gridSpan w:val="10"/>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140" w:type="dxa"/>
            <w:vAlign w:val="bottom"/>
            <w:gridSpan w:val="15"/>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STATEMENT ON FORWARD-LOOKING INFORMATION</w:t>
      </w:r>
    </w:p>
    <w:p>
      <w:pPr>
        <w:spacing w:after="0" w:line="22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intentions relating to acquisitions and developments, and other information that is not historical information. In some cases, forward-looking statements can be identified by terminology such as “believes,” “estimates,” “expects,”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89"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w:t>
      </w:r>
    </w:p>
    <w:p>
      <w:pPr>
        <w:spacing w:after="0" w:line="18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68" w:lineRule="exact"/>
        <w:rPr>
          <w:sz w:val="20"/>
          <w:szCs w:val="20"/>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the markets in which we operate;</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losses under our insurance policies;</w:t>
      </w:r>
    </w:p>
    <w:p>
      <w:pPr>
        <w:spacing w:after="0" w:line="63" w:lineRule="exact"/>
        <w:rPr>
          <w:rFonts w:ascii="Times New Roman" w:cs="Times New Roman" w:eastAsia="Times New Roman" w:hAnsi="Times New Roman"/>
          <w:sz w:val="18"/>
          <w:szCs w:val="18"/>
          <w:color w:val="auto"/>
        </w:rPr>
      </w:pPr>
    </w:p>
    <w:p>
      <w:pPr>
        <w:ind w:left="580" w:right="260" w:hanging="329"/>
        <w:spacing w:after="0" w:line="298" w:lineRule="auto"/>
        <w:tabs>
          <w:tab w:leader="none" w:pos="5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ind w:left="580" w:right="540" w:hanging="329"/>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including increased or unanticipated competition for our properties, which could cause rents and occupancy rates to decline;</w:t>
      </w:r>
    </w:p>
    <w:p>
      <w:pPr>
        <w:spacing w:after="0" w:line="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63" w:lineRule="exact"/>
        <w:rPr>
          <w:rFonts w:ascii="Times New Roman" w:cs="Times New Roman" w:eastAsia="Times New Roman" w:hAnsi="Times New Roman"/>
          <w:sz w:val="18"/>
          <w:szCs w:val="18"/>
          <w:color w:val="auto"/>
        </w:rPr>
      </w:pPr>
    </w:p>
    <w:p>
      <w:pPr>
        <w:ind w:left="580" w:right="140" w:hanging="329"/>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dispositions and development of properties, including increased development costs due to additional regulatory requirements related to climate change and other factors;</w:t>
      </w:r>
    </w:p>
    <w:p>
      <w:pPr>
        <w:spacing w:after="0" w:line="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63" w:lineRule="exact"/>
        <w:rPr>
          <w:rFonts w:ascii="Times New Roman" w:cs="Times New Roman" w:eastAsia="Times New Roman" w:hAnsi="Times New Roman"/>
          <w:sz w:val="18"/>
          <w:szCs w:val="18"/>
          <w:color w:val="auto"/>
        </w:rPr>
      </w:pPr>
    </w:p>
    <w:p>
      <w:pPr>
        <w:ind w:left="580" w:right="580" w:hanging="329"/>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Times New Roman" w:cs="Times New Roman" w:eastAsia="Times New Roman" w:hAnsi="Times New Roman"/>
          <w:sz w:val="18"/>
          <w:szCs w:val="18"/>
          <w:color w:val="auto"/>
        </w:rPr>
      </w:pPr>
    </w:p>
    <w:p>
      <w:pPr>
        <w:ind w:left="580" w:right="60" w:hanging="329"/>
        <w:spacing w:after="0" w:line="266"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1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pacing w:after="0" w:line="63" w:lineRule="exact"/>
        <w:rPr>
          <w:rFonts w:ascii="Times New Roman" w:cs="Times New Roman" w:eastAsia="Times New Roman" w:hAnsi="Times New Roman"/>
          <w:sz w:val="18"/>
          <w:szCs w:val="18"/>
          <w:color w:val="auto"/>
        </w:rPr>
      </w:pPr>
    </w:p>
    <w:p>
      <w:pPr>
        <w:ind w:left="580" w:right="240" w:hanging="329"/>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and capital, the levels of debt that we maintain and our credit ratings;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increases in interest rates and the impact of enacted and proposed U.S. tariffs on global economic conditions;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 and</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w:t>
      </w:r>
    </w:p>
    <w:p>
      <w:pPr>
        <w:spacing w:after="0" w:line="22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based upon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 We undertake no obligation to publicly update or revise forward-looking statements which may be made to reflect events or circumstances after the date made or to reflect the occurrence of unanticipated events.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7"/>
        </w:trPr>
        <w:tc>
          <w:tcPr>
            <w:tcW w:w="760" w:type="dxa"/>
            <w:vAlign w:val="bottom"/>
          </w:tcPr>
          <w:p>
            <w:pPr>
              <w:spacing w:after="0"/>
              <w:rPr>
                <w:sz w:val="24"/>
                <w:szCs w:val="24"/>
                <w:color w:val="auto"/>
              </w:rPr>
            </w:pPr>
          </w:p>
        </w:tc>
        <w:tc>
          <w:tcPr>
            <w:tcW w:w="708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Extra Space Storage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760" w:type="dxa"/>
            <w:vAlign w:val="bottom"/>
          </w:tcPr>
          <w:p>
            <w:pPr>
              <w:spacing w:after="0"/>
              <w:rPr>
                <w:sz w:val="19"/>
                <w:szCs w:val="19"/>
                <w:color w:val="auto"/>
              </w:rPr>
            </w:pPr>
          </w:p>
        </w:tc>
        <w:tc>
          <w:tcPr>
            <w:tcW w:w="70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760" w:type="dxa"/>
            <w:vAlign w:val="bottom"/>
          </w:tcPr>
          <w:p>
            <w:pPr>
              <w:spacing w:after="0"/>
              <w:rPr>
                <w:sz w:val="20"/>
                <w:szCs w:val="20"/>
                <w:color w:val="auto"/>
              </w:rPr>
            </w:pPr>
          </w:p>
        </w:tc>
        <w:tc>
          <w:tcPr>
            <w:tcW w:w="708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99"/>
              </w:rPr>
              <w:t>(amounts in thousands, except share data)</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6"/>
        </w:trPr>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24"/>
                <w:szCs w:val="24"/>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76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7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 estate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24,900,147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25,004,350</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assets - operating lease right-of-use assets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732,176</w:t>
            </w: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real estate entities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1,066,783</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debt securities and notes receivable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1,806,526</w:t>
            </w: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138,920</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515,291</w:t>
            </w:r>
          </w:p>
        </w:tc>
      </w:tr>
      <w:tr>
        <w:trPr>
          <w:trHeight w:val="237"/>
        </w:trPr>
        <w:tc>
          <w:tcPr>
            <w:tcW w:w="760" w:type="dxa"/>
            <w:vAlign w:val="bottom"/>
          </w:tcPr>
          <w:p>
            <w:pPr>
              <w:spacing w:after="0"/>
              <w:rPr>
                <w:sz w:val="20"/>
                <w:szCs w:val="20"/>
                <w:color w:val="auto"/>
              </w:rPr>
            </w:pP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28,963,119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29,264,046</w:t>
            </w: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Noncontrolling Interests and Equity: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 notes payable,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1,079,565</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 term loans, net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1,494,659</w:t>
            </w: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Unsecured senior notes,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9,432,427</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lines of credit and commercial paper</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1,224,000</w:t>
            </w: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761,106</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distributions in unconsolidated real estate ventures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73,701</w:t>
            </w: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357,583</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516,969</w:t>
            </w:r>
          </w:p>
        </w:tc>
      </w:tr>
      <w:tr>
        <w:trPr>
          <w:trHeight w:val="236"/>
        </w:trPr>
        <w:tc>
          <w:tcPr>
            <w:tcW w:w="760" w:type="dxa"/>
            <w:vAlign w:val="bottom"/>
            <w:tcBorders>
              <w:bottom w:val="single" w:sz="8" w:color="CCEEFF"/>
            </w:tcBorders>
          </w:tcPr>
          <w:p>
            <w:pPr>
              <w:spacing w:after="0"/>
              <w:rPr>
                <w:sz w:val="20"/>
                <w:szCs w:val="20"/>
                <w:color w:val="auto"/>
              </w:rPr>
            </w:pPr>
          </w:p>
        </w:tc>
        <w:tc>
          <w:tcPr>
            <w:tcW w:w="7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15,201,035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14,940,010</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 and Equity:</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Extra Space Storage Inc. stockholders’ equity: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or outstanding</w:t>
            </w:r>
          </w:p>
        </w:tc>
        <w:tc>
          <w:tcPr>
            <w:tcW w:w="16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7840" w:type="dxa"/>
            <w:vAlign w:val="bottom"/>
            <w:gridSpan w:val="2"/>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Common stock, $0.01 par value, 500,000,000 shares authorized, 208,884,163 and 211,155,322</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43"/>
        </w:trPr>
        <w:tc>
          <w:tcPr>
            <w:tcW w:w="7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at September 30, 2026 and December 31, 2025, respectively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14,880,646</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43"/>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(2,050,907)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(1,449,172)</w:t>
            </w:r>
          </w:p>
        </w:tc>
      </w:tr>
      <w:tr>
        <w:trPr>
          <w:trHeight w:val="237"/>
        </w:trPr>
        <w:tc>
          <w:tcPr>
            <w:tcW w:w="760" w:type="dxa"/>
            <w:vAlign w:val="bottom"/>
            <w:shd w:val="clear" w:color="auto" w:fill="CCEEFF"/>
          </w:tcPr>
          <w:p>
            <w:pPr>
              <w:spacing w:after="0"/>
              <w:rPr>
                <w:sz w:val="20"/>
                <w:szCs w:val="20"/>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Extra Space Storage Inc. stockholders’ equity</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12,846,249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13,433,166</w:t>
            </w:r>
          </w:p>
        </w:tc>
      </w:tr>
      <w:tr>
        <w:trPr>
          <w:trHeight w:val="24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 represented by Preferred Operating Partnership units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53,827</w:t>
            </w:r>
          </w:p>
        </w:tc>
      </w:tr>
      <w:tr>
        <w:trPr>
          <w:trHeight w:val="243"/>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 in Operating Partnership, net and other noncontrolling interests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868,008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837,043</w:t>
            </w:r>
          </w:p>
        </w:tc>
      </w:tr>
      <w:tr>
        <w:trPr>
          <w:trHeight w:val="236"/>
        </w:trPr>
        <w:tc>
          <w:tcPr>
            <w:tcW w:w="760" w:type="dxa"/>
            <w:vAlign w:val="bottom"/>
            <w:tcBorders>
              <w:bottom w:val="single" w:sz="8" w:color="CCEEFF"/>
            </w:tcBorders>
          </w:tcPr>
          <w:p>
            <w:pPr>
              <w:spacing w:after="0"/>
              <w:rPr>
                <w:sz w:val="20"/>
                <w:szCs w:val="20"/>
                <w:color w:val="auto"/>
              </w:rPr>
            </w:pPr>
          </w:p>
        </w:tc>
        <w:tc>
          <w:tcPr>
            <w:tcW w:w="7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noncontrolling interests and equity</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13,762,084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14,324,036</w:t>
            </w:r>
          </w:p>
        </w:tc>
      </w:tr>
      <w:tr>
        <w:trPr>
          <w:trHeight w:val="262"/>
        </w:trPr>
        <w:tc>
          <w:tcPr>
            <w:tcW w:w="76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 noncontrolling interests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28,963,119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29,264,046</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7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rental</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760,837</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735,581</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2,240,214</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2,160,965</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Tenant reinsurance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263,625</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Management fees and other income</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103,357</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889,792</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858,460</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2,619,971</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2,520,075</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operations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235,486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708,858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686,689</w:t>
            </w: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Tenant reinsurance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134,405</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189,598</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561,003</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535,088</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492,102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474,212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1,462,544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1,408,024</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real estate assets held for sale and sold, net</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(70,231)</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391,869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1,151,606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1,041,820</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(445,189)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(438,177)</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Non-cash interest expense related to amortization of discount on unsecured</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115,720</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124,553</w:t>
            </w: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Income before equity in earnings and dividend income from unconsolidated</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entities and income tax expense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160,972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787,136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693,027</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in earnings and dividend income from unconsolidated real estate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in earnings of unconsolidated real estate ventures - impairment (loss)</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joint venture interests and gain on sale of joint venture interests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787,744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721,674</w:t>
            </w:r>
          </w:p>
        </w:tc>
        <w:tc>
          <w:tcPr>
            <w:tcW w:w="0" w:type="dxa"/>
            <w:vAlign w:val="bottom"/>
          </w:tcPr>
          <w:p>
            <w:pPr>
              <w:spacing w:after="0"/>
              <w:rPr>
                <w:sz w:val="1"/>
                <w:szCs w:val="1"/>
                <w:color w:val="auto"/>
              </w:rPr>
            </w:pPr>
          </w:p>
        </w:tc>
      </w:tr>
      <w:tr>
        <w:trPr>
          <w:trHeight w:val="189"/>
        </w:trPr>
        <w:tc>
          <w:tcPr>
            <w:tcW w:w="5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 allocated to Preferred Operating Partnership noncontrolling</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 allocated to Operating Partnership and other noncontrolling</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(32,899)</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247,759</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752,207</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686,604</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210,646,953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211,963,870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210,834,426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211,918,589</w:t>
            </w:r>
          </w:p>
        </w:tc>
        <w:tc>
          <w:tcPr>
            <w:tcW w:w="0" w:type="dxa"/>
            <w:vAlign w:val="bottom"/>
          </w:tcPr>
          <w:p>
            <w:pPr>
              <w:spacing w:after="0"/>
              <w:rPr>
                <w:sz w:val="1"/>
                <w:szCs w:val="1"/>
                <w:color w:val="auto"/>
              </w:rPr>
            </w:pPr>
          </w:p>
        </w:tc>
      </w:tr>
      <w:tr>
        <w:trPr>
          <w:trHeight w:val="243"/>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220,026,029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221,304,958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220,236,197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211,918,589</w:t>
            </w:r>
          </w:p>
        </w:tc>
        <w:tc>
          <w:tcPr>
            <w:tcW w:w="0" w:type="dxa"/>
            <w:vAlign w:val="bottom"/>
          </w:tcPr>
          <w:p>
            <w:pPr>
              <w:spacing w:after="0"/>
              <w:rPr>
                <w:sz w:val="1"/>
                <w:szCs w:val="1"/>
                <w:color w:val="auto"/>
              </w:rPr>
            </w:pPr>
          </w:p>
        </w:tc>
      </w:tr>
      <w:tr>
        <w:trPr>
          <w:trHeight w:val="26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360" w:right="4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r>
      <w:tr>
        <w:trPr>
          <w:trHeight w:val="191"/>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259,445</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787,744</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721,674</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5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w:t>
            </w: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259,539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788,082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709,639</w:t>
            </w:r>
          </w:p>
        </w:tc>
      </w:tr>
      <w:tr>
        <w:trPr>
          <w:trHeight w:val="243"/>
        </w:trPr>
        <w:tc>
          <w:tcPr>
            <w:tcW w:w="5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34,503</w:t>
            </w: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stockholders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247,851</w:t>
            </w:r>
          </w:p>
        </w:tc>
        <w:tc>
          <w:tcPr>
            <w:tcW w:w="1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164,133</w:t>
            </w:r>
          </w:p>
        </w:tc>
        <w:tc>
          <w:tcPr>
            <w:tcW w:w="160" w:type="dxa"/>
            <w:vAlign w:val="bottom"/>
          </w:tcPr>
          <w:p>
            <w:pPr>
              <w:spacing w:after="0"/>
              <w:rPr>
                <w:sz w:val="20"/>
                <w:szCs w:val="20"/>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752,538</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675,136</w:t>
            </w: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7" w:right="479" w:bottom="1440" w:gutter="0" w:footer="0" w:header="0"/>
        </w:sectPr>
      </w:pPr>
    </w:p>
    <w:bookmarkStart w:id="7" w:name="page8"/>
    <w:bookmarkEnd w:id="7"/>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Noncontrolling Interests and Equity</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For the three and nine months ended September 30, 2026</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(unaudited, amounts in thousands, except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4620" w:type="dxa"/>
            <w:vAlign w:val="bottom"/>
            <w:gridSpan w:val="11"/>
          </w:tcPr>
          <w:p>
            <w:pPr>
              <w:ind w:left="84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60" w:type="dxa"/>
            <w:vAlign w:val="bottom"/>
            <w:gridSpan w:val="3"/>
            <w:vMerge w:val="continue"/>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70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2026</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859,864</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$11,748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211,273,076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$2,113</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$14,886,836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$(1,630,873)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14,177,334</w:t>
            </w:r>
          </w:p>
        </w:tc>
        <w:tc>
          <w:tcPr>
            <w:tcW w:w="0" w:type="dxa"/>
            <w:vAlign w:val="bottom"/>
          </w:tcPr>
          <w:p>
            <w:pPr>
              <w:spacing w:after="0"/>
              <w:rPr>
                <w:sz w:val="1"/>
                <w:szCs w:val="1"/>
                <w:color w:val="auto"/>
              </w:rPr>
            </w:pPr>
          </w:p>
        </w:tc>
      </w:tr>
      <w:tr>
        <w:trPr>
          <w:trHeight w:val="176"/>
        </w:trPr>
        <w:tc>
          <w:tcPr>
            <w:tcW w:w="26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share</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based compensation and taxes paid</w:t>
            </w:r>
          </w:p>
        </w:tc>
        <w:tc>
          <w:tcPr>
            <w:tcW w:w="2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upon net settlement</w:t>
            </w: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(2,390,497)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(327,179)</w:t>
            </w:r>
          </w:p>
        </w:tc>
        <w:tc>
          <w:tcPr>
            <w:tcW w:w="0" w:type="dxa"/>
            <w:vAlign w:val="bottom"/>
          </w:tcPr>
          <w:p>
            <w:pPr>
              <w:spacing w:after="0"/>
              <w:rPr>
                <w:sz w:val="1"/>
                <w:szCs w:val="1"/>
                <w:color w:val="auto"/>
              </w:rPr>
            </w:pPr>
          </w:p>
        </w:tc>
      </w:tr>
      <w:tr>
        <w:trPr>
          <w:trHeight w:val="175"/>
        </w:trPr>
        <w:tc>
          <w:tcPr>
            <w:tcW w:w="26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Noncontrolling interest in</w:t>
            </w:r>
          </w:p>
        </w:tc>
        <w:tc>
          <w:tcPr>
            <w:tcW w:w="20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joint ventures</w:t>
            </w: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11,002</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247,759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259,445</w:t>
            </w:r>
          </w:p>
        </w:tc>
        <w:tc>
          <w:tcPr>
            <w:tcW w:w="0" w:type="dxa"/>
            <w:vAlign w:val="bottom"/>
          </w:tcPr>
          <w:p>
            <w:pPr>
              <w:spacing w:after="0"/>
              <w:rPr>
                <w:sz w:val="1"/>
                <w:szCs w:val="1"/>
                <w:color w:val="auto"/>
              </w:rPr>
            </w:pPr>
          </w:p>
        </w:tc>
      </w:tr>
      <w:tr>
        <w:trPr>
          <w:trHeight w:val="22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Distributions to Operating Partnership</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units and other noncontrolling</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(15,194)</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(15,916)</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 at</w:t>
            </w:r>
          </w:p>
        </w:tc>
        <w:tc>
          <w:tcPr>
            <w:tcW w:w="20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(340,638)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(340,638)</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$1.62 per share</w:t>
            </w: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2026</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855,674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12,334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208,884,163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2,089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14,895,156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(2,050,907)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13,762,084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822,869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$14,174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211,155,322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$2,112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$14,880,646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$(1,449,172)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14,324,036</w:t>
            </w:r>
          </w:p>
        </w:tc>
        <w:tc>
          <w:tcPr>
            <w:tcW w:w="0" w:type="dxa"/>
            <w:vAlign w:val="bottom"/>
          </w:tcPr>
          <w:p>
            <w:pPr>
              <w:spacing w:after="0"/>
              <w:rPr>
                <w:sz w:val="1"/>
                <w:szCs w:val="1"/>
                <w:color w:val="auto"/>
              </w:rPr>
            </w:pPr>
          </w:p>
        </w:tc>
      </w:tr>
      <w:tr>
        <w:trPr>
          <w:trHeight w:val="176"/>
        </w:trPr>
        <w:tc>
          <w:tcPr>
            <w:tcW w:w="26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share</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based compensation and taxes paid</w:t>
            </w:r>
          </w:p>
        </w:tc>
        <w:tc>
          <w:tcPr>
            <w:tcW w:w="2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130,447</w:t>
            </w: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17,569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17,570</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upon net settlement</w:t>
            </w: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Redemption of Operating Partnership</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(13,655)</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 for cash</w:t>
            </w: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Repayment of receivable with</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Operating Partnership units pledged as</w:t>
            </w:r>
          </w:p>
        </w:tc>
        <w:tc>
          <w:tcPr>
            <w:tcW w:w="2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collateral</w:t>
            </w: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(2,401,606)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(328,622)</w:t>
            </w:r>
          </w:p>
        </w:tc>
        <w:tc>
          <w:tcPr>
            <w:tcW w:w="0" w:type="dxa"/>
            <w:vAlign w:val="bottom"/>
          </w:tcPr>
          <w:p>
            <w:pPr>
              <w:spacing w:after="0"/>
              <w:rPr>
                <w:sz w:val="1"/>
                <w:szCs w:val="1"/>
                <w:color w:val="auto"/>
              </w:rPr>
            </w:pPr>
          </w:p>
        </w:tc>
      </w:tr>
      <w:tr>
        <w:trPr>
          <w:trHeight w:val="175"/>
        </w:trPr>
        <w:tc>
          <w:tcPr>
            <w:tcW w:w="26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Purchase of remaining equity interest</w:t>
            </w:r>
          </w:p>
        </w:tc>
        <w:tc>
          <w:tcPr>
            <w:tcW w:w="20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8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(5,304)</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existing consolidated joint venture</w:t>
            </w: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Noncontrolling interest in</w:t>
            </w:r>
          </w:p>
        </w:tc>
        <w:tc>
          <w:tcPr>
            <w:tcW w:w="2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joint ventures</w:t>
            </w: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33,448</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787,744</w:t>
            </w:r>
          </w:p>
        </w:tc>
        <w:tc>
          <w:tcPr>
            <w:tcW w:w="0" w:type="dxa"/>
            <w:vAlign w:val="bottom"/>
          </w:tcPr>
          <w:p>
            <w:pPr>
              <w:spacing w:after="0"/>
              <w:rPr>
                <w:sz w:val="1"/>
                <w:szCs w:val="1"/>
                <w:color w:val="auto"/>
              </w:rPr>
            </w:pPr>
          </w:p>
        </w:tc>
      </w:tr>
      <w:tr>
        <w:trPr>
          <w:trHeight w:val="23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175"/>
        </w:trPr>
        <w:tc>
          <w:tcPr>
            <w:tcW w:w="26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Distributions to Operating Partnership</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units and other noncontrolling</w:t>
            </w: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(45,666)</w:t>
            </w: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(47,338)</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2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Dividends paid on common stock at</w:t>
            </w:r>
          </w:p>
        </w:tc>
        <w:tc>
          <w:tcPr>
            <w:tcW w:w="2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(1,025,344)</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$4.86 per share</w:t>
            </w: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2026</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47,827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855,674</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12,334</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208,884,163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2,089</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14,895,156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(2,050,907)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13,762,084</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80" w:top="117" w:right="2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Noncontrolling Interests and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three and nine months ended September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amounts in thousands, except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760" w:type="dxa"/>
            <w:vAlign w:val="bottom"/>
            <w:gridSpan w:val="10"/>
          </w:tcPr>
          <w:p>
            <w:pPr>
              <w:ind w:left="84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80" w:type="dxa"/>
            <w:vAlign w:val="bottom"/>
            <w:gridSpan w:val="3"/>
            <w:vMerge w:val="continue"/>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7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June 30, 2025</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820,254</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$12,166</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212,252,547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$2,123</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$14,860,946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3,203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(1,075,430)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14,677,089</w:t>
            </w: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for share</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based compensation and taxes paid</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6,929</w:t>
            </w:r>
          </w:p>
        </w:tc>
        <w:tc>
          <w:tcPr>
            <w:tcW w:w="0" w:type="dxa"/>
            <w:vAlign w:val="bottom"/>
          </w:tcPr>
          <w:p>
            <w:pPr>
              <w:spacing w:after="0"/>
              <w:rPr>
                <w:sz w:val="1"/>
                <w:szCs w:val="1"/>
                <w:color w:val="auto"/>
              </w:rPr>
            </w:pPr>
          </w:p>
        </w:tc>
      </w:tr>
      <w:tr>
        <w:trPr>
          <w:trHeight w:val="21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upon net settlement</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Redemption of Operating Partnership</w:t>
            </w: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for cash</w:t>
            </w: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Noncontrolling interest in</w:t>
            </w: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joint ventures</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174,033</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Distributions to Operating Partnership</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units and other noncontrolling</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(15,131)</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(15,912)</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Dividends paid on common stock at</w:t>
            </w: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(343,845)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(343,845)</w:t>
            </w:r>
          </w:p>
        </w:tc>
        <w:tc>
          <w:tcPr>
            <w:tcW w:w="0" w:type="dxa"/>
            <w:vAlign w:val="bottom"/>
          </w:tcPr>
          <w:p>
            <w:pPr>
              <w:spacing w:after="0"/>
              <w:rPr>
                <w:sz w:val="1"/>
                <w:szCs w:val="1"/>
                <w:color w:val="auto"/>
              </w:rPr>
            </w:pPr>
          </w:p>
        </w:tc>
      </w:tr>
      <w:tr>
        <w:trPr>
          <w:trHeight w:val="21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$1.62 per share</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811,596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13,368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212,247,389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2,123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14,867,437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(1,253,277)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14,496,412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76,092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823,898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$11,837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211,995,510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$14,831,946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(899,337)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14,859,362</w:t>
            </w: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for share</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based compensation and taxes paid</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134,656</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14,374</w:t>
            </w:r>
          </w:p>
        </w:tc>
        <w:tc>
          <w:tcPr>
            <w:tcW w:w="0" w:type="dxa"/>
            <w:vAlign w:val="bottom"/>
          </w:tcPr>
          <w:p>
            <w:pPr>
              <w:spacing w:after="0"/>
              <w:rPr>
                <w:sz w:val="1"/>
                <w:szCs w:val="1"/>
                <w:color w:val="auto"/>
              </w:rPr>
            </w:pPr>
          </w:p>
        </w:tc>
      </w:tr>
      <w:tr>
        <w:trPr>
          <w:trHeight w:val="21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upon net settlement</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Redemption of Operating Partnership</w:t>
            </w: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185,808</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for stock</w:t>
            </w: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Redemption of Operating Partnership</w:t>
            </w: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8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1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for cash</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Issuance of Operating Partnership</w:t>
            </w: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in conjunction with acquisitions</w:t>
            </w: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(68,585)</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0" w:type="dxa"/>
            <w:vAlign w:val="bottom"/>
          </w:tcPr>
          <w:p>
            <w:pPr>
              <w:spacing w:after="0"/>
              <w:rPr>
                <w:sz w:val="1"/>
                <w:szCs w:val="1"/>
                <w:color w:val="auto"/>
              </w:rPr>
            </w:pPr>
          </w:p>
        </w:tc>
      </w:tr>
      <w:tr>
        <w:trPr>
          <w:trHeight w:val="178"/>
        </w:trPr>
        <w:tc>
          <w:tcPr>
            <w:tcW w:w="2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Purchase of remaining equity interest</w:t>
            </w: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 existing consolidated joint venture</w:t>
            </w: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Noncontrolling interest in</w:t>
            </w: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8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21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joint ventures</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32,895</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721,674</w:t>
            </w:r>
          </w:p>
        </w:tc>
        <w:tc>
          <w:tcPr>
            <w:tcW w:w="0" w:type="dxa"/>
            <w:vAlign w:val="bottom"/>
          </w:tcPr>
          <w:p>
            <w:pPr>
              <w:spacing w:after="0"/>
              <w:rPr>
                <w:sz w:val="1"/>
                <w:szCs w:val="1"/>
                <w:color w:val="auto"/>
              </w:rPr>
            </w:pPr>
          </w:p>
        </w:tc>
      </w:tr>
      <w:tr>
        <w:trPr>
          <w:trHeight w:val="226"/>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0" w:type="dxa"/>
            <w:vAlign w:val="bottom"/>
          </w:tcPr>
          <w:p>
            <w:pPr>
              <w:spacing w:after="0"/>
              <w:rPr>
                <w:sz w:val="1"/>
                <w:szCs w:val="1"/>
                <w:color w:val="auto"/>
              </w:rPr>
            </w:pPr>
          </w:p>
        </w:tc>
      </w:tr>
      <w:tr>
        <w:trPr>
          <w:trHeight w:val="179"/>
        </w:trPr>
        <w:tc>
          <w:tcPr>
            <w:tcW w:w="2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Distributions to Operating Partnership</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units and other noncontrolling</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(45,631)</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(47,948)</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Dividends paid on common stock at</w:t>
            </w:r>
          </w:p>
        </w:tc>
        <w:tc>
          <w:tcPr>
            <w:tcW w:w="16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(1,031,930)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(1,031,930)</w:t>
            </w:r>
          </w:p>
        </w:tc>
        <w:tc>
          <w:tcPr>
            <w:tcW w:w="0" w:type="dxa"/>
            <w:vAlign w:val="bottom"/>
          </w:tcPr>
          <w:p>
            <w:pPr>
              <w:spacing w:after="0"/>
              <w:rPr>
                <w:sz w:val="1"/>
                <w:szCs w:val="1"/>
                <w:color w:val="auto"/>
              </w:rPr>
            </w:pPr>
          </w:p>
        </w:tc>
      </w:tr>
      <w:tr>
        <w:trPr>
          <w:trHeight w:val="213"/>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$4.86 per share</w:t>
            </w: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2025</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811,596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13,368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212,247,389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2,123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14,867,437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(1,253,277)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14,496,412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17" w:right="6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787,744</w:t>
            </w:r>
          </w:p>
        </w:tc>
        <w:tc>
          <w:tcPr>
            <w:tcW w:w="12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721,674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535,088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lease expense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unsecured senior notes, net</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share-based awards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Accrual of interest income added to principal of debt securities and notes receivable</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7820" w:type="dxa"/>
            <w:vAlign w:val="bottom"/>
          </w:tcPr>
          <w:p>
            <w:pPr>
              <w:ind w:left="660"/>
              <w:spacing w:after="0" w:line="175" w:lineRule="exact"/>
              <w:rPr>
                <w:sz w:val="20"/>
                <w:szCs w:val="20"/>
                <w:color w:val="auto"/>
              </w:rPr>
            </w:pPr>
            <w:r>
              <w:rPr>
                <w:rFonts w:ascii="Times New Roman" w:cs="Times New Roman" w:eastAsia="Times New Roman" w:hAnsi="Times New Roman"/>
                <w:sz w:val="16"/>
                <w:szCs w:val="16"/>
                <w:color w:val="auto"/>
              </w:rPr>
              <w:t>Equity in earnings of unconsolidated real estate ventures - impairment loss on joint venture interests and</w:t>
            </w: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(gain) on sale of joint venture interests</w:t>
            </w: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Loss on real estate assets held for sale and sold, net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Distributions in excess of earnings from unconsolidated real estate ventures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78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96,048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121,191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1,543,393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1,482,396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 and improvements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(587,547)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Return of investment in unconsolidated real estate ventures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Development and redevelopment of real estate assets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real estate assets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168,747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unconsolidated real estate entities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(512,377)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received on notes receivable</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306,187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137,962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notes receivable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equipment and fixtures</w:t>
            </w:r>
          </w:p>
        </w:tc>
        <w:tc>
          <w:tcPr>
            <w:tcW w:w="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7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(697,662)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secured and unsecured term loans, senior notes, revolving lines of credit and commercial paper</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15,949,770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11,436,343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7820" w:type="dxa"/>
            <w:vAlign w:val="bottom"/>
            <w:shd w:val="clear" w:color="auto" w:fill="CCEEFF"/>
          </w:tcPr>
          <w:p>
            <w:pPr>
              <w:ind w:left="340"/>
              <w:spacing w:after="0" w:line="178" w:lineRule="exact"/>
              <w:rPr>
                <w:sz w:val="20"/>
                <w:szCs w:val="20"/>
                <w:color w:val="auto"/>
              </w:rPr>
            </w:pPr>
            <w:r>
              <w:rPr>
                <w:rFonts w:ascii="Times New Roman" w:cs="Times New Roman" w:eastAsia="Times New Roman" w:hAnsi="Times New Roman"/>
                <w:sz w:val="16"/>
                <w:szCs w:val="16"/>
                <w:color w:val="auto"/>
              </w:rPr>
              <w:t>Principal payments on secured and unsecured term loans, senior notes, revolving lines of credit and commercial</w:t>
            </w: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(15,760,302)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(12,780,602)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paper</w:t>
            </w: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public bonds, net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 of public bonds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Redemption of Operating Partnership units for cash</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Redemption of Preferred OP units for cash</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(1,025,344)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to noncontrolling interests, net of contributions</w:t>
            </w:r>
          </w:p>
        </w:tc>
        <w:tc>
          <w:tcPr>
            <w:tcW w:w="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7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(1,280,483)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8100" w:type="dxa"/>
            <w:vAlign w:val="bottom"/>
            <w:gridSpan w:val="2"/>
          </w:tcPr>
          <w:p>
            <w:pPr>
              <w:jc w:val="right"/>
              <w:ind w:right="2299"/>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7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8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143,303</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116,234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including restricted cash at the beginning of the period:</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138,920</w:t>
            </w:r>
          </w:p>
        </w:tc>
        <w:tc>
          <w:tcPr>
            <w:tcW w:w="1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143,303</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including restricted cash at the end of the period: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114,824</w:t>
            </w:r>
          </w:p>
        </w:tc>
        <w:tc>
          <w:tcPr>
            <w:tcW w:w="1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116,234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448,509</w:t>
            </w:r>
          </w:p>
        </w:tc>
        <w:tc>
          <w:tcPr>
            <w:tcW w:w="1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433,412</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 for common stock</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(26,218)</w:t>
            </w:r>
          </w:p>
        </w:tc>
        <w:tc>
          <w:tcPr>
            <w:tcW w:w="0" w:type="dxa"/>
            <w:vAlign w:val="bottom"/>
          </w:tcPr>
          <w:p>
            <w:pPr>
              <w:spacing w:after="0"/>
              <w:rPr>
                <w:sz w:val="1"/>
                <w:szCs w:val="1"/>
                <w:color w:val="auto"/>
              </w:rPr>
            </w:pPr>
          </w:p>
        </w:tc>
      </w:tr>
      <w:tr>
        <w:trPr>
          <w:trHeight w:val="227"/>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paid-in capital</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26,218</w:t>
            </w: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Remeasurement of lease right of use assets and lease liabilities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 estate assets - operating lease right-of-use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1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43"/>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assets, net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Acquisitions of real estate assets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Real estate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111,984</w:t>
            </w:r>
          </w:p>
        </w:tc>
        <w:tc>
          <w:tcPr>
            <w:tcW w:w="0" w:type="dxa"/>
            <w:vAlign w:val="bottom"/>
          </w:tcPr>
          <w:p>
            <w:pPr>
              <w:spacing w:after="0"/>
              <w:rPr>
                <w:sz w:val="1"/>
                <w:szCs w:val="1"/>
                <w:color w:val="auto"/>
              </w:rPr>
            </w:pPr>
          </w:p>
        </w:tc>
      </w:tr>
      <w:tr>
        <w:trPr>
          <w:trHeight w:val="226"/>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Value of OP units issued</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Value of investment in consolidated real estate ventures</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(105,471)</w:t>
            </w:r>
          </w:p>
        </w:tc>
        <w:tc>
          <w:tcPr>
            <w:tcW w:w="0" w:type="dxa"/>
            <w:vAlign w:val="bottom"/>
          </w:tcPr>
          <w:p>
            <w:pPr>
              <w:spacing w:after="0"/>
              <w:rPr>
                <w:sz w:val="1"/>
                <w:szCs w:val="1"/>
                <w:color w:val="auto"/>
              </w:rPr>
            </w:pPr>
          </w:p>
        </w:tc>
      </w:tr>
      <w:tr>
        <w:trPr>
          <w:trHeight w:val="226"/>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liabilities assumed</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Bridge loan receivable</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Accrued construction costs and capital expenditures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0" w:type="dxa"/>
            <w:vAlign w:val="bottom"/>
          </w:tcPr>
          <w:p>
            <w:pPr>
              <w:spacing w:after="0"/>
              <w:rPr>
                <w:sz w:val="1"/>
                <w:szCs w:val="1"/>
                <w:color w:val="auto"/>
              </w:rPr>
            </w:pPr>
          </w:p>
        </w:tc>
      </w:tr>
      <w:tr>
        <w:trPr>
          <w:trHeight w:val="22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600" w:top="360" w:right="5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Extra Space Storage Inc. (the “Company”) is a fully integrated, self-administered and self-managed real estate investment trust (“REIT”), formed as a Maryland corporation on April 30, 2004, to own, operate, manage, acquire, develop and redevelop self-storage properties (“stores”) and provide lending to owners of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w:t>
      </w:r>
    </w:p>
    <w:p>
      <w:pPr>
        <w:spacing w:after="0" w:line="18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invests in stores by acquiring wholly-owned stores or by acquiring an equity interest in real estate entities. At September 30, 2026, the Company had direct and indirect equity interests in 2,448 stores. In addition, the Company managed 1,963 stores for third parties, bringing the total number of stores which it owns and/or manages to 4,411. These stores are located in 43 states and Washington, D.C. The Company offers tenant reinsurance at its owned and managed stores that insures the value of goods in the storage units and also offers bridge loan financing to third-party self-storage owners primarily for whom it manages properties.</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nine months ended September 30, 2026 are not necessarily indicative of results that may be expected for the year ending December 31, 2026. The condensed consolidated balance sheet as of December 31, 2025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2025, as filed with the Securities and Exchange Commission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(the “FASB”) issued ASU No. 2024-03 – </w:t>
      </w:r>
      <w:r>
        <w:rPr>
          <w:rFonts w:ascii="Times New Roman" w:cs="Times New Roman" w:eastAsia="Times New Roman" w:hAnsi="Times New Roman"/>
          <w:sz w:val="18"/>
          <w:szCs w:val="18"/>
          <w:i w:val="1"/>
          <w:iCs w:val="1"/>
          <w:color w:val="auto"/>
        </w:rPr>
        <w:t>“Income Statement—Reporting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Income—Expense Disaggregation Disclosures (Subtopic 220-40)”. </w:t>
      </w:r>
      <w:r>
        <w:rPr>
          <w:rFonts w:ascii="Times New Roman" w:cs="Times New Roman" w:eastAsia="Times New Roman" w:hAnsi="Times New Roman"/>
          <w:sz w:val="18"/>
          <w:szCs w:val="18"/>
          <w:color w:val="auto"/>
        </w:rPr>
        <w:t>The guidance requires the disclosure of additional information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costs and expenses, including amounts of inventory purchases, employee compensation, and depreciation and amortization included in each income statement line item. For any remaining items within each relevant expense caption, entities must provide a qualitative description of the nature of those expenses. The guidance also requires disclosure of the total amount of selling expenses and the entity’s definition of selling expenses. The guidance is effective for annual periods beginning after December 15, 2026 and interim periods within fiscal years beginning after December 15, 2027; therefore, compliance with this ASU will be required beginning with the Company’s Annual Report on Form 10-K for the year ending December 31, 2027. The guidance may be applied prospectively or retrospectively, and early adoption is permitted. Although the adoption is not expected to have a significant impact on the Company's financial statements, it is expected to result in incremental disclosures within the notes to the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8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fair value measurement guidance by the FASB, the Company made an accounting policy election to measure the credit risk of its derivative financial instruments that are subject to master netting agreements on a net basis by counterparty portfolio.</w:t>
      </w:r>
    </w:p>
    <w:p>
      <w:pPr>
        <w:spacing w:after="0" w:line="183"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2026, the Company has assessed the significance of the impact of the credit valuation adjustments on the overall valuation of its derivative positions and has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187" w:lineRule="exact"/>
        <w:rPr>
          <w:sz w:val="20"/>
          <w:szCs w:val="20"/>
          <w:color w:val="auto"/>
        </w:rPr>
      </w:pPr>
    </w:p>
    <w:p>
      <w:pPr>
        <w:ind w:right="40" w:firstLine="445"/>
        <w:spacing w:after="0" w:line="278" w:lineRule="auto"/>
        <w:rPr>
          <w:sz w:val="20"/>
          <w:szCs w:val="20"/>
          <w:color w:val="auto"/>
        </w:rPr>
      </w:pPr>
      <w:r>
        <w:rPr>
          <w:rFonts w:ascii="Times New Roman" w:cs="Times New Roman" w:eastAsia="Times New Roman" w:hAnsi="Times New Roman"/>
          <w:sz w:val="18"/>
          <w:szCs w:val="18"/>
          <w:color w:val="auto"/>
        </w:rPr>
        <w:t>The table below presents the Company’s assets and liabilities measured at fair value on a recurring basis as of September 30, 2026, aggregated by the level in the fair value hierarchy within which those measurements fall:</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6"/>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 swap agreements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120" w:type="dxa"/>
            <w:vAlign w:val="bottom"/>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Company did not have any significant assets or liabilities that are re-measured on a recurring basis using significant unobservable inputs as of September 30, 2026 or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227" w:lineRule="exact"/>
        <w:rPr>
          <w:sz w:val="20"/>
          <w:szCs w:val="20"/>
          <w:color w:val="auto"/>
        </w:rPr>
      </w:pPr>
    </w:p>
    <w:p>
      <w:pPr>
        <w:jc w:val="both"/>
        <w:ind w:right="20" w:firstLine="445"/>
        <w:spacing w:after="0" w:line="281" w:lineRule="auto"/>
        <w:rPr>
          <w:sz w:val="20"/>
          <w:szCs w:val="20"/>
          <w:color w:val="auto"/>
        </w:rPr>
      </w:pPr>
      <w:r>
        <w:rPr>
          <w:rFonts w:ascii="Times New Roman" w:cs="Times New Roman" w:eastAsia="Times New Roman" w:hAnsi="Times New Roman"/>
          <w:sz w:val="17"/>
          <w:szCs w:val="17"/>
          <w:color w:val="auto"/>
        </w:rPr>
        <w:t>Long-lived assets held for use are evaluated for impairment when events or circumstances, including the Company’s assumptions about the use of the asset, indicate there may be impairment. The Company reviews each store at least annually to determine if any such events or circumstances have occurred or exist. The Company focuses on stores that do not have positive net operating cash flows. For these stores, the Company determines whether the decrease in net operating cash flow is temporary or permanent, and whether the store will likely generate positive net operating cash flows in the short term.</w:t>
      </w:r>
    </w:p>
    <w:p>
      <w:pPr>
        <w:spacing w:after="0" w:line="164"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carrying value of the assets exceeds the undiscounted future net operating cash flows attributable to the assets. The impairment loss recognized equals the excess of carrying value over the related fair value of the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their estimated fair value, supported by current third-party appraisal or broker market data (categorized within Level 3 of the fair value hierarchy). If the estimated fair value, net of selling costs, is less than the carrying value of the assets, the Company would recognize a loss on the assets held for sale. The operations of assets held for sale or sold during the period are presented as part of normal operations. As of September 30, 2026, the Company had four stores classified as held for sale, which are included in real estate assets, net. Refer to note 4 for additional details on disposition and held for sale activity.</w:t>
      </w:r>
    </w:p>
    <w:p>
      <w:pPr>
        <w:spacing w:after="0" w:line="187"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8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for the amount in which the carrying value of the reporting unit exceeds the fair value. No impairments of goodwill were recorded for any period presented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receivables, investments in debt securities and notes receivable, accounts payable and accrued expenses, variable-rate notes payable, revolving lines of credit and commercial paper and other liabilities reflected in the condensed consolidated balance sheets at September 30, 2026 and December 31, 2025 approximate fair value. Restricted cash is comprised of funds deposited with financial institutions located throughout the United States and the Cayman Islands, primarily relating to operating cash reserve for the Company’s captive insurance subsidiary and earnest money deposits on potential acquisitions.</w:t>
      </w:r>
    </w:p>
    <w:p>
      <w:pPr>
        <w:spacing w:after="0" w:line="183"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of the Company’s fixed-rate assets and liabilities were as follows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7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ind w:left="320"/>
              <w:spacing w:after="0" w:line="172" w:lineRule="exact"/>
              <w:rPr>
                <w:sz w:val="20"/>
                <w:szCs w:val="20"/>
                <w:color w:val="auto"/>
              </w:rPr>
            </w:pPr>
            <w:r>
              <w:rPr>
                <w:rFonts w:ascii="Times New Roman" w:cs="Times New Roman" w:eastAsia="Times New Roman" w:hAnsi="Times New Roman"/>
                <w:sz w:val="16"/>
                <w:szCs w:val="16"/>
                <w:b w:val="1"/>
                <w:bCs w:val="1"/>
                <w:color w:val="auto"/>
              </w:rPr>
              <w:t>Fair</w:t>
            </w:r>
          </w:p>
        </w:tc>
        <w:tc>
          <w:tcPr>
            <w:tcW w:w="160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20" w:type="dxa"/>
            <w:vAlign w:val="bottom"/>
            <w:gridSpan w:val="2"/>
          </w:tcPr>
          <w:p>
            <w:pPr>
              <w:ind w:left="240"/>
              <w:spacing w:after="0" w:line="172" w:lineRule="exact"/>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4"/>
                <w:szCs w:val="14"/>
                <w:color w:val="auto"/>
              </w:rPr>
            </w:pPr>
          </w:p>
        </w:tc>
        <w:tc>
          <w:tcPr>
            <w:tcW w:w="1180" w:type="dxa"/>
            <w:vAlign w:val="bottom"/>
          </w:tcPr>
          <w:p>
            <w:pPr>
              <w:jc w:val="right"/>
              <w:ind w:right="334"/>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r>
      <w:tr>
        <w:trPr>
          <w:trHeight w:val="214"/>
        </w:trPr>
        <w:tc>
          <w:tcPr>
            <w:tcW w:w="5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3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receivable from Common Operating Partnership unit holder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receivable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62,207</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10,277,727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10,772,847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10,967,415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10,966,511</w:t>
            </w:r>
          </w:p>
        </w:tc>
      </w:tr>
      <w:tr>
        <w:trPr>
          <w:trHeight w:val="905"/>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 AND DISPOSITIONS</w:t>
      </w:r>
    </w:p>
    <w:p>
      <w:pPr>
        <w:spacing w:after="0" w:line="229" w:lineRule="exact"/>
        <w:rPr>
          <w:sz w:val="20"/>
          <w:szCs w:val="20"/>
          <w:color w:val="auto"/>
        </w:rPr>
      </w:pPr>
    </w:p>
    <w:p>
      <w:pPr>
        <w:ind w:left="26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acquisitions of stores for the three and nine months ended September 30, 2026 and 2025. The table excludes purchases of raw land and improvements made to existing assets. All store acquisitions are considered asset acquisitions under 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w:t>
      </w:r>
    </w:p>
    <w:p>
      <w:pPr>
        <w:spacing w:after="0" w:line="10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Bridge Loan</w:t>
            </w:r>
          </w:p>
        </w:tc>
        <w:tc>
          <w:tcPr>
            <w:tcW w:w="180" w:type="dxa"/>
            <w:vAlign w:val="bottom"/>
          </w:tcPr>
          <w:p>
            <w:pPr>
              <w:spacing w:after="0"/>
              <w:rPr>
                <w:sz w:val="13"/>
                <w:szCs w:val="13"/>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 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Liabilities/</w:t>
            </w:r>
          </w:p>
        </w:tc>
        <w:tc>
          <w:tcPr>
            <w:tcW w:w="18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80" w:type="dxa"/>
            <w:vAlign w:val="bottom"/>
          </w:tcPr>
          <w:p>
            <w:pPr>
              <w:spacing w:after="0"/>
              <w:rPr>
                <w:sz w:val="13"/>
                <w:szCs w:val="13"/>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Adjustment of</w:t>
            </w:r>
          </w:p>
        </w:tc>
        <w:tc>
          <w:tcPr>
            <w:tcW w:w="140" w:type="dxa"/>
            <w:vAlign w:val="bottom"/>
          </w:tcPr>
          <w:p>
            <w:pPr>
              <w:spacing w:after="0"/>
              <w:rPr>
                <w:sz w:val="12"/>
                <w:szCs w:val="12"/>
                <w:color w:val="auto"/>
              </w:rPr>
            </w:pPr>
          </w:p>
        </w:tc>
        <w:tc>
          <w:tcPr>
            <w:tcW w:w="90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80" w:type="dxa"/>
            <w:vAlign w:val="bottom"/>
          </w:tcPr>
          <w:p>
            <w:pPr>
              <w:spacing w:after="0"/>
              <w:rPr>
                <w:sz w:val="12"/>
                <w:szCs w:val="12"/>
                <w:color w:val="auto"/>
              </w:rPr>
            </w:pPr>
          </w:p>
        </w:tc>
        <w:tc>
          <w:tcPr>
            <w:tcW w:w="84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0" w:type="dxa"/>
            <w:vAlign w:val="bottom"/>
          </w:tcPr>
          <w:p>
            <w:pPr>
              <w:spacing w:after="0"/>
              <w:rPr>
                <w:sz w:val="1"/>
                <w:szCs w:val="1"/>
                <w:color w:val="auto"/>
              </w:rPr>
            </w:pPr>
          </w:p>
        </w:tc>
      </w:tr>
      <w:tr>
        <w:trPr>
          <w:trHeight w:val="198"/>
        </w:trPr>
        <w:tc>
          <w:tcPr>
            <w:tcW w:w="94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Payoff</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Debt Assumed</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Issued</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1"/>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Q3 2026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Q2 2026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53,984</w:t>
            </w:r>
          </w:p>
        </w:tc>
        <w:tc>
          <w:tcPr>
            <w:tcW w:w="180" w:type="dxa"/>
            <w:vAlign w:val="bottom"/>
          </w:tcPr>
          <w:p>
            <w:pPr>
              <w:spacing w:after="0"/>
              <w:rPr>
                <w:sz w:val="21"/>
                <w:szCs w:val="21"/>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32,680</w:t>
            </w:r>
          </w:p>
        </w:tc>
        <w:tc>
          <w:tcPr>
            <w:tcW w:w="180" w:type="dxa"/>
            <w:vAlign w:val="bottom"/>
          </w:tcPr>
          <w:p>
            <w:pPr>
              <w:spacing w:after="0"/>
              <w:rPr>
                <w:sz w:val="21"/>
                <w:szCs w:val="21"/>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21"/>
                <w:szCs w:val="21"/>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87,214</w:t>
            </w:r>
          </w:p>
        </w:tc>
        <w:tc>
          <w:tcPr>
            <w:tcW w:w="0" w:type="dxa"/>
            <w:vAlign w:val="bottom"/>
          </w:tcPr>
          <w:p>
            <w:pPr>
              <w:spacing w:after="0"/>
              <w:rPr>
                <w:sz w:val="1"/>
                <w:szCs w:val="1"/>
                <w:color w:val="auto"/>
              </w:rPr>
            </w:pPr>
          </w:p>
        </w:tc>
      </w:tr>
      <w:tr>
        <w:trPr>
          <w:trHeight w:val="243"/>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Q1 2026</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Total 2026</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148,497</w:t>
            </w: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Q3 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43"/>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Q2 2025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161,738</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258,000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(10,049)</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448,928</w:t>
            </w:r>
          </w:p>
        </w:tc>
        <w:tc>
          <w:tcPr>
            <w:tcW w:w="0" w:type="dxa"/>
            <w:vAlign w:val="bottom"/>
          </w:tcPr>
          <w:p>
            <w:pPr>
              <w:spacing w:after="0"/>
              <w:rPr>
                <w:sz w:val="1"/>
                <w:szCs w:val="1"/>
                <w:color w:val="auto"/>
              </w:rPr>
            </w:pPr>
          </w:p>
        </w:tc>
      </w:tr>
      <w:tr>
        <w:trPr>
          <w:trHeight w:val="243"/>
        </w:trPr>
        <w:tc>
          <w:tcPr>
            <w:tcW w:w="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Q1 2025</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117,075</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105,471</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248,221</w:t>
            </w:r>
          </w:p>
        </w:tc>
        <w:tc>
          <w:tcPr>
            <w:tcW w:w="0" w:type="dxa"/>
            <w:vAlign w:val="bottom"/>
          </w:tcPr>
          <w:p>
            <w:pPr>
              <w:spacing w:after="0"/>
              <w:rPr>
                <w:sz w:val="1"/>
                <w:szCs w:val="1"/>
                <w:color w:val="auto"/>
              </w:rPr>
            </w:pPr>
          </w:p>
        </w:tc>
      </w:tr>
      <w:tr>
        <w:trPr>
          <w:trHeight w:val="262"/>
        </w:trPr>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2025</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258,000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(10,049)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710,064</w:t>
            </w: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and Held for Sale Activity</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disposition and held for sale activity for the periods indicated:</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Carrying Value of Assets</w:t>
            </w:r>
          </w:p>
        </w:tc>
        <w:tc>
          <w:tcPr>
            <w:tcW w:w="140" w:type="dxa"/>
            <w:vAlign w:val="bottom"/>
          </w:tcPr>
          <w:p>
            <w:pPr>
              <w:spacing w:after="0"/>
              <w:rPr>
                <w:sz w:val="16"/>
                <w:szCs w:val="16"/>
                <w:color w:val="auto"/>
              </w:rPr>
            </w:pPr>
          </w:p>
        </w:tc>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 / Loss Recognized</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214"/>
        </w:trPr>
        <w:tc>
          <w:tcPr>
            <w:tcW w:w="26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Held for Sale</w:t>
            </w: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vMerge w:val="continue"/>
          </w:tcPr>
          <w:p>
            <w:pPr>
              <w:spacing w:after="0"/>
              <w:rPr>
                <w:sz w:val="18"/>
                <w:szCs w:val="18"/>
                <w:color w:val="auto"/>
              </w:rPr>
            </w:pPr>
          </w:p>
        </w:tc>
        <w:tc>
          <w:tcPr>
            <w:tcW w:w="12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0" w:type="dxa"/>
            <w:vAlign w:val="bottom"/>
          </w:tcPr>
          <w:p>
            <w:pPr>
              <w:spacing w:after="0"/>
              <w:rPr>
                <w:sz w:val="1"/>
                <w:szCs w:val="1"/>
                <w:color w:val="auto"/>
              </w:rPr>
            </w:pPr>
          </w:p>
        </w:tc>
      </w:tr>
      <w:tr>
        <w:trPr>
          <w:trHeight w:val="225"/>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 Activity</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Q2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ending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Removals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Q3</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 Activity</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(39,520)</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ending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Q2</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ending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Q3</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194,087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70,231</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60" w:firstLine="445"/>
        <w:spacing w:after="0" w:line="266" w:lineRule="auto"/>
        <w:rPr>
          <w:sz w:val="20"/>
          <w:szCs w:val="20"/>
          <w:color w:val="auto"/>
        </w:rPr>
      </w:pPr>
      <w:r>
        <w:rPr>
          <w:rFonts w:ascii="Times New Roman" w:cs="Times New Roman" w:eastAsia="Times New Roman" w:hAnsi="Times New Roman"/>
          <w:sz w:val="18"/>
          <w:szCs w:val="18"/>
          <w:color w:val="auto"/>
        </w:rPr>
        <w:t>The net losses are shown on the Company’s condensed consolidated statements of operations for the three and nine months ended September 30, 2026 and 2025 as loss on real estate assets held for sale and sold, net. Assets held for sale are included in real estate assets, net, as well as in the self-storage operations segment of the Company’s segment information.</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REAL ESTATE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real estate assets are summarized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3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5,155,953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5,135,719</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improvements and other intangibles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23,627,672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23,234,033</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 finance lease</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141,194</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tenant relationships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334,669</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rights</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37,771</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29,293,967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28,883,386</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(4,503,974)</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(3,982,125)</w:t>
            </w:r>
          </w:p>
        </w:tc>
        <w:tc>
          <w:tcPr>
            <w:tcW w:w="0" w:type="dxa"/>
            <w:vAlign w:val="bottom"/>
          </w:tcPr>
          <w:p>
            <w:pPr>
              <w:spacing w:after="0"/>
              <w:rPr>
                <w:sz w:val="1"/>
                <w:szCs w:val="1"/>
                <w:color w:val="auto"/>
              </w:rPr>
            </w:pPr>
          </w:p>
        </w:tc>
      </w:tr>
      <w:tr>
        <w:trPr>
          <w:trHeight w:val="237"/>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real estate 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24,789,993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24,901,261</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under development/redevelopment</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110,154</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103,089</w:t>
            </w:r>
          </w:p>
        </w:tc>
        <w:tc>
          <w:tcPr>
            <w:tcW w:w="0" w:type="dxa"/>
            <w:vAlign w:val="bottom"/>
          </w:tcPr>
          <w:p>
            <w:pPr>
              <w:spacing w:after="0"/>
              <w:rPr>
                <w:sz w:val="1"/>
                <w:szCs w:val="1"/>
                <w:color w:val="auto"/>
              </w:rPr>
            </w:pPr>
          </w:p>
        </w:tc>
      </w:tr>
      <w:tr>
        <w:trPr>
          <w:trHeight w:val="23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assets, net</w:t>
            </w: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24,900,147</w:t>
            </w:r>
          </w:p>
        </w:tc>
        <w:tc>
          <w:tcPr>
            <w:tcW w:w="10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25,004,350</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ASSETS</w:t>
            </w: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5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components of other assets are summarized as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7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4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170,811</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142,120</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102,656</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fixtures,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65,154</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line of credit financing costs, net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interest rate swaps</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467,600</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COMMON SHARE</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the two-class, treasury stock or if-converted method, whichever is most dilutive. Potential common shares are securities (such as Series B Redeemable Preferred Units (“Series B Units”), Series D Redeemable Preferred Units (“Series D Units” and, together with the Series B Units, the “Preferred OP Units”) and common Operating Partnership units (“OP Units”)) that do not have a current right to participate in earnings of the Company but could do so in the future by virtue of their redemption right.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computing the dilutive effect of convertible securities, net income is adjusted to add back any changes in earnings in the period associated with the convertible security. The numerator is also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w:t>
      </w:r>
    </w:p>
    <w:p>
      <w:pPr>
        <w:spacing w:after="0" w:line="1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For the purposes of computing the diluted impact of the potential exchange of the Preferred OP Units for common shares upon redemption, where the Company has the option to redeem in cash or shares, the Company divided the total liquidation value of the Preferred OP Units by the average share price for the period presented. The average share price for the three months ended September 30, 2026 and 2025 was $143.53 and $143.62, respectively. The average share price for the nine months ended September 30, 2026 and 2025 was $142.50 and $146.84, respectively.</w:t>
      </w:r>
    </w:p>
    <w:p>
      <w:pPr>
        <w:spacing w:after="0" w:line="180" w:lineRule="exact"/>
        <w:rPr>
          <w:sz w:val="20"/>
          <w:szCs w:val="20"/>
          <w:color w:val="auto"/>
        </w:rPr>
      </w:pPr>
    </w:p>
    <w:p>
      <w:pPr>
        <w:ind w:right="240" w:firstLine="445"/>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number of weighted OP Units and Preferred OP Units, and the potential common shares, that were excluded from the computation of earnings per share as their effect would have been anti-dilutive:</w:t>
      </w:r>
    </w:p>
    <w:tbl>
      <w:tblPr>
        <w:tblLayout w:type="fixed"/>
        <w:tblInd w:w="70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36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00" w:type="dxa"/>
            <w:vAlign w:val="bottom"/>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2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27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2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44"/>
        </w:trPr>
        <w:tc>
          <w:tcPr>
            <w:tcW w:w="2780" w:type="dxa"/>
            <w:vAlign w:val="bottom"/>
          </w:tcPr>
          <w:p>
            <w:pPr>
              <w:spacing w:after="0"/>
              <w:rPr>
                <w:sz w:val="12"/>
                <w:szCs w:val="12"/>
                <w:color w:val="auto"/>
              </w:rPr>
            </w:pPr>
          </w:p>
        </w:tc>
        <w:tc>
          <w:tcPr>
            <w:tcW w:w="180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Equivalent Shares</w:t>
            </w:r>
          </w:p>
        </w:tc>
        <w:tc>
          <w:tcPr>
            <w:tcW w:w="18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Equivalent Shares</w:t>
            </w:r>
          </w:p>
        </w:tc>
        <w:tc>
          <w:tcPr>
            <w:tcW w:w="17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Equivalent Shares</w:t>
            </w:r>
          </w:p>
        </w:tc>
        <w:tc>
          <w:tcPr>
            <w:tcW w:w="1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Equivalent Shares</w:t>
            </w:r>
          </w:p>
        </w:tc>
      </w:tr>
      <w:tr>
        <w:trPr>
          <w:trHeight w:val="195"/>
        </w:trPr>
        <w:tc>
          <w:tcPr>
            <w:tcW w:w="278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(if converted)</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(if converted)</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(if converted)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(if converted)</w:t>
            </w:r>
          </w:p>
        </w:tc>
      </w:tr>
      <w:tr>
        <w:trPr>
          <w:trHeight w:val="24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OP Units</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9,357,864</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233,729</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235,566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228,604</w:t>
            </w: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 Units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99,351</w:t>
            </w:r>
          </w:p>
        </w:tc>
        <w:tc>
          <w:tcPr>
            <w:tcW w:w="12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141,066</w:t>
            </w:r>
          </w:p>
        </w:tc>
        <w:tc>
          <w:tcPr>
            <w:tcW w:w="1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161,300</w:t>
            </w:r>
          </w:p>
        </w:tc>
      </w:tr>
      <w:tr>
        <w:trPr>
          <w:trHeight w:val="237"/>
        </w:trPr>
        <w:tc>
          <w:tcPr>
            <w:tcW w:w="278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333,227</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374,795</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338,566</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9,747,768</w:t>
            </w:r>
          </w:p>
        </w:tc>
      </w:tr>
      <w:tr>
        <w:trPr>
          <w:trHeight w:val="20"/>
        </w:trPr>
        <w:tc>
          <w:tcPr>
            <w:tcW w:w="2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earnings per common share is as follows for the periods presented:</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7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6"/>
        </w:trPr>
        <w:tc>
          <w:tcPr>
            <w:tcW w:w="5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10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w:t>
            </w:r>
          </w:p>
        </w:tc>
        <w:tc>
          <w:tcPr>
            <w:tcW w:w="1040" w:type="dxa"/>
            <w:vAlign w:val="bottom"/>
            <w:tcBorders>
              <w:bottom w:val="single" w:sz="8" w:color="auto"/>
            </w:tcBorders>
          </w:tcPr>
          <w:p>
            <w:pPr>
              <w:spacing w:after="0"/>
              <w:rPr>
                <w:sz w:val="17"/>
                <w:szCs w:val="17"/>
                <w:color w:val="auto"/>
              </w:rPr>
            </w:pPr>
          </w:p>
        </w:tc>
      </w:tr>
      <w:tr>
        <w:trPr>
          <w:trHeight w:val="192"/>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247,759</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752,207</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686,604</w:t>
            </w:r>
          </w:p>
        </w:tc>
      </w:tr>
      <w:tr>
        <w:trPr>
          <w:trHeight w:val="243"/>
        </w:trPr>
        <w:tc>
          <w:tcPr>
            <w:tcW w:w="58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Earnings and dividends allocated to participating securities</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3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basic computations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750,853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685,309</w:t>
            </w:r>
          </w:p>
        </w:tc>
      </w:tr>
      <w:tr>
        <w:trPr>
          <w:trHeight w:val="189"/>
        </w:trPr>
        <w:tc>
          <w:tcPr>
            <w:tcW w:w="580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Income allocated to noncontrolling interest - Preferred OP Units and OP</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3"/>
        </w:trPr>
        <w:tc>
          <w:tcPr>
            <w:tcW w:w="58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Units</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diluted computations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258,302</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172,861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784,301</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685,309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5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Average number of common shares outstanding - basic</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210,646,953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211,963,870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210,834,426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211,918,589</w:t>
            </w:r>
          </w:p>
        </w:tc>
      </w:tr>
      <w:tr>
        <w:trPr>
          <w:trHeight w:val="243"/>
        </w:trPr>
        <w:tc>
          <w:tcPr>
            <w:tcW w:w="5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OP Units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9,379,076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9,341,088</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9,401,771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common shares outstanding - diluted</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220,026,029</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221,304,958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220,236,197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211,918,589</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5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5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INVESTMENTS IN UNCONSOLIDATED REAL ESTATE ENTITIES</w:t>
      </w:r>
    </w:p>
    <w:p>
      <w:pPr>
        <w:spacing w:after="0" w:line="22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Investments in unconsolidated real estate entities and cash distributions in unconsolidated real estate ventures represent the Company’s interest in preferred stock of Strategic Storage Trust VI, Inc. and Strategic Storage Growth Trust III, Inc. (collectively, “Strategic Storage”), affiliates of SmartStop Self Storage REIT, Inc., and the Company’s noncontrolling interest in real estate joint ventures. The Company accounts for its investments in Strategic Storage preferred stock, which do not have a readily determinable fair value, at the transaction price less impairment, if any. The Company accounts for its investments in joint ventures using the equity method of accounting. The Company initially records these investments at cost and subsequently</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adjusts for cash contributions, distributions and net equity in income or loss, which is allocated in accordance with the provisions of the applicable partnership or joint venture agreement. Equity in earnings and dividend income from these investments is included in the equity in earnings and dividend income from unconsolidated real estate entities on the Company’s condensed consolidated statements of operations.</w:t>
      </w:r>
    </w:p>
    <w:p>
      <w:pPr>
        <w:spacing w:after="0" w:line="176"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17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investments in unconsolidated real estate entities and cash distributions in unconsolidated real estate ventures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Profit %</w:t>
            </w: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20" w:type="dxa"/>
            <w:vAlign w:val="bottom"/>
            <w:vMerge w:val="restart"/>
          </w:tcPr>
          <w:p>
            <w:pPr>
              <w:spacing w:after="0"/>
              <w:rPr>
                <w:sz w:val="9"/>
                <w:szCs w:val="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51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PRISA Self Storage LLC</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HF1 Sovran HHF Storage Holdings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301,794</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Portfolio II JV LLC</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Portfolio IV JV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46,310</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Portfolio I LLC</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HF2 Sovran HHF Storage Holdings II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112,551</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HF5 Life Storage-HIERS Storage LLC</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HF6 191 V Life Storage Holdings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20%</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VRS Self Storage, LLC</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HF10 Life Storage HHF Wasatch Holdings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20%</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unconsolidated real estate ventures </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10%-50%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295,205</w:t>
            </w:r>
          </w:p>
        </w:tc>
        <w:tc>
          <w:tcPr>
            <w:tcW w:w="0" w:type="dxa"/>
            <w:vAlign w:val="bottom"/>
          </w:tcPr>
          <w:p>
            <w:pPr>
              <w:spacing w:after="0"/>
              <w:rPr>
                <w:sz w:val="1"/>
                <w:szCs w:val="1"/>
                <w:color w:val="auto"/>
              </w:rPr>
            </w:pPr>
          </w:p>
        </w:tc>
      </w:tr>
      <w:tr>
        <w:trPr>
          <w:trHeight w:val="35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Strategic Storage Growth Trust III, Inc. Preferred Stock </w:t>
            </w:r>
            <w:r>
              <w:rPr>
                <w:rFonts w:ascii="Times New Roman" w:cs="Times New Roman" w:eastAsia="Times New Roman" w:hAnsi="Times New Roman"/>
                <w:sz w:val="23"/>
                <w:szCs w:val="23"/>
                <w:color w:val="auto"/>
                <w:vertAlign w:val="superscript"/>
              </w:rPr>
              <w:t>(3)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Strategic Storage Trust VI, Inc. Preferred Stock </w:t>
            </w:r>
            <w:r>
              <w:rPr>
                <w:rFonts w:ascii="Times New Roman" w:cs="Times New Roman" w:eastAsia="Times New Roman" w:hAnsi="Times New Roman"/>
                <w:sz w:val="23"/>
                <w:szCs w:val="23"/>
                <w:color w:val="auto"/>
                <w:vertAlign w:val="superscript"/>
              </w:rPr>
              <w:t>(4)</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Investments in and Cash distributions in unconsolidated real estate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969,494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993,082</w:t>
            </w: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real estate entities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1,066,783</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 in unconsolidated real estate ventures</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(73,701)</w:t>
            </w: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Investments in and Cash distributions in unconsolidated real estate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969,494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993,082</w:t>
            </w:r>
          </w:p>
        </w:tc>
        <w:tc>
          <w:tcPr>
            <w:tcW w:w="0" w:type="dxa"/>
            <w:vAlign w:val="bottom"/>
          </w:tcPr>
          <w:p>
            <w:pPr>
              <w:spacing w:after="0"/>
              <w:rPr>
                <w:sz w:val="1"/>
                <w:szCs w:val="1"/>
                <w:color w:val="auto"/>
              </w:rPr>
            </w:pPr>
          </w:p>
        </w:tc>
      </w:tr>
      <w:tr>
        <w:trPr>
          <w:trHeight w:val="22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pro-rata equity ownership share and promoted interest.</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4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2026, the Company fully impaired its investments in two joint ventures resulting in a loss of $13,883. This loss is included in the equity in earnings of unconsolidated real estate ventures - impairment (loss) on joint venture interests and gain on sale of joint venture interests line on the Company’s condensed consolidated statements of operations.</w:t>
      </w:r>
    </w:p>
    <w:p>
      <w:pPr>
        <w:spacing w:after="0" w:line="67" w:lineRule="exact"/>
        <w:rPr>
          <w:rFonts w:ascii="Times New Roman" w:cs="Times New Roman" w:eastAsia="Times New Roman" w:hAnsi="Times New Roman"/>
          <w:sz w:val="18"/>
          <w:szCs w:val="18"/>
          <w:color w:val="auto"/>
        </w:rPr>
      </w:pPr>
    </w:p>
    <w:p>
      <w:pPr>
        <w:ind w:left="340" w:hanging="332"/>
        <w:spacing w:after="0" w:line="266" w:lineRule="auto"/>
        <w:tabs>
          <w:tab w:leader="none" w:pos="4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2025, the Company invested $100,000 in shares of convertible preferred stock with a dividend rate of 8.85% per annum, subject to increase after five years. The preferred shares are generally not redeemable for five years, except in the case of a change of control or initial listing, and are redeemable thereafter subject to a redemption premium.</w:t>
      </w:r>
    </w:p>
    <w:p>
      <w:pPr>
        <w:spacing w:after="0" w:line="67"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4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invested $150,000 in shares of convertible preferred stock with a dividend rate of 8.35% per annum, subject to increase after five years. The preferred shares are generally not redeemable for three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INVESTMENTS IN DEBT SECURITIES AND NOTES RECEIVABLE</w:t>
      </w:r>
    </w:p>
    <w:p>
      <w:pPr>
        <w:spacing w:after="0" w:line="229"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Investments in debt securities and notes receivable consist of the Company’s investment in mandatorily redeemable preferred stock of Jernigan Capital, Inc. (“JCAP”) in connection with JCAP’s acquisition by affiliates of NexPoint Advisors, L.P. (“NexPoint”) and receivables due to the Company under its bridge loan program. Information about these balances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 preferred stock</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bridge loans, net</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1,500,151</w:t>
            </w: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and interest receivable</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37"/>
        </w:trPr>
        <w:tc>
          <w:tcPr>
            <w:tcW w:w="75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1,707,526</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1,806,526</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November 2020, the Company invested $300,000 in the preferred stock of JCAP in connection with the acquisition of JCAP by NexPoint.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consisted of 200,000 Series A Preferred Shares valued at a total of $200,000, and 100,000 Series B Preferred Shares valued at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In December 2022, the Company completed a modification with NexPoint Storage Partners (as successor in interest to JCAP) that exchanged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and Series B Preferred Shares for 300,000 Series D Preferred Shares, valued at a total of $300,000. The Series D Preferred Shares are mandatorily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after six years from the modification in December 2022, with two one-year extension options. NexPoint may redeem the Series D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at any time, subject to certain prepayment penalties. The Company accounts for the Series D Preferred Shares as a held to maturity debt security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cost and evaluates whether the fair value is below the amortized cost basis at each reporting period. The Series D Preferred Shares have an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rate of 8.5%. If the investment is not retired after six years, the preferred dividends increase annually.</w:t>
      </w:r>
    </w:p>
    <w:p>
      <w:pPr>
        <w:spacing w:after="0" w:line="207"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The Company offers bridge loan financing to third-party self-storage owners primarily for whom it manages properties. These notes receivable consist of mortgage loans receivable, which are collateralized by self-storage properties, and mezzanine loans receivable, which are secured by equity interest pledges. As of September 30, 2026, 82% of the notes held are mortgage receivables. The Company may sell a portion of the mortgage receivables. These notes receivable typically have a term of three years with two one-year extensions and have variable interest rates. During the nine months ended September 30, 2026, the Company sold a total principal amount of $30,414 of its mortgage bridge loans receivable to third parties for par, collected $326,448 of principal from payoffs and asset acquisitions, closed on $181,375 in initial loan draws, and recorded $13,910 of draws to fund interest payments.</w:t>
      </w:r>
    </w:p>
    <w:p>
      <w:pPr>
        <w:spacing w:after="0" w:line="189"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The bridge loans typically have a loan to value ratio between 70% and 80% at origination. As of September 30, 2026, none of the notes receivable are in nonaccrual status, and any notes receivable where the monthly payments are delinquent are less than 150 days past due and immaterial. The allowance for potential credit losses is immaterial.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term debt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Debt</w:t>
            </w: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Pr>
          <w:p>
            <w:pPr>
              <w:spacing w:after="0"/>
              <w:rPr>
                <w:sz w:val="20"/>
                <w:szCs w:val="20"/>
                <w:color w:val="auto"/>
              </w:rPr>
            </w:pPr>
          </w:p>
        </w:tc>
        <w:tc>
          <w:tcPr>
            <w:tcW w:w="190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6980" w:type="dxa"/>
            <w:vAlign w:val="bottom"/>
            <w:tcBorders>
              <w:top w:val="single" w:sz="8" w:color="auto"/>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Secured notes payable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1,072,366</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1,082,899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loans</w:t>
            </w: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w:t>
            </w:r>
          </w:p>
        </w:tc>
        <w:tc>
          <w:tcPr>
            <w:tcW w:w="2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9,625,000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9,675,000</w:t>
            </w:r>
          </w:p>
        </w:tc>
      </w:tr>
      <w:tr>
        <w:trPr>
          <w:trHeight w:val="236"/>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12,197,366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12,257,899</w:t>
            </w:r>
          </w:p>
        </w:tc>
      </w:tr>
      <w:tr>
        <w:trPr>
          <w:trHeight w:val="243"/>
        </w:trPr>
        <w:tc>
          <w:tcPr>
            <w:tcW w:w="69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Less: Discount on unsecured senior notes, net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(187,742)</w:t>
            </w:r>
          </w:p>
        </w:tc>
      </w:tr>
      <w:tr>
        <w:trPr>
          <w:trHeight w:val="24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(63,506)</w:t>
            </w:r>
          </w:p>
        </w:tc>
      </w:tr>
      <w:tr>
        <w:trPr>
          <w:trHeight w:val="261"/>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11,981,804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12,006,651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260" w:hanging="234"/>
        <w:spacing w:after="0"/>
        <w:tabs>
          <w:tab w:leader="none" w:pos="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are collateralized by mortgages on real estate assets and the assignment of rents.</w:t>
      </w:r>
    </w:p>
    <w:p>
      <w:pPr>
        <w:spacing w:after="0" w:line="45" w:lineRule="exact"/>
        <w:rPr>
          <w:rFonts w:ascii="Times New Roman" w:cs="Times New Roman" w:eastAsia="Times New Roman" w:hAnsi="Times New Roman"/>
          <w:sz w:val="16"/>
          <w:szCs w:val="16"/>
          <w:color w:val="auto"/>
        </w:rPr>
      </w:pPr>
    </w:p>
    <w:p>
      <w:pPr>
        <w:ind w:left="20" w:right="40" w:firstLine="6"/>
        <w:spacing w:after="0" w:line="245" w:lineRule="auto"/>
        <w:tabs>
          <w:tab w:leader="none" w:pos="2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senior notes from the Company’s merger with Life Storage, Inc. were recorded at fair value, resulting in a discount of $293,134 to be amortized over the term of the debt. Also includes net premium from bond offerings of $13,853 offset by discount from assumed debt of $15,018.</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scheduled maturities of term debt, excluding available extensions, at September 30, 2026:</w:t>
      </w:r>
    </w:p>
    <w:p>
      <w:pPr>
        <w:spacing w:after="0" w:line="189" w:lineRule="exact"/>
        <w:rPr>
          <w:sz w:val="20"/>
          <w:szCs w:val="20"/>
          <w:color w:val="auto"/>
        </w:rPr>
      </w:pPr>
    </w:p>
    <w:tbl>
      <w:tblPr>
        <w:tblLayout w:type="fixed"/>
        <w:tblInd w:w="4120" w:type="dxa"/>
        <w:tblCellMar>
          <w:top w:w="0" w:type="dxa"/>
          <w:left w:w="0" w:type="dxa"/>
          <w:bottom w:w="0" w:type="dxa"/>
          <w:right w:w="0" w:type="dxa"/>
        </w:tblCellMar>
      </w:tblP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622,104</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991,484</w:t>
            </w: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1,882,092</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1,763,489</w:t>
            </w: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1,689,650</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1,777,347</w:t>
            </w: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4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r>
      <w:tr>
        <w:trPr>
          <w:trHeight w:val="237"/>
        </w:trPr>
        <w:tc>
          <w:tcPr>
            <w:tcW w:w="196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12,197,366</w:t>
            </w:r>
          </w:p>
        </w:tc>
      </w:tr>
      <w:tr>
        <w:trPr>
          <w:trHeight w:val="20"/>
        </w:trPr>
        <w:tc>
          <w:tcPr>
            <w:tcW w:w="1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The Company has established a commercial paper note program and may issue up to $1,000,000 of unsecured commercial paper notes that bear interest at variable rates and have varying maturities (generally ranging from overnight to three months, with a maximum of 397 days). The commercial paper notes are issued under customary terms in the commercial paper market and are issued at a discount from par or, alternatively, can be issued at par and bear varying interest rates on a fixed or floating basis. The net proceeds from the issuances of the notes are used for general working capital and other general corporate purposes. General corporate purposes may include, but are not limited to, the repayment of other debt and selective development, redevelopment, or acquisition of properties. Outstanding commercial paper notes have been included in revolving lines of credit and commercial paper on the Company’s condensed consolidated balance sheets. At September 30, 2026, there were $850,000 in issuances outstanding under the commercial paper program with a weighted-average maturity of 19 days.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Company’s lines of credit and commercial paper are guaranteed by the Company. The following table presents information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lines of credit and commercial paper for the periods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Revolving Lines of Credit and Commercial Paper</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 Drawn</w:t>
            </w:r>
          </w:p>
        </w:tc>
        <w:tc>
          <w:tcPr>
            <w:tcW w:w="200" w:type="dxa"/>
            <w:vAlign w:val="bottom"/>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980" w:type="dxa"/>
            <w:vAlign w:val="bottom"/>
          </w:tcPr>
          <w:p>
            <w:pPr>
              <w:jc w:val="center"/>
              <w:spacing w:after="0" w:line="226" w:lineRule="exact"/>
              <w:rPr>
                <w:sz w:val="20"/>
                <w:szCs w:val="20"/>
                <w:color w:val="auto"/>
              </w:rPr>
            </w:pPr>
            <w:r>
              <w:rPr>
                <w:rFonts w:ascii="Times New Roman" w:cs="Times New Roman" w:eastAsia="Times New Roman" w:hAnsi="Times New Roman"/>
                <w:sz w:val="16"/>
                <w:szCs w:val="16"/>
                <w:b w:val="1"/>
                <w:bCs w:val="1"/>
                <w:color w:val="auto"/>
                <w:w w:val="95"/>
              </w:rPr>
              <w:t xml:space="preserve">Basis Rate </w:t>
            </w:r>
            <w:r>
              <w:rPr>
                <w:rFonts w:ascii="Times New Roman" w:cs="Times New Roman" w:eastAsia="Times New Roman" w:hAnsi="Times New Roman"/>
                <w:sz w:val="21"/>
                <w:szCs w:val="21"/>
                <w:b w:val="1"/>
                <w:bCs w:val="1"/>
                <w:color w:val="auto"/>
                <w:w w:val="95"/>
                <w:vertAlign w:val="superscript"/>
              </w:rPr>
              <w:t>(1)</w:t>
            </w:r>
          </w:p>
        </w:tc>
      </w:tr>
      <w:tr>
        <w:trPr>
          <w:trHeight w:val="23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credit line</w:t>
            </w: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8"/>
              </w:rPr>
              <w:t>5.15%</w:t>
            </w:r>
          </w:p>
        </w:tc>
        <w:tc>
          <w:tcPr>
            <w:tcW w:w="1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7/1/2029</w:t>
            </w:r>
          </w:p>
        </w:tc>
        <w:tc>
          <w:tcPr>
            <w:tcW w:w="10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SOFR plus 1.25%</w:t>
            </w:r>
          </w:p>
        </w:tc>
      </w:tr>
      <w:tr>
        <w:trPr>
          <w:trHeight w:val="243"/>
        </w:trPr>
        <w:tc>
          <w:tcPr>
            <w:tcW w:w="3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Unsecured credit line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4.68%</w:t>
            </w:r>
          </w:p>
        </w:tc>
        <w:tc>
          <w:tcPr>
            <w:tcW w:w="12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8/21/2029</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SOFR plus 0.775%</w:t>
            </w: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32"/>
              <w:spacing w:after="0" w:line="243" w:lineRule="exact"/>
              <w:rPr>
                <w:sz w:val="20"/>
                <w:szCs w:val="20"/>
                <w:color w:val="auto"/>
              </w:rPr>
            </w:pPr>
            <w:r>
              <w:rPr>
                <w:rFonts w:ascii="Times New Roman" w:cs="Times New Roman" w:eastAsia="Times New Roman" w:hAnsi="Times New Roman"/>
                <w:sz w:val="18"/>
                <w:szCs w:val="18"/>
                <w:color w:val="auto"/>
                <w:w w:val="95"/>
              </w:rPr>
              <w:t xml:space="preserve">4.12% </w:t>
            </w:r>
            <w:r>
              <w:rPr>
                <w:rFonts w:ascii="Times New Roman" w:cs="Times New Roman" w:eastAsia="Times New Roman" w:hAnsi="Times New Roman"/>
                <w:sz w:val="23"/>
                <w:szCs w:val="23"/>
                <w:color w:val="auto"/>
                <w:w w:val="95"/>
                <w:vertAlign w:val="superscript"/>
              </w:rPr>
              <w:t>(3)</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Various</w:t>
            </w:r>
          </w:p>
        </w:tc>
        <w:tc>
          <w:tcPr>
            <w:tcW w:w="1980" w:type="dxa"/>
            <w:vAlign w:val="bottom"/>
            <w:shd w:val="clear" w:color="auto" w:fill="CCEEFF"/>
          </w:tcPr>
          <w:p>
            <w:pPr>
              <w:spacing w:after="0"/>
              <w:rPr>
                <w:sz w:val="21"/>
                <w:szCs w:val="21"/>
                <w:color w:val="auto"/>
              </w:rPr>
            </w:pPr>
          </w:p>
        </w:tc>
      </w:tr>
      <w:tr>
        <w:trPr>
          <w:trHeight w:val="236"/>
        </w:trPr>
        <w:tc>
          <w:tcPr>
            <w:tcW w:w="3940" w:type="dxa"/>
            <w:vAlign w:val="bottom"/>
          </w:tcPr>
          <w:p>
            <w:pPr>
              <w:spacing w:after="0"/>
              <w:rPr>
                <w:sz w:val="20"/>
                <w:szCs w:val="20"/>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1,424,000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1"/>
        </w:trPr>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81" w:lineRule="exact"/>
        <w:rPr>
          <w:sz w:val="20"/>
          <w:szCs w:val="20"/>
          <w:color w:val="auto"/>
        </w:rPr>
      </w:pPr>
    </w:p>
    <w:p>
      <w:pPr>
        <w:ind w:left="260" w:hanging="23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Simple Secured Overnight Financing Rate (“SOFR”) for credit lines.</w:t>
      </w:r>
    </w:p>
    <w:p>
      <w:pPr>
        <w:spacing w:after="0" w:line="45" w:lineRule="exact"/>
        <w:rPr>
          <w:rFonts w:ascii="Times New Roman" w:cs="Times New Roman" w:eastAsia="Times New Roman" w:hAnsi="Times New Roman"/>
          <w:sz w:val="16"/>
          <w:szCs w:val="16"/>
          <w:color w:val="auto"/>
        </w:rPr>
      </w:pPr>
    </w:p>
    <w:p>
      <w:pPr>
        <w:ind w:left="260" w:hanging="23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Rate as of September 30, 2026. Rate is subject to change based on the Company’s investment grade rating.</w:t>
      </w:r>
    </w:p>
    <w:p>
      <w:pPr>
        <w:spacing w:after="0" w:line="45" w:lineRule="exact"/>
        <w:rPr>
          <w:rFonts w:ascii="Times New Roman" w:cs="Times New Roman" w:eastAsia="Times New Roman" w:hAnsi="Times New Roman"/>
          <w:sz w:val="16"/>
          <w:szCs w:val="16"/>
          <w:color w:val="auto"/>
        </w:rPr>
      </w:pPr>
    </w:p>
    <w:p>
      <w:pPr>
        <w:ind w:left="20" w:right="340" w:firstLine="6"/>
        <w:spacing w:after="0" w:line="245" w:lineRule="auto"/>
        <w:tabs>
          <w:tab w:leader="none" w:pos="2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paper interest rate is variable based on market rates at the time of each issuance. Therefore, interest rate shown in the table above is a weighted average interest rate.</w:t>
      </w:r>
    </w:p>
    <w:p>
      <w:pPr>
        <w:spacing w:after="0" w:line="295"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Company's unsecured debt is not secured by any assets of the Company and is subject to certain financial covenants. As of September 30, 2026, the Company was in compliance with all of its financial covenants.</w:t>
      </w:r>
    </w:p>
    <w:p>
      <w:pPr>
        <w:spacing w:after="0" w:line="162" w:lineRule="exact"/>
        <w:rPr>
          <w:sz w:val="20"/>
          <w:szCs w:val="20"/>
          <w:color w:val="auto"/>
        </w:rPr>
      </w:pPr>
    </w:p>
    <w:p>
      <w:pPr>
        <w:ind w:right="780" w:firstLine="44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percentage of fixed-rate debt to total debt was 79.6%. The weighted average interest rates of the Company’s fixed and variable-rate debt were 4.3% and 4.8%, respectively. The combined weighted average interest rate was 4.4%.</w:t>
      </w:r>
    </w:p>
    <w:p>
      <w:pPr>
        <w:spacing w:after="0" w:line="266"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21"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0"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nine months ended September 30, 2026 and 2025, such derivatives were used to hedge the variable cash flows associated with existing variable-rate debt. In the next 12 months, the Company estimates that $627 will be reclassified as a decrease to interest expense. As of September 30, 2026, the Company held five active derivative financial instruments, which had a total current notional amount of $777,000.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w:t>
      </w:r>
    </w:p>
    <w:p>
      <w:pPr>
        <w:spacing w:after="0" w:line="121" w:lineRule="exact"/>
        <w:rPr>
          <w:sz w:val="20"/>
          <w:szCs w:val="20"/>
          <w:color w:val="auto"/>
        </w:rPr>
      </w:pPr>
    </w:p>
    <w:p>
      <w:pPr>
        <w:ind w:right="880" w:firstLine="445"/>
        <w:spacing w:after="0" w:line="278" w:lineRule="auto"/>
        <w:rPr>
          <w:sz w:val="20"/>
          <w:szCs w:val="20"/>
          <w:color w:val="auto"/>
        </w:rPr>
      </w:pPr>
      <w:r>
        <w:rPr>
          <w:rFonts w:ascii="Times New Roman" w:cs="Times New Roman" w:eastAsia="Times New Roman" w:hAnsi="Times New Roman"/>
          <w:sz w:val="18"/>
          <w:szCs w:val="18"/>
          <w:color w:val="auto"/>
        </w:rPr>
        <w:t>The table below presents the fair values of the Company’s derivative financial instruments as well as their classification on the condensed consolidated balance sheets:</w:t>
      </w: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Asset / Liability Derivatives</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9"/>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 Instruments</w:t>
      </w:r>
    </w:p>
    <w:p>
      <w:pPr>
        <w:spacing w:after="0" w:line="121"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OCI for the Three</w:t>
            </w:r>
          </w:p>
        </w:tc>
        <w:tc>
          <w:tcPr>
            <w:tcW w:w="100" w:type="dxa"/>
            <w:vAlign w:val="bottom"/>
          </w:tcPr>
          <w:p>
            <w:pPr>
              <w:spacing w:after="0"/>
              <w:rPr>
                <w:sz w:val="13"/>
                <w:szCs w:val="13"/>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amounts</w:t>
            </w:r>
          </w:p>
        </w:tc>
        <w:tc>
          <w:tcPr>
            <w:tcW w:w="120" w:type="dxa"/>
            <w:vAlign w:val="bottom"/>
          </w:tcPr>
          <w:p>
            <w:pPr>
              <w:spacing w:after="0"/>
              <w:rPr>
                <w:sz w:val="13"/>
                <w:szCs w:val="13"/>
                <w:color w:val="auto"/>
              </w:rPr>
            </w:pPr>
          </w:p>
        </w:tc>
        <w:tc>
          <w:tcPr>
            <w:tcW w:w="306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Gain (loss) reclassified from OCI for the Three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40" w:type="dxa"/>
            <w:vAlign w:val="bottom"/>
            <w:gridSpan w:val="4"/>
          </w:tcPr>
          <w:p>
            <w:pPr>
              <w:jc w:val="center"/>
              <w:ind w:left="524"/>
              <w:spacing w:after="0" w:line="135" w:lineRule="exact"/>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gridSpan w:val="4"/>
          </w:tcPr>
          <w:p>
            <w:pPr>
              <w:ind w:left="560"/>
              <w:spacing w:after="0" w:line="135" w:lineRule="exact"/>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Type</w:t>
            </w: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gridSpan w:val="2"/>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reclassified from OCI</w:t>
            </w: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60" w:type="dxa"/>
            <w:vAlign w:val="bottom"/>
            <w:gridSpan w:val="3"/>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gridSpan w:val="3"/>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20" w:type="dxa"/>
            <w:vAlign w:val="bottom"/>
          </w:tcPr>
          <w:p>
            <w:pPr>
              <w:spacing w:after="0"/>
              <w:rPr>
                <w:sz w:val="15"/>
                <w:szCs w:val="15"/>
                <w:color w:val="auto"/>
              </w:rPr>
            </w:pPr>
          </w:p>
        </w:tc>
        <w:tc>
          <w:tcPr>
            <w:tcW w:w="15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 Agreements</w:t>
            </w:r>
          </w:p>
        </w:tc>
        <w:tc>
          <w:tcPr>
            <w:tcW w:w="96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120" w:type="dxa"/>
            <w:vAlign w:val="bottom"/>
            <w:gridSpan w:val="5"/>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Gain (loss) recognized in OCI for the Nine</w:t>
            </w:r>
          </w:p>
        </w:tc>
        <w:tc>
          <w:tcPr>
            <w:tcW w:w="100" w:type="dxa"/>
            <w:vAlign w:val="bottom"/>
          </w:tcPr>
          <w:p>
            <w:pPr>
              <w:spacing w:after="0"/>
              <w:rPr>
                <w:sz w:val="10"/>
                <w:szCs w:val="10"/>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amounts</w:t>
            </w:r>
          </w:p>
        </w:tc>
        <w:tc>
          <w:tcPr>
            <w:tcW w:w="120" w:type="dxa"/>
            <w:vAlign w:val="bottom"/>
          </w:tcPr>
          <w:p>
            <w:pPr>
              <w:spacing w:after="0"/>
              <w:rPr>
                <w:sz w:val="10"/>
                <w:szCs w:val="10"/>
                <w:color w:val="auto"/>
              </w:rPr>
            </w:pPr>
          </w:p>
        </w:tc>
        <w:tc>
          <w:tcPr>
            <w:tcW w:w="3060" w:type="dxa"/>
            <w:vAlign w:val="bottom"/>
            <w:gridSpan w:val="4"/>
          </w:tcPr>
          <w:p>
            <w:pPr>
              <w:jc w:val="center"/>
              <w:ind w:right="59"/>
              <w:spacing w:after="0" w:line="123" w:lineRule="exact"/>
              <w:rPr>
                <w:sz w:val="20"/>
                <w:szCs w:val="20"/>
                <w:color w:val="auto"/>
              </w:rPr>
            </w:pPr>
            <w:r>
              <w:rPr>
                <w:rFonts w:ascii="Times New Roman" w:cs="Times New Roman" w:eastAsia="Times New Roman" w:hAnsi="Times New Roman"/>
                <w:sz w:val="14"/>
                <w:szCs w:val="14"/>
                <w:b w:val="1"/>
                <w:bCs w:val="1"/>
                <w:color w:val="auto"/>
              </w:rPr>
              <w:t>Gain (loss) reclassified from OCI for the Nine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540" w:type="dxa"/>
            <w:vAlign w:val="bottom"/>
            <w:gridSpan w:val="4"/>
            <w:vMerge w:val="restart"/>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0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540" w:type="dxa"/>
            <w:vAlign w:val="bottom"/>
            <w:tcBorders>
              <w:bottom w:val="single" w:sz="8" w:color="auto"/>
            </w:tcBorders>
            <w:gridSpan w:val="4"/>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reclassified from OCI</w:t>
            </w:r>
          </w:p>
        </w:tc>
        <w:tc>
          <w:tcPr>
            <w:tcW w:w="1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20" w:type="dxa"/>
            <w:vAlign w:val="bottom"/>
          </w:tcPr>
          <w:p>
            <w:pPr>
              <w:spacing w:after="0"/>
              <w:rPr>
                <w:sz w:val="14"/>
                <w:szCs w:val="14"/>
                <w:color w:val="auto"/>
              </w:rPr>
            </w:pPr>
          </w:p>
        </w:tc>
        <w:tc>
          <w:tcPr>
            <w:tcW w:w="15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 Agreements</w:t>
            </w:r>
          </w:p>
        </w:tc>
        <w:tc>
          <w:tcPr>
            <w:tcW w:w="96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21"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7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76"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not posted any collateral related to these agreements. If the Company had breached any of these provisions as of September 30, 2026, it could have been required to cash settle its obligations under these agreements at their termination value.</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On April 15, 2024, the Company filed its $800,000 “at the market” equity program with the SEC using a shelf registration statement on Form S-3, and entered into an equity distribution agreement with nine sales agents. No shares have been sold under the current “at the market” equity program.</w:t>
      </w:r>
    </w:p>
    <w:p>
      <w:pPr>
        <w:spacing w:after="0" w:line="16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On November 13, 2023, the Company’s board of directors authorized a share repurchase program allowing for the repurchase of shares with an aggregate value up to $500,000. During the year ended December 31, 2025, the Company repurchased 1,158,244 shares at an average price of $129.10 per share, paying a total of $149,525. During the nine months ended September 30, 2026, the Company repurchased 2,401,606 shares at an average price of $136.81 per share, paying a total of $328,573.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remaining authorization to repurchase shares with an aggregate value up to $21,903. On October 1, 2026, subsequent to the end of the quarter, the Company utilized the remaining authorization available under the existing repurchase program, repurchasing 164,724 shares at an average price of $132.45 per share, paying a total of $21,818. On October 15, 2026, the Company’s board of directors authorized a new share repurchase program allowing for the repurchase of shares with an aggregate value up to $500,000.</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NONCONTROLLING INTEREST REPRESENTED BY PREFERRED OPERATING PARTNERSHIP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Noncontrolling Interests</w:t>
      </w:r>
    </w:p>
    <w:p>
      <w:pPr>
        <w:spacing w:after="0" w:line="22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to equity transactions. If noncontrolling interests are determined to be redeemable, they are to be carried at their redemption value as of the balance sheet date and reported as temporary equity.</w:t>
      </w:r>
    </w:p>
    <w:p>
      <w:pPr>
        <w:spacing w:after="0" w:line="183"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The balances for each of the specific Preferred OP Units as presented in the Statements of Noncontrolling Interests and Equity as of the periods indicated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Units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33,567</w:t>
            </w:r>
          </w:p>
        </w:tc>
        <w:tc>
          <w:tcPr>
            <w:tcW w:w="1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33,567</w:t>
            </w:r>
          </w:p>
        </w:tc>
      </w:tr>
      <w:tr>
        <w:trPr>
          <w:trHeight w:val="24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D Units</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20,260</w:t>
            </w:r>
          </w:p>
        </w:tc>
      </w:tr>
      <w:tr>
        <w:trPr>
          <w:trHeight w:val="261"/>
        </w:trPr>
        <w:tc>
          <w:tcPr>
            <w:tcW w:w="6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47,827</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Participating Redeemable Preferred Units</w:t>
      </w:r>
    </w:p>
    <w:p>
      <w:pPr>
        <w:spacing w:after="0" w:line="227"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 As of September 30, 2026 and December 31, 2025, there were no outstanding Series A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Redeemable Preferred Units</w:t>
      </w:r>
    </w:p>
    <w:p>
      <w:pPr>
        <w:spacing w:after="0" w:line="227"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Series B Units were issued in 2013 and 2014. The Series B Units have a liquidation value of $25.00 per unit for a fixed liquidation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$33,567 which represents 1,342,727 Series B Units outstanding at September 30, 2026. Holders of the Series B Units receive distributions at an annual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6.0%. These distributions are cumulative. The Series B Units became redeemable at the option of the holder on the first anniversary of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which redemption obligation may be satisfied at the Company’s option in cash or shares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Redeemable Preferred Units</w:t>
      </w:r>
    </w:p>
    <w:p>
      <w:pPr>
        <w:spacing w:after="0" w:line="227"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 As of September 30, 2026 and December 31, 2025, there were no outstanding Series C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Redeemable Preferred Units</w:t>
      </w:r>
    </w:p>
    <w:p>
      <w:pPr>
        <w:spacing w:after="0" w:line="227"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176"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Series D Units have a liquidation value of $25.00 per unit, for a fixed liquidation value of $14,260, which represents 570,395 Series D Units outstanding at September 30, 2026. Holders of the Series D Units receive distributions at an annual rate between 4.0%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2026, 240,000 Series D Units were redeemed for $6,000 in cash.</w:t>
      </w:r>
    </w:p>
    <w:p>
      <w:pPr>
        <w:spacing w:after="0" w:line="3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NONCONTROLLING INTEREST IN OPERATING PARTNERSHIP AND OTHER NONCONTROLLING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 in Operating Partnership</w:t>
      </w:r>
    </w:p>
    <w:p>
      <w:pPr>
        <w:spacing w:after="0" w:line="22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Company’s interest in its stores is held through the Operating Partnership. Between its general partner and limited partner interests, the Company held a 95.6% ownership interest in the Operating Partnership as of September 30, 2026. The remaining ownership interests in the Operating Partnership (including Preferred OP Units) of 4.4% are held by certain former owners of assets acquired by the Operating Partnership. As of December 31, 2025, the noncontrolling interest in the Operating Partnership was shown on the balance sheet net of a note receivable of $50,000 because a borrower under the note receivable was also a holder of OP Units. This note receivable originated in December 2024, bore interest at 10% per annum and was settled in June 2026.</w:t>
      </w:r>
    </w:p>
    <w:p>
      <w:pPr>
        <w:spacing w:after="0" w:line="183"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closing price) at the time of the redemption, or shares of the Company’s common stock on a one-for-one basis, subject to anti-dilution adjustments provided in the Partnership Agreement. As of September 30, 2026, the ten-day average closing price of the Company’s common stock was $134.43 and there were 9,379,076 OP Units outstanding. Assuming that all of the OP Unit holders exercised their right to redeem all of their OP Units on September 30, 2026 and the Company elected to pay the OP Unit holders cash, the Company would have paid $1,260,829 in cash consideration to redeem the units.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 Unit activity is summarized as follows for the periods presented: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23"/>
        </w:trPr>
        <w:tc>
          <w:tcPr>
            <w:tcW w:w="74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 Units redeemed for common stock</w:t>
            </w:r>
          </w:p>
        </w:tc>
        <w:tc>
          <w:tcPr>
            <w:tcW w:w="1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41,978</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 Units redeemed for cash</w:t>
            </w:r>
          </w:p>
        </w:tc>
        <w:tc>
          <w:tcPr>
            <w:tcW w:w="1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53,914</w:t>
            </w: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 Units redeemed</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7,655</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 Units issued in conjunction with acquisitions</w:t>
            </w:r>
          </w:p>
        </w:tc>
        <w:tc>
          <w:tcPr>
            <w:tcW w:w="1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37,886</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OP Units issued in conjunction with acquisitions</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r>
    </w:tbl>
    <w:p>
      <w:pPr>
        <w:spacing w:after="0" w:line="29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to equity transactions. If noncontrolling interests are determined to be redeemable, they are to be carried at their redemption value as of the balance sheet date and reported as temporary equity.</w:t>
      </w:r>
    </w:p>
    <w:p>
      <w:pPr>
        <w:spacing w:after="0" w:line="18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Noncontrolling Interests</w:t>
      </w:r>
    </w:p>
    <w:p>
      <w:pPr>
        <w:spacing w:after="0" w:line="227"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Other noncontrolling interests represent the ownership interest of partners in 11 consolidated joint ventures as of September 30, 2026. There are a total of 15 stores in these consolidated joint ventures, 12 of which are operating and three of which are under development. The voting interests of the partners are 25.0% or less.</w:t>
      </w:r>
    </w:p>
    <w:p>
      <w:pPr>
        <w:spacing w:after="0" w:line="17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Based on the facts and circumstances of each of the Company’s joint ventures, the Company determined that no joint venture qualified as a variable interest entity (“VIE”) as of September 30, 2026 in accordance with ASC 810, “Consolidation.”</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Company’s segment disclosures present the measure used by the chief operating decision maker (“CODM”) for purposes of assessing each segment’s performance. The Company’s CODM is its Executive Committee (“EC”), which uses net operating income (“NOI”) to assess the performance of the business for the Company’s reportable operating segments. The EC is comprised of the Chief Executive Officer, President, Chief Financial Officer, Chief Investment Officer, Chief Digital Officer, Chief Operations Officer, and Chief Legal Officer.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 less tenant reinsurance expenses.</w:t>
      </w:r>
    </w:p>
    <w:p>
      <w:pPr>
        <w:spacing w:after="0" w:line="18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Company’s consolidated revenues equal total segment revenues plus management fees and other income. The self-storage operations activities include rental operations of stores that are wholly-owned and in consolidated joint ventures. Tenant reinsurance activities include the reinsurance of risks relating to the loss of goods stored by tenants in the stores operated by the Company. Management fees and other income is excluded from segment revenues and net operating income.</w:t>
      </w:r>
    </w:p>
    <w:p>
      <w:pPr>
        <w:spacing w:after="0" w:line="18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CODM regularly reviews NOI to assess the performance of each segment and makes decisions about resources to be allocated to each segment. As part of this process, the CODM approves each operating segment’s budget, determines allocation of funds for capital expenditures, and reviews discrete financial information on a quarterly basis. Based on each segment’s budgeted operating revenues and expenses, resources are allocated to each segment, and these budgeted amounts comprising NOI are compared against actual segment performance.</w:t>
      </w:r>
    </w:p>
    <w:p>
      <w:pPr>
        <w:spacing w:after="0" w:line="180"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60" w:right="339" w:bottom="1440" w:gutter="0" w:footer="0" w:header="0"/>
        </w:sectPr>
      </w:pPr>
    </w:p>
    <w:bookmarkStart w:id="26" w:name="page27"/>
    <w:bookmarkEnd w:id="26"/>
    <w:p>
      <w:pPr>
        <w:jc w:val="center"/>
        <w:ind w:left="40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33655</wp:posOffset>
            </wp:positionV>
            <wp:extent cx="2305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62" w:lineRule="exact"/>
        <w:rPr>
          <w:sz w:val="20"/>
          <w:szCs w:val="20"/>
          <w:color w:val="auto"/>
        </w:rPr>
      </w:pPr>
    </w:p>
    <w:p>
      <w:pPr>
        <w:ind w:left="4620"/>
        <w:spacing w:after="0"/>
        <w:tabs>
          <w:tab w:leader="none" w:pos="64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33655</wp:posOffset>
            </wp:positionV>
            <wp:extent cx="2305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57" w:lineRule="exact"/>
        <w:rPr>
          <w:sz w:val="20"/>
          <w:szCs w:val="20"/>
          <w:color w:val="auto"/>
        </w:rPr>
      </w:pPr>
    </w:p>
    <w:p>
      <w:pPr>
        <w:ind w:left="240"/>
        <w:spacing w:after="0"/>
        <w:tabs>
          <w:tab w:leader="none" w:pos="208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39" w:lineRule="exact"/>
        <w:rPr>
          <w:sz w:val="20"/>
          <w:szCs w:val="20"/>
          <w:color w:val="auto"/>
        </w:rPr>
      </w:pPr>
    </w:p>
    <w:p>
      <w:pPr>
        <w:sectPr>
          <w:pgSz w:w="11900" w:h="16838" w:orient="portrait"/>
          <w:cols w:equalWidth="0" w:num="2">
            <w:col w:w="7380" w:space="720"/>
            <w:col w:w="3140"/>
          </w:cols>
          <w:pgMar w:left="320" w:top="169" w:right="339" w:bottom="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Self-Storage Operations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760,837</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735,581</w:t>
            </w:r>
          </w:p>
        </w:tc>
        <w:tc>
          <w:tcPr>
            <w:tcW w:w="8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2,240,214</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2,160,965</w:t>
            </w:r>
          </w:p>
        </w:tc>
      </w:tr>
      <w:tr>
        <w:trPr>
          <w:trHeight w:val="24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Tenant Reinsurance</w:t>
            </w:r>
          </w:p>
        </w:tc>
        <w:tc>
          <w:tcPr>
            <w:tcW w:w="5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94,197</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90,341</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263,625</w:t>
            </w:r>
          </w:p>
        </w:tc>
      </w:tr>
      <w:tr>
        <w:trPr>
          <w:trHeight w:val="237"/>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855,034</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825,922</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2,516,614</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2,424,590</w:t>
            </w:r>
          </w:p>
        </w:tc>
      </w:tr>
      <w:tr>
        <w:trPr>
          <w:trHeight w:val="223"/>
        </w:trPr>
        <w:tc>
          <w:tcPr>
            <w:tcW w:w="3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Self-Storage Operations:</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and benefits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44,669</w:t>
            </w:r>
          </w:p>
        </w:tc>
        <w:tc>
          <w:tcPr>
            <w:tcW w:w="8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46,386</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134,801</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135,285</w:t>
            </w:r>
          </w:p>
        </w:tc>
      </w:tr>
      <w:tr>
        <w:trPr>
          <w:trHeight w:val="243"/>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Marketing</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53,651</w:t>
            </w:r>
          </w:p>
        </w:tc>
      </w:tr>
      <w:tr>
        <w:trPr>
          <w:trHeight w:val="243"/>
        </w:trPr>
        <w:tc>
          <w:tcPr>
            <w:tcW w:w="388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Office expense </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57,015</w:t>
            </w:r>
          </w:p>
        </w:tc>
      </w:tr>
      <w:tr>
        <w:trPr>
          <w:trHeight w:val="243"/>
        </w:trPr>
        <w:tc>
          <w:tcPr>
            <w:tcW w:w="388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Property operating expense </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110,580</w:t>
            </w:r>
          </w:p>
        </w:tc>
      </w:tr>
      <w:tr>
        <w:trPr>
          <w:trHeight w:val="243"/>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Repairs and maintenance</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45,689</w:t>
            </w:r>
          </w:p>
        </w:tc>
      </w:tr>
      <w:tr>
        <w:trPr>
          <w:trHeight w:val="243"/>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taxes</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82,499</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244,742</w:t>
            </w:r>
          </w:p>
        </w:tc>
      </w:tr>
      <w:tr>
        <w:trPr>
          <w:trHeight w:val="243"/>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27,076</w:t>
            </w:r>
          </w:p>
        </w:tc>
      </w:tr>
      <w:tr>
        <w:trPr>
          <w:trHeight w:val="243"/>
        </w:trPr>
        <w:tc>
          <w:tcPr>
            <w:tcW w:w="388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5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self-storage operations expenses</w:t>
            </w:r>
          </w:p>
        </w:tc>
        <w:tc>
          <w:tcPr>
            <w:tcW w:w="5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235,486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708,858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686,689</w:t>
            </w:r>
          </w:p>
        </w:tc>
      </w:tr>
      <w:tr>
        <w:trPr>
          <w:trHeight w:val="243"/>
        </w:trPr>
        <w:tc>
          <w:tcPr>
            <w:tcW w:w="3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Reinsurance:</w:t>
            </w: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89"/>
        </w:trPr>
        <w:tc>
          <w:tcPr>
            <w:tcW w:w="38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Tenant reinsurance expense and other segment</w:t>
            </w: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3"/>
        </w:trPr>
        <w:tc>
          <w:tcPr>
            <w:tcW w:w="388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items </w:t>
            </w:r>
            <w:r>
              <w:rPr>
                <w:rFonts w:ascii="Times New Roman" w:cs="Times New Roman" w:eastAsia="Times New Roman" w:hAnsi="Times New Roman"/>
                <w:sz w:val="23"/>
                <w:szCs w:val="23"/>
                <w:color w:val="auto"/>
                <w:vertAlign w:val="superscript"/>
              </w:rPr>
              <w:t>(3)</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51,842</w:t>
            </w:r>
          </w:p>
        </w:tc>
      </w:tr>
      <w:tr>
        <w:trPr>
          <w:trHeight w:val="243"/>
        </w:trPr>
        <w:tc>
          <w:tcPr>
            <w:tcW w:w="38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6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256,764</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253,267</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Self-Storage Operations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522,000</w:t>
            </w:r>
          </w:p>
        </w:tc>
        <w:tc>
          <w:tcPr>
            <w:tcW w:w="8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500,095</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1,531,356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1,474,276</w:t>
            </w:r>
          </w:p>
        </w:tc>
      </w:tr>
      <w:tr>
        <w:trPr>
          <w:trHeight w:val="24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Tenant Reinsurance</w:t>
            </w:r>
          </w:p>
        </w:tc>
        <w:tc>
          <w:tcPr>
            <w:tcW w:w="5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211,783</w:t>
            </w:r>
          </w:p>
        </w:tc>
      </w:tr>
      <w:tr>
        <w:trPr>
          <w:trHeight w:val="23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net operating income:</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598,270</w:t>
            </w: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572,655</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1,754,637</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1,686,059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components of net income:</w:t>
            </w: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 fees and other income</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95,485</w:t>
            </w:r>
          </w:p>
        </w:tc>
      </w:tr>
      <w:tr>
        <w:trPr>
          <w:trHeight w:val="243"/>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(134,405)</w:t>
            </w:r>
          </w:p>
        </w:tc>
      </w:tr>
      <w:tr>
        <w:trPr>
          <w:trHeight w:val="24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(189,598)</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(177,466)</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(535,088)</w:t>
            </w:r>
          </w:p>
        </w:tc>
      </w:tr>
      <w:tr>
        <w:trPr>
          <w:trHeight w:val="243"/>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real estate assets held for sale and sold, net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(70,231)</w:t>
            </w:r>
          </w:p>
        </w:tc>
      </w:tr>
      <w:tr>
        <w:trPr>
          <w:trHeight w:val="24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(438,177)</w:t>
            </w:r>
          </w:p>
        </w:tc>
      </w:tr>
      <w:tr>
        <w:trPr>
          <w:trHeight w:val="189"/>
        </w:trPr>
        <w:tc>
          <w:tcPr>
            <w:tcW w:w="38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Non-cash interest expense related to amortization</w:t>
            </w: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discount on unsecured senior notes, net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w:t>
            </w:r>
          </w:p>
        </w:tc>
      </w:tr>
      <w:tr>
        <w:trPr>
          <w:trHeight w:val="24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124,553</w:t>
            </w:r>
          </w:p>
        </w:tc>
      </w:tr>
      <w:tr>
        <w:trPr>
          <w:trHeight w:val="189"/>
        </w:trPr>
        <w:tc>
          <w:tcPr>
            <w:tcW w:w="38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in earnings and dividend income from</w:t>
            </w: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unconsolidated real estate entities</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w:t>
            </w:r>
          </w:p>
        </w:tc>
      </w:tr>
      <w:tr>
        <w:trPr>
          <w:trHeight w:val="189"/>
        </w:trPr>
        <w:tc>
          <w:tcPr>
            <w:tcW w:w="38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in earnings of unconsolidated real estate</w:t>
            </w: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4"/>
        </w:trPr>
        <w:tc>
          <w:tcPr>
            <w:tcW w:w="38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ventures - impairment (loss) on joint venture</w:t>
            </w: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and gain on sale of a joint venture interest</w:t>
            </w: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43"/>
        </w:trPr>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(32,591)</w:t>
            </w:r>
          </w:p>
        </w:tc>
      </w:tr>
      <w:tr>
        <w:trPr>
          <w:trHeight w:val="26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259,445</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787,744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0" w:right="60" w:firstLine="6"/>
        <w:spacing w:after="0" w:line="245" w:lineRule="auto"/>
        <w:tabs>
          <w:tab w:leader="none" w:pos="2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related to lease expense have been reclassified from Office expense to Property operating expense for the three and nine months ended September 30, 2025 for comparability.</w:t>
      </w:r>
    </w:p>
    <w:p>
      <w:pPr>
        <w:spacing w:after="0" w:line="15" w:lineRule="exact"/>
        <w:rPr>
          <w:rFonts w:ascii="Times New Roman" w:cs="Times New Roman" w:eastAsia="Times New Roman" w:hAnsi="Times New Roman"/>
          <w:sz w:val="16"/>
          <w:szCs w:val="16"/>
          <w:color w:val="auto"/>
        </w:rPr>
      </w:pPr>
    </w:p>
    <w:p>
      <w:pPr>
        <w:ind w:left="20" w:right="160" w:firstLine="6"/>
        <w:spacing w:after="0" w:line="245" w:lineRule="auto"/>
        <w:tabs>
          <w:tab w:leader="none" w:pos="2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the Self-Storage Operations segment include miscellaneous items such as legal and professional fees, capital expenditures, taxes, and casualty losses.</w:t>
      </w:r>
    </w:p>
    <w:p>
      <w:pPr>
        <w:spacing w:after="0" w:line="15" w:lineRule="exact"/>
        <w:rPr>
          <w:rFonts w:ascii="Times New Roman" w:cs="Times New Roman" w:eastAsia="Times New Roman" w:hAnsi="Times New Roman"/>
          <w:sz w:val="16"/>
          <w:szCs w:val="16"/>
          <w:color w:val="auto"/>
        </w:rPr>
      </w:pPr>
    </w:p>
    <w:p>
      <w:pPr>
        <w:ind w:left="20" w:right="880" w:firstLine="6"/>
        <w:spacing w:after="0" w:line="245" w:lineRule="auto"/>
        <w:tabs>
          <w:tab w:leader="none" w:pos="2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reinsurance expense and other segment items for the Tenant Reinsurance segment include claims expense, acquisition costs, claims service fees, and miscellaneous administrative items.</w:t>
      </w:r>
    </w:p>
    <w:p>
      <w:pPr>
        <w:spacing w:after="0" w:line="3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was under agreement to acquire three stores for a total purchase price of $24,780, which are scheduled to close in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2026, the Company was under agreement to originate $59,160 in bridge loans in 2026 and $31,300 in 2027.</w:t>
      </w:r>
    </w:p>
    <w:p>
      <w:pPr>
        <w:spacing w:after="0" w:line="22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incur judgments or enter into settlements of claims in the future that could have a material adverse effect on its results of operations in any particular period, notwithstanding the fact that the Company is currently vigorously defending any legal proceedings against it.</w:t>
      </w:r>
    </w:p>
    <w:p>
      <w:pPr>
        <w:spacing w:after="0" w:line="189" w:lineRule="exact"/>
        <w:rPr>
          <w:sz w:val="20"/>
          <w:szCs w:val="20"/>
          <w:color w:val="auto"/>
        </w:rPr>
      </w:pPr>
    </w:p>
    <w:p>
      <w:pPr>
        <w:ind w:right="40" w:firstLine="445"/>
        <w:spacing w:after="0" w:line="312" w:lineRule="auto"/>
        <w:rPr>
          <w:sz w:val="20"/>
          <w:szCs w:val="20"/>
          <w:color w:val="auto"/>
        </w:rPr>
      </w:pPr>
      <w:r>
        <w:rPr>
          <w:rFonts w:ascii="Times New Roman" w:cs="Times New Roman" w:eastAsia="Times New Roman" w:hAnsi="Times New Roman"/>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w:t>
      </w:r>
    </w:p>
    <w:p>
      <w:pPr>
        <w:sectPr>
          <w:pgSz w:w="11900" w:h="16838" w:orient="portrait"/>
          <w:cols w:equalWidth="0" w:num="1">
            <w:col w:w="11240"/>
          </w:cols>
          <w:pgMar w:left="320" w:top="169" w:right="339" w:bottom="0" w:gutter="0" w:footer="0" w:header="0"/>
          <w:type w:val="continuous"/>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pacing w:after="0" w:line="200" w:lineRule="exact"/>
        <w:rPr>
          <w:sz w:val="20"/>
          <w:szCs w:val="20"/>
          <w:color w:val="auto"/>
        </w:rPr>
      </w:pPr>
    </w:p>
    <w:p>
      <w:pPr>
        <w:spacing w:after="0" w:line="34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28" w:name="page29"/>
    <w:bookmarkEnd w:id="2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w:t>
      </w:r>
    </w:p>
    <w:p>
      <w:pPr>
        <w:spacing w:after="0" w:line="227"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 xml:space="preserve">The following discussion and analysis should be read in conjunction with our unaudited </w:t>
      </w:r>
      <w:r>
        <w:rPr>
          <w:rFonts w:ascii="Times New Roman" w:cs="Times New Roman" w:eastAsia="Times New Roman" w:hAnsi="Times New Roman"/>
          <w:sz w:val="18"/>
          <w:szCs w:val="18"/>
          <w:i w:val="1"/>
          <w:iCs w:val="1"/>
          <w:color w:val="auto"/>
        </w:rPr>
        <w:t>“Condensed Consolidated Financial Statements”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Notes to Condensed Consolidated Financial Statements (unaudited)”</w:t>
      </w:r>
      <w:r>
        <w:rPr>
          <w:rFonts w:ascii="Times New Roman" w:cs="Times New Roman" w:eastAsia="Times New Roman" w:hAnsi="Times New Roman"/>
          <w:sz w:val="18"/>
          <w:szCs w:val="18"/>
          <w:color w:val="auto"/>
        </w:rPr>
        <w:t xml:space="preserve"> appearing elsewhere in this report and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to Consolidated Financial Statements”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“Management’s Discussion and Analysis of Financial Condition and Results of Operations” </w:t>
      </w:r>
      <w:r>
        <w:rPr>
          <w:rFonts w:ascii="Times New Roman" w:cs="Times New Roman" w:eastAsia="Times New Roman" w:hAnsi="Times New Roman"/>
          <w:sz w:val="18"/>
          <w:szCs w:val="18"/>
          <w:color w:val="auto"/>
        </w:rPr>
        <w:t>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Form 10-K for the year ended December 31, 2025. We make statements in this section that are forward-looking statements within the meaning of the federal securities laws. For a complete discussion of forward-looking statements, see the section in this Form 10-Q entitled “</w:t>
      </w:r>
      <w:r>
        <w:rPr>
          <w:rFonts w:ascii="Times New Roman" w:cs="Times New Roman" w:eastAsia="Times New Roman" w:hAnsi="Times New Roman"/>
          <w:sz w:val="18"/>
          <w:szCs w:val="18"/>
          <w:i w:val="1"/>
          <w:iCs w:val="1"/>
          <w:color w:val="auto"/>
        </w:rPr>
        <w:t>Statement on Forward-Looking Information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condensed consolidated financial statements contained elsewhere in this report and the audited financial statements contained in our Form 10-K for the year ended December 31, 2025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88"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ind w:right="40" w:firstLine="445"/>
        <w:spacing w:after="0" w:line="254"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real estate investment trust (“REIT”) that owns, operates, manages, acquires, develops and redevelops self-storage properties (“stores”) and provides lending to owners of stores located throughout the United States. We derive substantially all of our revenues from our two segments: self-storage operations and tenant reinsurance. Primary sources of revenue for our self-storage operations segment include rents received from tenants under leases at stores that are wholly-owned and in consolidated joint ventures. Our operating results depend materially on our ability to lease available self-storage units, to actively manage unit rental rates, and on the ability of our tenants to make required rental payments.</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Consequently, management spends a significant portion of its time maximizing cash flows from our diverse portfolio of stores. Revenue from our tenant reinsurance segment consists of insurance revenues from the reinsurance of risks relating to the loss of goods stored by tenants in our stores.</w:t>
      </w:r>
    </w:p>
    <w:p>
      <w:pPr>
        <w:spacing w:after="0" w:line="1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Our stores are generally situated in highly visible locations clustered around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daily across our portfolio in order to respond to changing market conditions. We believe our systems and processes allow us to more proactively manage revenues.</w:t>
      </w:r>
    </w:p>
    <w:p>
      <w:pPr>
        <w:spacing w:after="0" w:line="180"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2026, we owned or had ownership interests in 2,448 operating stores. Of these stores, 2,028 are wholly-owned, 12 are in consolidated joint ventures, and 408 are in unconsolidated joint ventures. In addition, we managed 1,963 stores for third parties, bringing the total number of stores which we own and/or manage to 4,411. These stores are located in 43 states and Washington, D.C. The clustering of assets around population centers enables us to reduce our operating costs through economies of scale. Our acquisitions have given us an increased scale in many core markets as well as a foothold in many markets where we had no previous presence.</w:t>
      </w:r>
    </w:p>
    <w:p>
      <w:pPr>
        <w:spacing w:after="0" w:line="18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2026, approximately 2,567,000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same-store properties as of September 30, 2026, the average length of stay for tenants who had vacated was approximately 16.8 months.</w:t>
      </w:r>
    </w:p>
    <w:p>
      <w:pPr>
        <w:spacing w:after="0" w:line="183"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Our store portfolio is made up of different types of construction and building configurations. Most often sites are what we consider “hybrid” facilities, a mix of both drive-up buildings and multi-floor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22" w:right="459"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our net rentable square feet and the number of stores by state: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300" w:type="dxa"/>
            <w:vAlign w:val="bottom"/>
            <w:tcBorders>
              <w:bottom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22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Joint Venture Owned</w:t>
            </w:r>
          </w:p>
        </w:tc>
        <w:tc>
          <w:tcPr>
            <w:tcW w:w="2240" w:type="dxa"/>
            <w:vAlign w:val="bottom"/>
            <w:tcBorders>
              <w:bottom w:val="single" w:sz="8" w:color="auto"/>
            </w:tcBorders>
            <w:gridSpan w:val="2"/>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72"/>
        </w:trPr>
        <w:tc>
          <w:tcPr>
            <w:tcW w:w="2320" w:type="dxa"/>
            <w:vAlign w:val="bottom"/>
            <w:vMerge w:val="restart"/>
          </w:tcPr>
          <w:p>
            <w:pPr>
              <w:ind w:left="8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40" w:type="dxa"/>
            <w:vAlign w:val="bottom"/>
          </w:tcPr>
          <w:p>
            <w:pPr>
              <w:jc w:val="right"/>
              <w:ind w:right="139"/>
              <w:spacing w:after="0" w:line="17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60" w:type="dxa"/>
            <w:vAlign w:val="bottom"/>
          </w:tcPr>
          <w:p>
            <w:pPr>
              <w:jc w:val="right"/>
              <w:ind w:right="159"/>
              <w:spacing w:after="0" w:line="17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59"/>
              <w:spacing w:after="0" w:line="17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39"/>
              <w:spacing w:after="0" w:line="17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59"/>
              <w:spacing w:after="0" w:line="17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60" w:type="dxa"/>
            <w:vAlign w:val="bottom"/>
          </w:tcPr>
          <w:p>
            <w:pPr>
              <w:jc w:val="right"/>
              <w:ind w:right="159"/>
              <w:spacing w:after="0" w:line="17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860" w:type="dxa"/>
            <w:vAlign w:val="bottom"/>
          </w:tcPr>
          <w:p>
            <w:pPr>
              <w:jc w:val="right"/>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300" w:type="dxa"/>
            <w:vAlign w:val="bottom"/>
          </w:tcPr>
          <w:p>
            <w:pPr>
              <w:jc w:val="right"/>
              <w:ind w:right="79"/>
              <w:spacing w:after="0" w:line="17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5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Count </w:t>
            </w:r>
            <w:r>
              <w:rPr>
                <w:rFonts w:ascii="Times New Roman" w:cs="Times New Roman" w:eastAsia="Times New Roman" w:hAnsi="Times New Roman"/>
                <w:sz w:val="21"/>
                <w:szCs w:val="21"/>
                <w:b w:val="1"/>
                <w:bCs w:val="1"/>
                <w:color w:val="auto"/>
                <w:vertAlign w:val="superscript"/>
              </w:rPr>
              <w:t>(1)</w:t>
            </w: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2,868,198</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150,985</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1,562,329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4,581,512</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4,081,024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2,108,245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6,034,840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12,224,109</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Arkansas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558,772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558,772</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18,767,424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3,204,268</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15,304,760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37,276,452</w:t>
            </w:r>
          </w:p>
        </w:tc>
        <w:tc>
          <w:tcPr>
            <w:tcW w:w="0" w:type="dxa"/>
            <w:vAlign w:val="bottom"/>
          </w:tcPr>
          <w:p>
            <w:pPr>
              <w:spacing w:after="0"/>
              <w:rPr>
                <w:sz w:val="1"/>
                <w:szCs w:val="1"/>
                <w:color w:val="auto"/>
              </w:rPr>
            </w:pPr>
          </w:p>
        </w:tc>
      </w:tr>
      <w:tr>
        <w:trPr>
          <w:trHeight w:val="23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1,804,579</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937,242</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3,221,872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5,963,693</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1,757,103</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713,417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1,780,097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4,250,617</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76,423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529,575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605,998</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20,061,202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3,259,899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21,256,495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44,577,596</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9,343,399</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1,334,610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6,144,984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16,822,993</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1,053,476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275,805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1,329,281</w:t>
            </w:r>
          </w:p>
        </w:tc>
        <w:tc>
          <w:tcPr>
            <w:tcW w:w="0" w:type="dxa"/>
            <w:vAlign w:val="bottom"/>
          </w:tcPr>
          <w:p>
            <w:pPr>
              <w:spacing w:after="0"/>
              <w:rPr>
                <w:sz w:val="1"/>
                <w:szCs w:val="1"/>
                <w:color w:val="auto"/>
              </w:rPr>
            </w:pPr>
          </w:p>
        </w:tc>
      </w:tr>
      <w:tr>
        <w:trPr>
          <w:trHeight w:val="23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131,774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756,237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888,011</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7,943,479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716,612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4,416,475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13,076,566</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4,211,391</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57,617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2,570,384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6,839,392</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67,801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67,801</w:t>
            </w:r>
          </w:p>
        </w:tc>
        <w:tc>
          <w:tcPr>
            <w:tcW w:w="0" w:type="dxa"/>
            <w:vAlign w:val="bottom"/>
          </w:tcPr>
          <w:p>
            <w:pPr>
              <w:spacing w:after="0"/>
              <w:rPr>
                <w:sz w:val="1"/>
                <w:szCs w:val="1"/>
                <w:color w:val="auto"/>
              </w:rPr>
            </w:pPr>
          </w:p>
        </w:tc>
      </w:tr>
      <w:tr>
        <w:trPr>
          <w:trHeight w:val="23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50,304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108,646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237,718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396,668</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1,044,292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51,205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1,278,992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2,374,489</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772,823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88,770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1,358,226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2,219,819</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352,657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225,597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578,254</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3,600,991</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628,332</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4,918,498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9,147,821</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4,199,796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987,541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2,930,972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8,118,309</w:t>
            </w:r>
          </w:p>
        </w:tc>
        <w:tc>
          <w:tcPr>
            <w:tcW w:w="0" w:type="dxa"/>
            <w:vAlign w:val="bottom"/>
          </w:tcPr>
          <w:p>
            <w:pPr>
              <w:spacing w:after="0"/>
              <w:rPr>
                <w:sz w:val="1"/>
                <w:szCs w:val="1"/>
                <w:color w:val="auto"/>
              </w:rPr>
            </w:pPr>
          </w:p>
        </w:tc>
      </w:tr>
      <w:tr>
        <w:trPr>
          <w:trHeight w:val="23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926,673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308,857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1,465,830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2,701,360</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587,219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645,484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727,801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1,960,504</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565,357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454,930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1,020,287</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2,387,705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507,878</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2,374,741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5,270,324</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733,159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733,159</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3,664,046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953,571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2,185,653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6,803,270</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1,319,574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609,266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1,928,840</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7,455,218</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2,338,216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7,120,426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16,913,860</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743,196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681,150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1,235,713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2,660,059</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6,049,771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1,970,007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6,523,248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14,543,026</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4,132,237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396,706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5,695,411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10,224,354</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3,472,312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329,043</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2,276,223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6,077,578</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270,353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3,138,618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3,408,971</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549,669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243,560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365,546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1,158,775</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2,561,277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817,293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5,345,005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8,723,575</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351,022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95,844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780,981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1,227,847</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3,441,226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94,802</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4,355,418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7,891,446</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2,654,505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1,089,700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2,642,666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6,386,871</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22,170,861</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5,096,377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21,021,489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48,288,727</w:t>
            </w: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1,591,034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194,333</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4,049,001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5,834,368</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6,085,628</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700,530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3,201,860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9,988,018</w:t>
            </w: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1,285,179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77,535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1,664,970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3,027,684</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100,273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104,160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605,996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810,429</w:t>
            </w:r>
          </w:p>
        </w:tc>
        <w:tc>
          <w:tcPr>
            <w:tcW w:w="0" w:type="dxa"/>
            <w:vAlign w:val="bottom"/>
          </w:tcPr>
          <w:p>
            <w:pPr>
              <w:spacing w:after="0"/>
              <w:rPr>
                <w:sz w:val="1"/>
                <w:szCs w:val="1"/>
                <w:color w:val="auto"/>
              </w:rPr>
            </w:pPr>
          </w:p>
        </w:tc>
      </w:tr>
      <w:tr>
        <w:trPr>
          <w:trHeight w:val="227"/>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187,015</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860,919</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1,651,482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2,699,416</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2,040</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154,595,262</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31,929,777</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1,963</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155,655,862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342,180,901</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 stores in consolidated joint ventures.</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2026 and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Results for the three and nine months ended September 30, 2026 included the operations of 2,448 stores (2,028 wholly-owned, 12 in consolidated joint ventures, and 408 in joint ventures accounted for using the equity method) compared to the results for the three and nine months ended September 30, 2025, which included the operations of 2,427 stores (2,005 wholly-owned, 11 in consolidated joint ventures, and 411 in joint ventures accounted for using the equity method). Material or unusual changes in the results of our operations are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revenues earned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4"/>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rental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760,837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735,581</w:t>
            </w:r>
          </w:p>
        </w:tc>
        <w:tc>
          <w:tcPr>
            <w:tcW w:w="10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2,240,214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2,160,965</w:t>
            </w:r>
          </w:p>
        </w:tc>
        <w:tc>
          <w:tcPr>
            <w:tcW w:w="10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reinsurance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189"/>
        </w:trPr>
        <w:tc>
          <w:tcPr>
            <w:tcW w:w="226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Management fees and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3"/>
        </w:trPr>
        <w:tc>
          <w:tcPr>
            <w:tcW w:w="22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62"/>
        </w:trPr>
        <w:tc>
          <w:tcPr>
            <w:tcW w:w="2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b w:val="1"/>
          <w:bCs w:val="1"/>
          <w:color w:val="auto"/>
        </w:rPr>
        <w:t>Property rental—</w:t>
      </w:r>
      <w:r>
        <w:rPr>
          <w:rFonts w:ascii="Times New Roman" w:cs="Times New Roman" w:eastAsia="Times New Roman" w:hAnsi="Times New Roman"/>
          <w:sz w:val="18"/>
          <w:szCs w:val="18"/>
          <w:color w:val="auto"/>
        </w:rPr>
        <w:t>The increase in property rental revenue for the three and nine months ended September 30, 2026 compared to the same periods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was primarily the result of growth in our portfolio related to acquisitions completed in 2025 and acquisitions completed in the first nine months of 2026. We acquired 22 wholly-owned stores during the nine months ended September 30, 2026 and acquired 76 wholly-owned stores during the year ended December 31, 2025. These increases in revenue resulting from acquisitions were partially offset by property dispositions during the same periods. Additionally, property rental revenue increased for the three and nine months ended September 30, 2026 compared to the same periods in the prior year due to improved operating results from increases in average annual rent per occupied square foot over the comparative periods.</w:t>
      </w:r>
    </w:p>
    <w:p>
      <w:pPr>
        <w:spacing w:after="0" w:line="182" w:lineRule="exact"/>
        <w:rPr>
          <w:sz w:val="20"/>
          <w:szCs w:val="20"/>
          <w:color w:val="auto"/>
        </w:rPr>
      </w:pPr>
    </w:p>
    <w:p>
      <w:pPr>
        <w:jc w:val="both"/>
        <w:ind w:right="26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The increase in tenant reinsurance revenue for the three and nine months ended September 30, 2026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in the prior year was due primarily to an increase in the number of stores operated. We operated 4,411 stores at September 30, 2026 compared to 4,238 stores at September 30, 2025.</w:t>
      </w:r>
    </w:p>
    <w:p>
      <w:pPr>
        <w:spacing w:after="0" w:line="171" w:lineRule="exact"/>
        <w:rPr>
          <w:sz w:val="20"/>
          <w:szCs w:val="20"/>
          <w:color w:val="auto"/>
        </w:rPr>
      </w:pPr>
    </w:p>
    <w:p>
      <w:pPr>
        <w:ind w:right="4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Management fees and other income—</w:t>
      </w:r>
      <w:r>
        <w:rPr>
          <w:rFonts w:ascii="Times New Roman" w:cs="Times New Roman" w:eastAsia="Times New Roman" w:hAnsi="Times New Roman"/>
          <w:sz w:val="18"/>
          <w:szCs w:val="18"/>
          <w:color w:val="auto"/>
        </w:rPr>
        <w:t>Management fees and other income primarily represent the fees collected for our management of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by third parties and unconsolidated joint ventures and other transaction fee income. The increase for the three and nine months ended September 30, 2026 compared to the same periods in the prior year was primarily due to both an increase in the number of stores managed and an increase in the overall revenue of stores under management when compared to the same periods last year. As of September 30, 2026, we managed 1,963 stores for third party owners, compared to 1,811 stores as of September 30, 2025.</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expenses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4"/>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235,486</w:t>
            </w:r>
          </w:p>
        </w:tc>
        <w:tc>
          <w:tcPr>
            <w:tcW w:w="10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686,689</w:t>
            </w:r>
          </w:p>
        </w:tc>
        <w:tc>
          <w:tcPr>
            <w:tcW w:w="10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43"/>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reinsurance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189"/>
        </w:trPr>
        <w:tc>
          <w:tcPr>
            <w:tcW w:w="226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General and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3"/>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189"/>
        </w:trPr>
        <w:tc>
          <w:tcPr>
            <w:tcW w:w="226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Depreciation and</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43"/>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7"/>
        </w:trPr>
        <w:tc>
          <w:tcPr>
            <w:tcW w:w="2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492,102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474,212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1,462,544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1,408,024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54,520</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
        </w:trPr>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0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Property operations—</w:t>
      </w:r>
      <w:r>
        <w:rPr>
          <w:rFonts w:ascii="Times New Roman" w:cs="Times New Roman" w:eastAsia="Times New Roman" w:hAnsi="Times New Roman"/>
          <w:sz w:val="18"/>
          <w:szCs w:val="18"/>
          <w:color w:val="auto"/>
        </w:rPr>
        <w:t>The increase in property operations expense during the three and nine months ended September 30, 2026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periods in the prior year was due to growth in our portfolio related to acquisitions completed in 2025 and in the first nine months of 2026. The increase in expense resulting from acquisitions was partially offset by expense control across our portfolio in most expense categories over the same periods with the exception of property taxes.</w:t>
      </w:r>
    </w:p>
    <w:p>
      <w:pPr>
        <w:spacing w:after="0" w:line="176" w:lineRule="exact"/>
        <w:rPr>
          <w:sz w:val="20"/>
          <w:szCs w:val="20"/>
          <w:color w:val="auto"/>
        </w:rPr>
      </w:pPr>
    </w:p>
    <w:p>
      <w:pPr>
        <w:ind w:right="1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Tenant reinsurance expense represents the costs that are incurred to provide tenant reinsurance and is subject to volatility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increased claims arising when significant events occur at stores.</w:t>
      </w:r>
    </w:p>
    <w:p>
      <w:pPr>
        <w:spacing w:after="0" w:line="155" w:lineRule="exact"/>
        <w:rPr>
          <w:sz w:val="20"/>
          <w:szCs w:val="20"/>
          <w:color w:val="auto"/>
        </w:rPr>
      </w:pPr>
    </w:p>
    <w:p>
      <w:pPr>
        <w:ind w:right="52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primarily include all expenses not directly related to our stores,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payroll, office expense, office rent, travel and professional fees. These expenses are recognized as incurred.</w:t>
      </w:r>
    </w:p>
    <w:p>
      <w:pPr>
        <w:spacing w:after="0" w:line="155" w:lineRule="exact"/>
        <w:rPr>
          <w:sz w:val="20"/>
          <w:szCs w:val="20"/>
          <w:color w:val="auto"/>
        </w:rPr>
      </w:pPr>
    </w:p>
    <w:p>
      <w:pPr>
        <w:ind w:right="2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Depreciation and amortization—</w:t>
      </w:r>
      <w:r>
        <w:rPr>
          <w:rFonts w:ascii="Times New Roman" w:cs="Times New Roman" w:eastAsia="Times New Roman" w:hAnsi="Times New Roman"/>
          <w:sz w:val="18"/>
          <w:szCs w:val="18"/>
          <w:color w:val="auto"/>
        </w:rPr>
        <w:t>We amortize to expense intangible assets-customer intangibles on a straight-line basis over the average period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tenant is expected to utilize the facility (currently estimated at 18 months). Depreciation and amortization expense increased for the three and nine months ended September 30, 2026 compared to the same periods in the prior year primarily as a result of the acquisition of new stores. We acquired 22 wholly-owned stores and disposed of two wholly-owned stores during the nine months ended September 30, 2026. We acquired 76 wholly-owned stores and disposed of 37 wholly-owned stores during the year ended December 31, 2025.</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Revenues and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other revenues and expenses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Loss on real estate assets held for</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and sold,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(438,177)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Non-cash interest expense related</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to amortization of discount on</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net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in earnings and dividend</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 from unconsolidated real</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entities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in earnings of</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unconsolidated real estate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ventures - impairment (loss) on</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joint venture interests and gain on</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joint venture interests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(22,390)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69"/>
        </w:trPr>
        <w:tc>
          <w:tcPr>
            <w:tcW w:w="25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w w:val="98"/>
              </w:rPr>
              <w:t>Total other revenues &amp; expenses,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(138,245)</w:t>
            </w:r>
          </w:p>
        </w:tc>
        <w:tc>
          <w:tcPr>
            <w:tcW w:w="10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(210,215)</w:t>
            </w:r>
          </w:p>
        </w:tc>
        <w:tc>
          <w:tcPr>
            <w:tcW w:w="100" w:type="dxa"/>
            <w:vAlign w:val="bottom"/>
          </w:tcPr>
          <w:p>
            <w:pPr>
              <w:spacing w:after="0"/>
              <w:rPr>
                <w:sz w:val="14"/>
                <w:szCs w:val="14"/>
                <w:color w:val="auto"/>
              </w:rPr>
            </w:pPr>
          </w:p>
        </w:tc>
        <w:tc>
          <w:tcPr>
            <w:tcW w:w="2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71,970</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(369,683)</w:t>
            </w:r>
          </w:p>
        </w:tc>
        <w:tc>
          <w:tcPr>
            <w:tcW w:w="1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(390,377)</w:t>
            </w:r>
          </w:p>
        </w:tc>
        <w:tc>
          <w:tcPr>
            <w:tcW w:w="80" w:type="dxa"/>
            <w:vAlign w:val="bottom"/>
          </w:tcPr>
          <w:p>
            <w:pPr>
              <w:spacing w:after="0"/>
              <w:rPr>
                <w:sz w:val="14"/>
                <w:szCs w:val="14"/>
                <w:color w:val="auto"/>
              </w:rPr>
            </w:pPr>
          </w:p>
        </w:tc>
        <w:tc>
          <w:tcPr>
            <w:tcW w:w="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1"/>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b w:val="1"/>
          <w:bCs w:val="1"/>
          <w:color w:val="auto"/>
        </w:rPr>
        <w:t>Loss on real estate assets held for sale and sold, net—</w:t>
      </w:r>
      <w:r>
        <w:rPr>
          <w:rFonts w:ascii="Times New Roman" w:cs="Times New Roman" w:eastAsia="Times New Roman" w:hAnsi="Times New Roman"/>
          <w:sz w:val="18"/>
          <w:szCs w:val="18"/>
          <w:color w:val="auto"/>
        </w:rPr>
        <w:t>During the three and nine months ended September 30, 2026 we recognized a loss 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 classified as held for sale as its estimated fair value, net of selling costs, was less than its carrying value and sold one store that was previously held for sale, resulting in a net loss of $5,821. As of September 30, 2025, we had 29 properties classified as held for sale. Of the 29 stores, 27 had an estimated fair value, net of selling costs, less than the carrying value of the assets, resulting in net losses of $105,128 and $70,231 for the three and nine months ended September 30, 2025, respectively. Additionally, we completed the sale of 12 previously held for sale stores, resulting in a net gain, which partially offset the loss recorded for the nine months ended September 30, 2025.</w:t>
      </w:r>
    </w:p>
    <w:p>
      <w:pPr>
        <w:spacing w:after="0" w:line="182" w:lineRule="exact"/>
        <w:rPr>
          <w:sz w:val="20"/>
          <w:szCs w:val="20"/>
          <w:color w:val="auto"/>
        </w:rPr>
      </w:pPr>
    </w:p>
    <w:p>
      <w:pPr>
        <w:ind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Represents the cost of our financing activities and primarily consists of interest incurred on borrowings under our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paper program, revolving lines of credit, senior notes and secured and unsecured term loans. Interest expense also includes commitment fees, letter of credit fees, and the amortization of financing costs associated with these arrangements.</w:t>
      </w:r>
    </w:p>
    <w:p>
      <w:pPr>
        <w:spacing w:after="0" w:line="171" w:lineRule="exact"/>
        <w:rPr>
          <w:sz w:val="20"/>
          <w:szCs w:val="20"/>
          <w:color w:val="auto"/>
        </w:rPr>
      </w:pPr>
    </w:p>
    <w:p>
      <w:pPr>
        <w:ind w:right="44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Non-cash interest expense related to amortization of discount on unsecured senior notes, net—</w:t>
      </w:r>
      <w:r>
        <w:rPr>
          <w:rFonts w:ascii="Times New Roman" w:cs="Times New Roman" w:eastAsia="Times New Roman" w:hAnsi="Times New Roman"/>
          <w:sz w:val="18"/>
          <w:szCs w:val="18"/>
          <w:color w:val="auto"/>
        </w:rPr>
        <w:t>Represents the amortization of the discount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the fair value of the Life Storage, Inc. (“Life Storage”) unsecured senior notes assumed as part of our merger with Life Storage and net premium from bond offerings, offset by the discount from assumed debt.</w:t>
      </w:r>
    </w:p>
    <w:p>
      <w:pPr>
        <w:spacing w:after="0" w:line="171" w:lineRule="exact"/>
        <w:rPr>
          <w:sz w:val="20"/>
          <w:szCs w:val="20"/>
          <w:color w:val="auto"/>
        </w:rPr>
      </w:pPr>
    </w:p>
    <w:p>
      <w:pPr>
        <w:ind w:right="22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Interest income—</w:t>
      </w:r>
      <w:r>
        <w:rPr>
          <w:rFonts w:ascii="Times New Roman" w:cs="Times New Roman" w:eastAsia="Times New Roman" w:hAnsi="Times New Roman"/>
          <w:sz w:val="18"/>
          <w:szCs w:val="18"/>
          <w:color w:val="auto"/>
        </w:rPr>
        <w:t>Interest income represents interest and any fees earned on bridge loans, debt securities and on a note receivable from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Partnership unit holder. The decrease in interest income during the three and nine months ended September 30, 2026 compared to the same periods in the prior year was primarily the result of a decrease in the amount of bridge loans outstanding. The balance of bridge loans outstanding was $1,401,151 as of September 30, 2026, compared to $1,544,719 as of September 30, 2025.</w:t>
      </w:r>
    </w:p>
    <w:p>
      <w:pPr>
        <w:spacing w:after="0" w:line="176"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b w:val="1"/>
          <w:bCs w:val="1"/>
          <w:color w:val="auto"/>
        </w:rPr>
        <w:t>Equity in earnings and dividend income from unconsolidated real estate entities—</w:t>
      </w:r>
      <w:r>
        <w:rPr>
          <w:rFonts w:ascii="Times New Roman" w:cs="Times New Roman" w:eastAsia="Times New Roman" w:hAnsi="Times New Roman"/>
          <w:sz w:val="18"/>
          <w:szCs w:val="18"/>
          <w:color w:val="auto"/>
        </w:rPr>
        <w:t>Equity in earnings of unconsolidated real estate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The increase for the three months ended September 30, 2026 compared to the same period in the prior year was primarily due to improved operating results of stores in unconsolidated joint ventures in which we have ownership interests. The decrease for the nine months ended September 30, 2026 compared to the same period in the prior year was primarily due to the transfer and distribution of membership interests in the PR II EXR JV LLC joint venture in March 2025 and the acquisition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right="20"/>
        <w:spacing w:after="0" w:line="258" w:lineRule="auto"/>
        <w:rPr>
          <w:sz w:val="20"/>
          <w:szCs w:val="20"/>
          <w:color w:val="auto"/>
        </w:rPr>
      </w:pPr>
      <w:r>
        <w:rPr>
          <w:rFonts w:ascii="Times New Roman" w:cs="Times New Roman" w:eastAsia="Times New Roman" w:hAnsi="Times New Roman"/>
          <w:sz w:val="18"/>
          <w:szCs w:val="18"/>
          <w:color w:val="auto"/>
        </w:rPr>
        <w:t>of our partners’ membership interests in the ESS-NYFL JV LP and ESS CA-TIVS JV LP joint ventures in April 2025. Also contributing to the decrease is the sale of our membership interests in both the Life Storage Spacemax LLC and the Extra Space Northern Properties VI LLC joint ventures, which occurred in July and October 2025, respectively. The number of stores in unconsolidated joint ventures in which we have ownership interests was 408 as of September 30, 2026, compared to 411 as of September 30, 2025. Dividend income represents dividends from our investments in preferred stock of Strategic Storage Trust VI, Inc. and Strategic Storage Growth Trust III, Inc.</w:t>
      </w:r>
    </w:p>
    <w:p>
      <w:pPr>
        <w:spacing w:after="0" w:line="179" w:lineRule="exact"/>
        <w:rPr>
          <w:sz w:val="20"/>
          <w:szCs w:val="20"/>
          <w:color w:val="auto"/>
        </w:rPr>
      </w:pPr>
    </w:p>
    <w:p>
      <w:pPr>
        <w:jc w:val="both"/>
        <w:ind w:right="36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in earnings of unconsolidated real estate ventures - impairment (loss) on joint venture interests and gain on sale of joint venture interests— </w:t>
      </w:r>
      <w:r>
        <w:rPr>
          <w:rFonts w:ascii="Times New Roman" w:cs="Times New Roman" w:eastAsia="Times New Roman" w:hAnsi="Times New Roman"/>
          <w:sz w:val="18"/>
          <w:szCs w:val="18"/>
          <w:color w:val="auto"/>
        </w:rPr>
        <w:t>During the three months ended September 30, 2026, we fully impaired our investments in two joint ventures resulting in a loss of $13,883.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three and nine months ended September 30, 2025, we recognized a net gain of $9,354 due to the sale of our membership interest in the Life Storage Spacemax LLC joint venture, which held six properties, in July 2025.</w:t>
      </w:r>
    </w:p>
    <w:p>
      <w:pPr>
        <w:spacing w:after="0" w:line="176" w:lineRule="exact"/>
        <w:rPr>
          <w:sz w:val="20"/>
          <w:szCs w:val="20"/>
          <w:color w:val="auto"/>
        </w:rPr>
      </w:pPr>
    </w:p>
    <w:p>
      <w:pPr>
        <w:ind w:right="14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color w:val="auto"/>
        </w:rPr>
        <w:t>—The increase in income tax expense for the nine months ended September 30, 2026 compared to the same period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was primarily the result of an increase in book income and a decrease in permanent tax deductions related to stock awards.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5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income. Net income assumes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88" w:lineRule="exact"/>
        <w:rPr>
          <w:sz w:val="20"/>
          <w:szCs w:val="20"/>
          <w:color w:val="auto"/>
        </w:rPr>
      </w:pPr>
    </w:p>
    <w:p>
      <w:pPr>
        <w:ind w:right="140" w:firstLine="445"/>
        <w:spacing w:after="0" w:line="281" w:lineRule="auto"/>
        <w:rPr>
          <w:sz w:val="20"/>
          <w:szCs w:val="20"/>
          <w:color w:val="auto"/>
        </w:rPr>
      </w:pPr>
      <w:r>
        <w:rPr>
          <w:rFonts w:ascii="Times New Roman" w:cs="Times New Roman" w:eastAsia="Times New Roman" w:hAnsi="Times New Roman"/>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FFO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6"/>
                <w:szCs w:val="16"/>
                <w:color w:val="auto"/>
              </w:rPr>
            </w:pPr>
          </w:p>
        </w:tc>
        <w:tc>
          <w:tcPr>
            <w:tcW w:w="2200" w:type="dxa"/>
            <w:vAlign w:val="bottom"/>
            <w:gridSpan w:val="4"/>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2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6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686,604</w:t>
            </w:r>
          </w:p>
        </w:tc>
      </w:tr>
      <w:tr>
        <w:trPr>
          <w:trHeight w:val="270"/>
        </w:trPr>
        <w:tc>
          <w:tcPr>
            <w:tcW w:w="6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depreciation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488,711</w:t>
            </w: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real estate assets held for sale and sold, net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70,231</w:t>
            </w: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 real estate depreciation and amortization</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w:t>
            </w:r>
          </w:p>
        </w:tc>
      </w:tr>
      <w:tr>
        <w:trPr>
          <w:trHeight w:val="189"/>
        </w:trPr>
        <w:tc>
          <w:tcPr>
            <w:tcW w:w="62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Impairment loss on unconsolidated joint venture interests and (gain) on sale of</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unconsolidated joint venture interests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allocated to Operating Partnership noncontrolling interests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w:t>
            </w:r>
          </w:p>
        </w:tc>
      </w:tr>
      <w:tr>
        <w:trPr>
          <w:trHeight w:val="23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attributable to common stockholders and unit 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468,182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445,144</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1,359,925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1,312,499</w:t>
            </w:r>
          </w:p>
        </w:tc>
      </w:tr>
      <w:tr>
        <w:trPr>
          <w:trHeight w:val="21"/>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SAME-STORE RESULTS</w:t>
      </w:r>
    </w:p>
    <w:p>
      <w:pPr>
        <w:spacing w:after="0" w:line="22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Our same-store pool for the periods presented consists of 1,869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3"/>
                <w:szCs w:val="13"/>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rental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656,283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1,946,595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26,717</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76,874</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same-store rental revenues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2,023,469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Payroll and benefits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Marketing</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Office expense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operating expense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Repairs and maintenance</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taxes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same-store operating expenses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592,226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504,674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482,327</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1,476,420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1,431,243</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Same-store square foot occupancy as of period end</w:t>
            </w:r>
          </w:p>
        </w:tc>
        <w:tc>
          <w:tcPr>
            <w:tcW w:w="180" w:type="dxa"/>
            <w:vAlign w:val="bottom"/>
          </w:tcPr>
          <w:p>
            <w:pPr>
              <w:spacing w:after="0"/>
              <w:rPr>
                <w:sz w:val="21"/>
                <w:szCs w:val="21"/>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93.7%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same-store square foot occupancy</w:t>
            </w:r>
          </w:p>
        </w:tc>
        <w:tc>
          <w:tcPr>
            <w:tcW w:w="180" w:type="dxa"/>
            <w:vAlign w:val="bottom"/>
          </w:tcPr>
          <w:p>
            <w:pPr>
              <w:spacing w:after="0"/>
              <w:rPr>
                <w:sz w:val="21"/>
                <w:szCs w:val="21"/>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8"/>
              </w:rPr>
              <w:t>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93.7%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 included in same-store</w:t>
            </w:r>
          </w:p>
        </w:tc>
        <w:tc>
          <w:tcPr>
            <w:tcW w:w="180" w:type="dxa"/>
            <w:vAlign w:val="bottom"/>
          </w:tcPr>
          <w:p>
            <w:pPr>
              <w:spacing w:after="0"/>
              <w:rPr>
                <w:sz w:val="21"/>
                <w:szCs w:val="21"/>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8"/>
              </w:rPr>
              <w:t>1,869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1,869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additional information for our same-store portfolio: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6"/>
                <w:szCs w:val="16"/>
                <w:color w:val="auto"/>
              </w:rPr>
            </w:pPr>
          </w:p>
        </w:tc>
        <w:tc>
          <w:tcPr>
            <w:tcW w:w="236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2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Same-store portfolio</w:t>
            </w: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Average annual rent per occupied square foot, net of discounts and bad debt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19.53</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leases average annual rent per square foot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13.24</w:t>
            </w: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discounts as a percentage of rental revenues</w:t>
            </w: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810"/>
        </w:trPr>
        <w:tc>
          <w:tcPr>
            <w:tcW w:w="5500" w:type="dxa"/>
            <w:vAlign w:val="bottom"/>
          </w:tcPr>
          <w:p>
            <w:pPr>
              <w:spacing w:after="0"/>
              <w:rPr>
                <w:sz w:val="24"/>
                <w:szCs w:val="24"/>
                <w:color w:val="auto"/>
              </w:rPr>
            </w:pP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6" w:name="page37"/>
    <w:bookmarkEnd w:id="36"/>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66"/>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4"/>
                <w:szCs w:val="14"/>
                <w:color w:val="auto"/>
              </w:rPr>
            </w:pPr>
          </w:p>
        </w:tc>
        <w:tc>
          <w:tcPr>
            <w:tcW w:w="2420" w:type="dxa"/>
            <w:vAlign w:val="bottom"/>
            <w:gridSpan w:val="4"/>
          </w:tcPr>
          <w:p>
            <w:pPr>
              <w:jc w:val="right"/>
              <w:ind w:right="271"/>
              <w:spacing w:after="0" w:line="167"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22"/>
        </w:trPr>
        <w:tc>
          <w:tcPr>
            <w:tcW w:w="5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4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787,744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721,674</w:t>
            </w:r>
          </w:p>
        </w:tc>
      </w:tr>
      <w:tr>
        <w:trPr>
          <w:trHeight w:val="24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to exclude: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real estate assets held for sale and sold, net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70,231</w:t>
            </w:r>
          </w:p>
        </w:tc>
      </w:tr>
      <w:tr>
        <w:trPr>
          <w:trHeight w:val="189"/>
        </w:trPr>
        <w:tc>
          <w:tcPr>
            <w:tcW w:w="56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Equity in earnings and dividend income from unconsolidated real estate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w:t>
            </w:r>
          </w:p>
        </w:tc>
      </w:tr>
      <w:tr>
        <w:trPr>
          <w:trHeight w:val="189"/>
        </w:trPr>
        <w:tc>
          <w:tcPr>
            <w:tcW w:w="56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Impairment loss on unconsolidated joint venture interests and (gain) on</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unconsolidated joint venture interests</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4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438,177</w:t>
            </w:r>
          </w:p>
        </w:tc>
      </w:tr>
      <w:tr>
        <w:trPr>
          <w:trHeight w:val="189"/>
        </w:trPr>
        <w:tc>
          <w:tcPr>
            <w:tcW w:w="56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Non-cash interest expense related to amortization of discount on unsecured</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net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35,169</w:t>
            </w:r>
          </w:p>
        </w:tc>
      </w:tr>
      <w:tr>
        <w:trPr>
          <w:trHeight w:val="24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535,088</w:t>
            </w: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w:t>
            </w:r>
          </w:p>
        </w:tc>
      </w:tr>
      <w:tr>
        <w:trPr>
          <w:trHeight w:val="24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134,405</w:t>
            </w: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fees, other income and interest income</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(220,038)</w:t>
            </w:r>
          </w:p>
        </w:tc>
      </w:tr>
      <w:tr>
        <w:trPr>
          <w:trHeight w:val="24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tenant insurance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(211,783)</w:t>
            </w:r>
          </w:p>
        </w:tc>
      </w:tr>
      <w:tr>
        <w:trPr>
          <w:trHeight w:val="243"/>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 same-store rental revenue</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(137,496)</w:t>
            </w:r>
          </w:p>
        </w:tc>
      </w:tr>
      <w:tr>
        <w:trPr>
          <w:trHeight w:val="243"/>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 same-store operating expense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41,830</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116,085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94,463</w:t>
            </w:r>
          </w:p>
        </w:tc>
      </w:tr>
      <w:tr>
        <w:trPr>
          <w:trHeight w:val="261"/>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same-store net operating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1,431,243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701,681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683,000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2,069,193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2,023,469</w:t>
            </w:r>
          </w:p>
        </w:tc>
      </w:tr>
      <w:tr>
        <w:trPr>
          <w:trHeight w:val="24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200,673</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592,773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592,226</w:t>
            </w:r>
          </w:p>
        </w:tc>
      </w:tr>
      <w:tr>
        <w:trPr>
          <w:trHeight w:val="261"/>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504,674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1,431,243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for the nine months ended September 30, 2026 increased when compared to the same period in the prior year. Cash flows used in investing activities relate primarily to our acquisition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p>
      <w:pPr>
        <w:spacing w:after="0" w:line="18"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8890</wp:posOffset>
            </wp:positionV>
            <wp:extent cx="1834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1,482,396</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(697,662)</w:t>
            </w:r>
          </w:p>
        </w:tc>
      </w:tr>
      <w:tr>
        <w:trPr>
          <w:trHeight w:val="24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(811,803)</w:t>
            </w: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components of net cash flow included:</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721,674</w:t>
            </w:r>
          </w:p>
        </w:tc>
      </w:tr>
      <w:tr>
        <w:trPr>
          <w:trHeight w:val="243"/>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535,088</w:t>
            </w:r>
          </w:p>
        </w:tc>
      </w:tr>
      <w:tr>
        <w:trPr>
          <w:trHeight w:val="243"/>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development of real estate assets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(698,614)</w:t>
            </w:r>
          </w:p>
        </w:tc>
      </w:tr>
      <w:tr>
        <w:trPr>
          <w:trHeight w:val="243"/>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 of investment in unconsolidated real estate ventures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231,130</w:t>
            </w:r>
          </w:p>
        </w:tc>
      </w:tr>
      <w:tr>
        <w:trPr>
          <w:trHeight w:val="243"/>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notes receivable, net of sales and principal payments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(276,043)</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proceeds from unsecured term loans, senior notes, revolving lines of credit, public bonds and commercial</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3"/>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paper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305,741</w:t>
            </w:r>
          </w:p>
        </w:tc>
      </w:tr>
      <w:tr>
        <w:trPr>
          <w:trHeight w:val="243"/>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r>
      <w:tr>
        <w:trPr>
          <w:trHeight w:val="243"/>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(1,031,930)</w:t>
            </w:r>
          </w:p>
        </w:tc>
      </w:tr>
    </w:tbl>
    <w:p>
      <w:pPr>
        <w:spacing w:after="0" w:line="292" w:lineRule="exact"/>
        <w:rPr>
          <w:sz w:val="20"/>
          <w:szCs w:val="20"/>
          <w:color w:val="auto"/>
        </w:rPr>
      </w:pPr>
    </w:p>
    <w:p>
      <w:pPr>
        <w:jc w:val="both"/>
        <w:ind w:right="220" w:firstLine="445"/>
        <w:spacing w:after="0" w:line="281" w:lineRule="auto"/>
        <w:rPr>
          <w:sz w:val="20"/>
          <w:szCs w:val="20"/>
          <w:color w:val="auto"/>
        </w:rPr>
      </w:pPr>
      <w:r>
        <w:rPr>
          <w:rFonts w:ascii="Times New Roman" w:cs="Times New Roman" w:eastAsia="Times New Roman" w:hAnsi="Times New Roman"/>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acquisitions, funding for the bridge loan program, recurring capital expenditures, building redevelopments and expansions, distributions to unit holders and dividends to stockholders necessary to maintain our REIT qualification.</w:t>
      </w:r>
    </w:p>
    <w:p>
      <w:pPr>
        <w:spacing w:after="0" w:line="164" w:lineRule="exact"/>
        <w:rPr>
          <w:sz w:val="20"/>
          <w:szCs w:val="20"/>
          <w:color w:val="auto"/>
        </w:rPr>
      </w:pPr>
    </w:p>
    <w:p>
      <w:pPr>
        <w:jc w:val="both"/>
        <w:ind w:right="120" w:firstLine="445"/>
        <w:spacing w:after="0" w:line="289" w:lineRule="auto"/>
        <w:rPr>
          <w:sz w:val="20"/>
          <w:szCs w:val="20"/>
          <w:color w:val="auto"/>
        </w:rPr>
      </w:pPr>
      <w:r>
        <w:rPr>
          <w:rFonts w:ascii="Times New Roman" w:cs="Times New Roman" w:eastAsia="Times New Roman" w:hAnsi="Times New Roman"/>
          <w:sz w:val="17"/>
          <w:szCs w:val="17"/>
          <w:color w:val="auto"/>
        </w:rPr>
        <w:t>We expect to generate positive cash flow from operations in 2026,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2026, we had $114,824 available in cash and cash equivalents. Our cash and cash equivalents are held in accounts managed by third party financial institutions and consist of invested cash and cash in our operating accounts. During 2026 and 2025, we experienced no loss or lack of access to our cash and cash equivalents; however, there can be no assurance that access to our cash and cash equivalents will not be impacted by adverse conditions in the financial markets.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relating to our debt:</w:t>
      </w:r>
    </w:p>
    <w:p>
      <w:pPr>
        <w:spacing w:after="0" w:line="282"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7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3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face value of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13,621,366</w:t>
            </w: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enterprise value ratio</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fixed-rate debt and other instruments to total debt</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18"/>
                <w:szCs w:val="18"/>
                <w:color w:val="auto"/>
              </w:rPr>
              <w:t xml:space="preserve">79.6% </w:t>
            </w:r>
            <w:r>
              <w:rPr>
                <w:rFonts w:ascii="Times New Roman" w:cs="Times New Roman" w:eastAsia="Times New Roman" w:hAnsi="Times New Roman"/>
                <w:sz w:val="23"/>
                <w:szCs w:val="23"/>
                <w:color w:val="auto"/>
                <w:vertAlign w:val="superscript"/>
              </w:rPr>
              <w:t>(1)</w:t>
            </w: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of total debt</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67" w:lineRule="exact"/>
        <w:rPr>
          <w:sz w:val="20"/>
          <w:szCs w:val="20"/>
          <w:color w:val="auto"/>
        </w:rPr>
      </w:pPr>
    </w:p>
    <w:p>
      <w:pPr>
        <w:ind w:left="1400" w:right="1300" w:firstLine="3"/>
        <w:spacing w:after="0" w:line="245" w:lineRule="auto"/>
        <w:tabs>
          <w:tab w:leader="none" w:pos="16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$10,840,461 total fixed-rate debt including $777,000 on which we have interest rate swaps that have been included as fixed-rate debt.</w:t>
      </w:r>
    </w:p>
    <w:p>
      <w:pPr>
        <w:spacing w:after="0" w:line="281"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 w:name="page39"/>
    <w:bookmarkEnd w:id="38"/>
    <w:p>
      <w:pPr>
        <w:ind w:right="620"/>
        <w:spacing w:after="0" w:line="282" w:lineRule="auto"/>
        <w:rPr>
          <w:sz w:val="20"/>
          <w:szCs w:val="20"/>
          <w:color w:val="auto"/>
        </w:rPr>
      </w:pPr>
      <w:r>
        <w:rPr>
          <w:rFonts w:ascii="Times New Roman" w:cs="Times New Roman" w:eastAsia="Times New Roman" w:hAnsi="Times New Roman"/>
          <w:sz w:val="18"/>
          <w:szCs w:val="18"/>
          <w:color w:val="auto"/>
        </w:rPr>
        <w:t>out of our operating cash flow, cash on hand and borrowings under our revolving lines of credit and commercial paper. In addition, we are pursuing additional sources of financing based on anticipated funding needs and growth assumptions.</w:t>
      </w:r>
    </w:p>
    <w:p>
      <w:pPr>
        <w:spacing w:after="0" w:line="16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Our commercial paper program provides us the ability to issue, repay and re-issue short-term unsecured commercial paper notes. The aggregate principal amount outstanding under the program at any time cannot exceed $1,000,000, and the net proceeds of the commercial paper notes are expected to be used for general corporate purposes. The maturities of the notes generally range from overnight to three months, with a maximum of up to 397 days. The commercial paper notes are issued under customary terms in the commercial paper market and are issued at a discount from par or, alternatively, can be issued at par and bear varying interest rates on a fixed or floating basis. At any point in time, we expect to maintain available commitments under our credit facility in an amount at least equal to the amount of commercial paper notes outstanding. At September 30, 2026, we had $850,000 in issuances outstanding under the commercial paper program.</w:t>
      </w:r>
    </w:p>
    <w:p>
      <w:pPr>
        <w:spacing w:after="0" w:line="18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We hold a BBB+/Stable rating from S&amp;P and a Baa2/Stable rating from Moody’s Investors Service. We intend to manage our balance sheet to maintain these ratings. Certain of our real estate assets are pledged as collateral for our debt. As of September 30, 2026, we had a total of 1,796 unencumbered stores as defined by our public bonds. Our unencumbered asset value was calculated as $30,709,273 and our total asset value was calculated as $36,503,421 according to the calculations as defined by our public bonds. We are subject to certain restrictive covenants relating to our outstanding debt. We were in compliance with all financial covenants at September 30, 2026.</w:t>
      </w:r>
    </w:p>
    <w:p>
      <w:pPr>
        <w:spacing w:after="0" w:line="183"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Our liquidity needs consist primarily of operating expenses, monthly debt service payments, recurring capital expenditures, distributions to unit holders and dividends to stockholders necessary to maintain our REIT qualification. We evaluate, on an ongoing basis, the merits of strategic acquisitions and other relationships, which may require us to raise additional funds. We may also use Operating Partnership units as currency to fund acquisitions from self-storage owners. In addition,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w:t>
      </w:r>
    </w:p>
    <w:p>
      <w:pPr>
        <w:spacing w:after="0" w:line="187"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On April 15, 2024, we entered into an equity distribution agreement (the “Equity Distribution Agreement”) with certain sales agents and forward purchasers named therein. Under the terms of the Equity Distribution Agreement, we may issue and sell, and the forward purchasers may sell, from time to time through or to the sales agents, shares of our common stock having an aggregate offering price of up to $800,000. The shares of common stock will be offered pursuant to our effective registration statement on Form S-3 (Registration Statement No. 333-278690) previously filed with and declared effective by the Securities and Exchange Commission (the “SEC”) and a prospectus supplement and accompanying prospectus, filed with the SEC. As of September 30, 2026, no shares have been sold under the Equity Distribution Agreement, which we refer to as our “at the market” equity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self-storage business is subject to seasonal fluctuations. A greater portion of revenues and profits is typically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6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2026, we had approximately $13.6 billion in total face value of debt, of which approximately $2.8 billion was subject to variable interest rates (excluding debt with interest rate swaps). If SOFR were to increase or decrease by 100 basis points, the resulting increase or decrease in interest expense on the variable-rate debt would increase or decrease future earnings and cash flows by approximately $27.8 million annually.</w:t>
      </w:r>
    </w:p>
    <w:p>
      <w:pPr>
        <w:spacing w:after="0" w:line="17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1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92" w:lineRule="exact"/>
        <w:rPr>
          <w:sz w:val="20"/>
          <w:szCs w:val="20"/>
          <w:color w:val="auto"/>
        </w:rPr>
      </w:pPr>
    </w:p>
    <w:p>
      <w:pPr>
        <w:ind w:right="200" w:firstLine="445"/>
        <w:spacing w:after="0" w:line="312" w:lineRule="auto"/>
        <w:rPr>
          <w:sz w:val="20"/>
          <w:szCs w:val="20"/>
          <w:color w:val="auto"/>
        </w:rPr>
      </w:pPr>
      <w:r>
        <w:rPr>
          <w:rFonts w:ascii="Times New Roman" w:cs="Times New Roman" w:eastAsia="Times New Roman" w:hAnsi="Times New Roman"/>
          <w:sz w:val="17"/>
          <w:szCs w:val="17"/>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40"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03"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0" w:name="page41"/>
    <w:bookmarkEnd w:id="40"/>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2025, which could materially affect our business, financial condition and results of operations. There have been no material changes to the risk factors described in the “Risk Factors” section in our Annual Report on Form 10-K for the year ended December 31, 2025. The risks described in our Annual Report on Form 10-K and our Quarterly Reports on Form 10-Q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share repurchases made pursuant to our share repurchase program for the three months ended September 30, 2026:</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 Purchased as</w:t>
            </w:r>
          </w:p>
        </w:tc>
        <w:tc>
          <w:tcPr>
            <w:tcW w:w="120" w:type="dxa"/>
            <w:vAlign w:val="bottom"/>
          </w:tcPr>
          <w:p>
            <w:pPr>
              <w:spacing w:after="0"/>
              <w:rPr>
                <w:sz w:val="16"/>
                <w:szCs w:val="16"/>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That May Yet</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a Publicly Announced</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4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 xml:space="preserve">Be Purchased Under the Program </w:t>
            </w:r>
            <w:r>
              <w:rPr>
                <w:rFonts w:ascii="Times New Roman" w:cs="Times New Roman" w:eastAsia="Times New Roman" w:hAnsi="Times New Roman"/>
                <w:sz w:val="16"/>
                <w:szCs w:val="16"/>
                <w:b w:val="1"/>
                <w:bCs w:val="1"/>
                <w:i w:val="1"/>
                <w:iCs w:val="1"/>
                <w:color w:val="auto"/>
              </w:rPr>
              <w:t>(in</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w:t>
            </w:r>
          </w:p>
        </w:tc>
        <w:tc>
          <w:tcPr>
            <w:tcW w:w="27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jc w:val="right"/>
              <w:ind w:right="1054"/>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millions)</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1 - 31,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August 1 - 31, 2026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September 1 - 30, 2026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2,390,497</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tcBorders>
              <w:bottom w:val="single" w:sz="8" w:color="CCEEFF"/>
            </w:tcBorders>
          </w:tcPr>
          <w:p>
            <w:pPr>
              <w:spacing w:after="0"/>
              <w:rPr>
                <w:sz w:val="21"/>
                <w:szCs w:val="21"/>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2,390,497</w:t>
            </w:r>
          </w:p>
        </w:tc>
        <w:tc>
          <w:tcPr>
            <w:tcW w:w="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2,390,497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480" w:right="260" w:hanging="9"/>
        <w:spacing w:after="0" w:line="232" w:lineRule="auto"/>
        <w:tabs>
          <w:tab w:leader="none" w:pos="7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2023, our board of directors authorized a three-year share repurchase program allowing the repurchase of shares with an aggregate value up to $500.0 million of common stock. Purchases are made at management’s discretion based on market conditions and financial resources. As of September 30, 2026, we had remaining authorization to repurchase shares with an aggregate value up to $21.9 million.</w:t>
      </w:r>
    </w:p>
    <w:p>
      <w:pPr>
        <w:spacing w:after="0" w:line="29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On October 15, 2026, the Company’s board of directors authorized a new share repurchase program allowing for the repurchase of shares with an aggregate value up to $500,000. The October 2026 increase is not reflected in the “Approximate Dollar Value That May Yet Be Purchased Under the Program” column in the table above, which reflects only the amount available as of the end of each month during the quarter ended September 30, 2026.</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7"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officers or directors adopted, modified or terminated any contract, instruction or written plan for the purchase or sale of our securities that was intended to satisfy the affirmative defense conditions of Rule 10b5-1(c) or any “non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1" w:name="page42"/>
    <w:bookmarkEnd w:id="4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ectPr>
          <w:pgSz w:w="11900" w:h="16838" w:orient="portrait"/>
          <w:cols w:equalWidth="0" w:num="1">
            <w:col w:w="10540"/>
          </w:cols>
          <w:pgMar w:left="320" w:top="1413" w:right="1039" w:bottom="1440" w:gutter="0" w:footer="0" w:header="0"/>
        </w:sectPr>
      </w:pP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3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tc>
        <w:tc>
          <w:tcPr>
            <w:tcW w:w="0" w:type="dxa"/>
            <w:vAlign w:val="bottom"/>
          </w:tcPr>
          <w:p>
            <w:pPr>
              <w:spacing w:after="0"/>
              <w:rPr>
                <w:sz w:val="1"/>
                <w:szCs w:val="1"/>
                <w:color w:val="auto"/>
              </w:rPr>
            </w:pPr>
          </w:p>
        </w:tc>
      </w:tr>
      <w:tr>
        <w:trPr>
          <w:trHeight w:val="190"/>
        </w:trPr>
        <w:tc>
          <w:tcPr>
            <w:tcW w:w="1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980" w:right="380" w:hanging="723"/>
        <w:spacing w:after="0" w:line="236"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1.1</w:t>
      </w:r>
      <w:r>
        <w:rPr>
          <w:sz w:val="20"/>
          <w:szCs w:val="20"/>
          <w:color w:val="auto"/>
        </w:rPr>
        <w:tab/>
      </w:r>
      <w:hyperlink r:id="rId57">
        <w:r>
          <w:rPr>
            <w:rFonts w:ascii="Times New Roman" w:cs="Times New Roman" w:eastAsia="Times New Roman" w:hAnsi="Times New Roman"/>
            <w:sz w:val="17"/>
            <w:szCs w:val="17"/>
            <w:u w:val="single" w:color="auto"/>
            <w:color w:val="0000FF"/>
          </w:rPr>
          <w:t>Equity Distribution Agreement, dated April 15, 2024, by and among</w:t>
        </w:r>
      </w:hyperlink>
      <w:r>
        <w:rPr>
          <w:rFonts w:ascii="Times New Roman" w:cs="Times New Roman" w:eastAsia="Times New Roman" w:hAnsi="Times New Roman"/>
          <w:sz w:val="17"/>
          <w:szCs w:val="17"/>
          <w:u w:val="single" w:color="auto"/>
          <w:color w:val="0000FF"/>
        </w:rPr>
        <w:t xml:space="preserve"> </w:t>
      </w:r>
      <w:hyperlink r:id="rId57">
        <w:r>
          <w:rPr>
            <w:rFonts w:ascii="Times New Roman" w:cs="Times New Roman" w:eastAsia="Times New Roman" w:hAnsi="Times New Roman"/>
            <w:sz w:val="17"/>
            <w:szCs w:val="17"/>
            <w:u w:val="single" w:color="auto"/>
            <w:color w:val="0000FF"/>
          </w:rPr>
          <w:t>Extra Space Storage Inc., Extra Space Storage LP, BMO Capital</w:t>
        </w:r>
      </w:hyperlink>
    </w:p>
    <w:p>
      <w:pPr>
        <w:jc w:val="both"/>
        <w:ind w:left="1140" w:right="180"/>
        <w:spacing w:after="0" w:line="220" w:lineRule="auto"/>
        <w:rPr>
          <w:rFonts w:ascii="Times New Roman" w:cs="Times New Roman" w:eastAsia="Times New Roman" w:hAnsi="Times New Roman"/>
          <w:sz w:val="17"/>
          <w:szCs w:val="17"/>
          <w:u w:val="single" w:color="auto"/>
          <w:color w:val="0000FF"/>
        </w:rPr>
      </w:pPr>
      <w:hyperlink r:id="rId57">
        <w:r>
          <w:rPr>
            <w:rFonts w:ascii="Times New Roman" w:cs="Times New Roman" w:eastAsia="Times New Roman" w:hAnsi="Times New Roman"/>
            <w:sz w:val="17"/>
            <w:szCs w:val="17"/>
            <w:u w:val="single" w:color="auto"/>
            <w:color w:val="0000FF"/>
          </w:rPr>
          <w:t>Markets Corp., BofA Securities, Inc., Citigroup Global Markets Inc.,</w:t>
        </w:r>
      </w:hyperlink>
      <w:r>
        <w:rPr>
          <w:rFonts w:ascii="Times New Roman" w:cs="Times New Roman" w:eastAsia="Times New Roman" w:hAnsi="Times New Roman"/>
          <w:sz w:val="17"/>
          <w:szCs w:val="17"/>
          <w:u w:val="single" w:color="auto"/>
          <w:color w:val="0000FF"/>
        </w:rPr>
        <w:t xml:space="preserve"> </w:t>
      </w:r>
      <w:hyperlink r:id="rId57">
        <w:r>
          <w:rPr>
            <w:rFonts w:ascii="Times New Roman" w:cs="Times New Roman" w:eastAsia="Times New Roman" w:hAnsi="Times New Roman"/>
            <w:sz w:val="17"/>
            <w:szCs w:val="17"/>
            <w:u w:val="single" w:color="auto"/>
            <w:color w:val="0000FF"/>
          </w:rPr>
          <w:t>Jefferies LLC, J.P. Morgan Securities LLC, Regions Securities LLC,</w:t>
        </w:r>
      </w:hyperlink>
      <w:r>
        <w:rPr>
          <w:rFonts w:ascii="Times New Roman" w:cs="Times New Roman" w:eastAsia="Times New Roman" w:hAnsi="Times New Roman"/>
          <w:sz w:val="17"/>
          <w:szCs w:val="17"/>
          <w:u w:val="single" w:color="auto"/>
          <w:color w:val="0000FF"/>
        </w:rPr>
        <w:t xml:space="preserve"> </w:t>
      </w:r>
      <w:hyperlink r:id="rId57">
        <w:r>
          <w:rPr>
            <w:rFonts w:ascii="Times New Roman" w:cs="Times New Roman" w:eastAsia="Times New Roman" w:hAnsi="Times New Roman"/>
            <w:sz w:val="17"/>
            <w:szCs w:val="17"/>
            <w:u w:val="single" w:color="auto"/>
            <w:color w:val="0000FF"/>
          </w:rPr>
          <w:t>TD Securities (USA) LLC, Truist Securities, Inc. and Wells Fargo</w:t>
        </w:r>
      </w:hyperlink>
    </w:p>
    <w:p>
      <w:pPr>
        <w:spacing w:after="0" w:line="2" w:lineRule="exact"/>
        <w:rPr>
          <w:rFonts w:ascii="Times New Roman" w:cs="Times New Roman" w:eastAsia="Times New Roman" w:hAnsi="Times New Roman"/>
          <w:sz w:val="17"/>
          <w:szCs w:val="17"/>
          <w:u w:val="single" w:color="auto"/>
          <w:color w:val="0000FF"/>
        </w:rPr>
      </w:pPr>
    </w:p>
    <w:p>
      <w:pPr>
        <w:ind w:left="114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Securities, LLC</w:t>
        </w:r>
      </w:hyperlink>
    </w:p>
    <w:p>
      <w:pPr>
        <w:spacing w:after="0" w:line="16" w:lineRule="exact"/>
        <w:rPr>
          <w:rFonts w:ascii="Times New Roman" w:cs="Times New Roman" w:eastAsia="Times New Roman" w:hAnsi="Times New Roman"/>
          <w:sz w:val="17"/>
          <w:szCs w:val="17"/>
          <w:u w:val="single" w:color="auto"/>
          <w:color w:val="0000FF"/>
        </w:rPr>
      </w:pPr>
    </w:p>
    <w:p>
      <w:pPr>
        <w:ind w:left="980" w:right="100" w:hanging="723"/>
        <w:spacing w:after="0" w:line="236"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58">
        <w:r>
          <w:rPr>
            <w:rFonts w:ascii="Times New Roman" w:cs="Times New Roman" w:eastAsia="Times New Roman" w:hAnsi="Times New Roman"/>
            <w:sz w:val="17"/>
            <w:szCs w:val="17"/>
            <w:u w:val="single" w:color="auto"/>
            <w:color w:val="0000FF"/>
          </w:rPr>
          <w:t>Agreement and Plan of Merger, dated as of April 2, 2023, by and among</w:t>
        </w:r>
      </w:hyperlink>
      <w:r>
        <w:rPr>
          <w:rFonts w:ascii="Times New Roman" w:cs="Times New Roman" w:eastAsia="Times New Roman" w:hAnsi="Times New Roman"/>
          <w:sz w:val="17"/>
          <w:szCs w:val="17"/>
          <w:u w:val="single" w:color="auto"/>
          <w:color w:val="0000FF"/>
        </w:rPr>
        <w:t xml:space="preserve"> </w:t>
      </w:r>
      <w:hyperlink r:id="rId58">
        <w:r>
          <w:rPr>
            <w:rFonts w:ascii="Times New Roman" w:cs="Times New Roman" w:eastAsia="Times New Roman" w:hAnsi="Times New Roman"/>
            <w:sz w:val="17"/>
            <w:szCs w:val="17"/>
            <w:u w:val="single" w:color="auto"/>
            <w:color w:val="0000FF"/>
          </w:rPr>
          <w:t>Extra Space Storage Inc., Extra Space Storage LP, Eros Merger Sub,</w:t>
        </w:r>
      </w:hyperlink>
    </w:p>
    <w:p>
      <w:pPr>
        <w:ind w:left="1140" w:right="200"/>
        <w:spacing w:after="0" w:line="226" w:lineRule="auto"/>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LLC, Eros OP Merger Sub, LLC, Life Storage, Inc. and Life Storage</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LP</w:t>
        </w:r>
      </w:hyperlink>
    </w:p>
    <w:p>
      <w:pPr>
        <w:spacing w:after="0" w:line="9" w:lineRule="exact"/>
        <w:rPr>
          <w:sz w:val="20"/>
          <w:szCs w:val="20"/>
          <w:color w:val="auto"/>
        </w:rPr>
      </w:pPr>
    </w:p>
    <w:p>
      <w:pPr>
        <w:ind w:left="980" w:hanging="723"/>
        <w:spacing w:after="0" w:line="236"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59">
        <w:r>
          <w:rPr>
            <w:rFonts w:ascii="Times New Roman" w:cs="Times New Roman" w:eastAsia="Times New Roman" w:hAnsi="Times New Roman"/>
            <w:sz w:val="17"/>
            <w:szCs w:val="17"/>
            <w:u w:val="single" w:color="auto"/>
            <w:color w:val="0000FF"/>
          </w:rPr>
          <w:t>Amendment to Agreement and Plan of Merger, dated as of May 18, 2023,</w:t>
        </w:r>
      </w:hyperlink>
      <w:r>
        <w:rPr>
          <w:rFonts w:ascii="Times New Roman" w:cs="Times New Roman" w:eastAsia="Times New Roman" w:hAnsi="Times New Roman"/>
          <w:sz w:val="17"/>
          <w:szCs w:val="17"/>
          <w:u w:val="single" w:color="auto"/>
          <w:color w:val="0000FF"/>
        </w:rPr>
        <w:t xml:space="preserve"> </w:t>
      </w:r>
      <w:hyperlink r:id="rId59">
        <w:r>
          <w:rPr>
            <w:rFonts w:ascii="Times New Roman" w:cs="Times New Roman" w:eastAsia="Times New Roman" w:hAnsi="Times New Roman"/>
            <w:sz w:val="17"/>
            <w:szCs w:val="17"/>
            <w:u w:val="single" w:color="auto"/>
            <w:color w:val="0000FF"/>
          </w:rPr>
          <w:t>by and among Extra Space Storage Inc., Extra Space Storage LP, Eros</w:t>
        </w:r>
      </w:hyperlink>
    </w:p>
    <w:p>
      <w:pPr>
        <w:ind w:left="1140" w:right="200"/>
        <w:spacing w:after="0" w:line="226"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Merger Sub, LLC, Eros OP Merger Sub, LLC, Life Storage, Inc. and</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Life Storage LP</w:t>
        </w:r>
      </w:hyperlink>
    </w:p>
    <w:p>
      <w:pPr>
        <w:spacing w:after="0" w:line="9" w:lineRule="exact"/>
        <w:rPr>
          <w:sz w:val="20"/>
          <w:szCs w:val="20"/>
          <w:color w:val="auto"/>
        </w:rPr>
      </w:pPr>
    </w:p>
    <w:p>
      <w:pPr>
        <w:ind w:left="980" w:right="700" w:hanging="723"/>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0">
        <w:r>
          <w:rPr>
            <w:rFonts w:ascii="Times New Roman" w:cs="Times New Roman" w:eastAsia="Times New Roman" w:hAnsi="Times New Roman"/>
            <w:sz w:val="18"/>
            <w:szCs w:val="18"/>
            <w:u w:val="single" w:color="auto"/>
            <w:color w:val="0000FF"/>
          </w:rPr>
          <w:t>Amended and Restated Articles of Incorporation of Extra Space</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Storage Inc.</w:t>
        </w:r>
      </w:hyperlink>
    </w:p>
    <w:p>
      <w:pPr>
        <w:spacing w:after="0" w:line="12" w:lineRule="exact"/>
        <w:rPr>
          <w:sz w:val="20"/>
          <w:szCs w:val="20"/>
          <w:color w:val="auto"/>
        </w:rPr>
      </w:pPr>
    </w:p>
    <w:p>
      <w:pPr>
        <w:ind w:left="40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1">
        <w:r>
          <w:rPr>
            <w:rFonts w:ascii="Times New Roman" w:cs="Times New Roman" w:eastAsia="Times New Roman" w:hAnsi="Times New Roman"/>
            <w:sz w:val="17"/>
            <w:szCs w:val="17"/>
            <w:u w:val="single" w:color="auto"/>
            <w:color w:val="0000FF"/>
          </w:rPr>
          <w:t>Articles of Amendment of Extra Space Storage Inc., dated September 28,</w:t>
        </w:r>
      </w:hyperlink>
    </w:p>
    <w:p>
      <w:pPr>
        <w:ind w:left="114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2007.</w:t>
        </w:r>
      </w:hyperlink>
    </w:p>
    <w:p>
      <w:pPr>
        <w:spacing w:after="0" w:line="18" w:lineRule="exact"/>
        <w:rPr>
          <w:sz w:val="20"/>
          <w:szCs w:val="20"/>
          <w:color w:val="auto"/>
        </w:rPr>
      </w:pPr>
    </w:p>
    <w:p>
      <w:pPr>
        <w:ind w:left="40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62">
        <w:r>
          <w:rPr>
            <w:rFonts w:ascii="Times New Roman" w:cs="Times New Roman" w:eastAsia="Times New Roman" w:hAnsi="Times New Roman"/>
            <w:sz w:val="17"/>
            <w:szCs w:val="17"/>
            <w:u w:val="single" w:color="auto"/>
            <w:color w:val="0000FF"/>
          </w:rPr>
          <w:t>Articles of Amendment of Extra Space Storage Inc., dated August 29,</w:t>
        </w:r>
      </w:hyperlink>
    </w:p>
    <w:p>
      <w:pPr>
        <w:ind w:left="114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2013.</w:t>
        </w:r>
      </w:hyperlink>
    </w:p>
    <w:p>
      <w:pPr>
        <w:spacing w:after="0" w:line="30" w:lineRule="exact"/>
        <w:rPr>
          <w:sz w:val="20"/>
          <w:szCs w:val="20"/>
          <w:color w:val="auto"/>
        </w:rPr>
      </w:pPr>
    </w:p>
    <w:p>
      <w:pPr>
        <w:ind w:left="40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63">
        <w:r>
          <w:rPr>
            <w:rFonts w:ascii="Times New Roman" w:cs="Times New Roman" w:eastAsia="Times New Roman" w:hAnsi="Times New Roman"/>
            <w:sz w:val="17"/>
            <w:szCs w:val="17"/>
            <w:u w:val="single" w:color="auto"/>
            <w:color w:val="0000FF"/>
          </w:rPr>
          <w:t>Articles of Amendment of Extra Space Storage Inc., dated May 21, 2014.</w:t>
        </w:r>
      </w:hyperlink>
    </w:p>
    <w:p>
      <w:pPr>
        <w:spacing w:after="0" w:line="36" w:lineRule="exact"/>
        <w:rPr>
          <w:sz w:val="20"/>
          <w:szCs w:val="20"/>
          <w:color w:val="auto"/>
        </w:rPr>
      </w:pPr>
    </w:p>
    <w:p>
      <w:pPr>
        <w:ind w:left="40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3.5</w:t>
      </w:r>
      <w:r>
        <w:rPr>
          <w:sz w:val="20"/>
          <w:szCs w:val="20"/>
          <w:color w:val="auto"/>
        </w:rPr>
        <w:tab/>
      </w:r>
      <w:hyperlink r:id="rId64">
        <w:r>
          <w:rPr>
            <w:rFonts w:ascii="Times New Roman" w:cs="Times New Roman" w:eastAsia="Times New Roman" w:hAnsi="Times New Roman"/>
            <w:sz w:val="17"/>
            <w:szCs w:val="17"/>
            <w:u w:val="single" w:color="auto"/>
            <w:color w:val="0000FF"/>
          </w:rPr>
          <w:t>Second Amended and Restated Bylaws of Extra Space Storage Inc.</w:t>
        </w:r>
      </w:hyperlink>
    </w:p>
    <w:p>
      <w:pPr>
        <w:spacing w:after="0" w:line="36" w:lineRule="exact"/>
        <w:rPr>
          <w:sz w:val="20"/>
          <w:szCs w:val="20"/>
          <w:color w:val="auto"/>
        </w:rPr>
      </w:pPr>
    </w:p>
    <w:p>
      <w:pPr>
        <w:ind w:left="980" w:right="400" w:hanging="723"/>
        <w:spacing w:after="0" w:line="237"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hyperlink r:id="rId65">
        <w:r>
          <w:rPr>
            <w:rFonts w:ascii="Times New Roman" w:cs="Times New Roman" w:eastAsia="Times New Roman" w:hAnsi="Times New Roman"/>
            <w:sz w:val="18"/>
            <w:szCs w:val="18"/>
            <w:u w:val="single" w:color="auto"/>
            <w:color w:val="0000FF"/>
          </w:rPr>
          <w:t>Fourth Amended and Restated Agreement of Limited Partnership of</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Extra Space Storage LP.</w:t>
        </w:r>
      </w:hyperlink>
    </w:p>
    <w:p>
      <w:pPr>
        <w:spacing w:after="0" w:line="23" w:lineRule="exact"/>
        <w:rPr>
          <w:sz w:val="20"/>
          <w:szCs w:val="20"/>
          <w:color w:val="auto"/>
        </w:rPr>
      </w:pPr>
    </w:p>
    <w:p>
      <w:pPr>
        <w:ind w:left="40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66">
        <w:r>
          <w:rPr>
            <w:rFonts w:ascii="Times New Roman" w:cs="Times New Roman" w:eastAsia="Times New Roman" w:hAnsi="Times New Roman"/>
            <w:sz w:val="17"/>
            <w:szCs w:val="17"/>
            <w:u w:val="single" w:color="auto"/>
            <w:color w:val="0000FF"/>
          </w:rPr>
          <w:t>Junior Subordinated Note</w:t>
        </w:r>
      </w:hyperlink>
    </w:p>
    <w:p>
      <w:pPr>
        <w:spacing w:after="0" w:line="36" w:lineRule="exact"/>
        <w:rPr>
          <w:sz w:val="20"/>
          <w:szCs w:val="20"/>
          <w:color w:val="auto"/>
        </w:rPr>
      </w:pPr>
    </w:p>
    <w:p>
      <w:pPr>
        <w:ind w:left="40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67">
        <w:r>
          <w:rPr>
            <w:rFonts w:ascii="Times New Roman" w:cs="Times New Roman" w:eastAsia="Times New Roman" w:hAnsi="Times New Roman"/>
            <w:sz w:val="17"/>
            <w:szCs w:val="17"/>
            <w:u w:val="single" w:color="auto"/>
            <w:color w:val="0000FF"/>
          </w:rPr>
          <w:t>Description of Securities</w:t>
        </w:r>
      </w:hyperlink>
    </w:p>
    <w:p>
      <w:pPr>
        <w:spacing w:after="0" w:line="36" w:lineRule="exact"/>
        <w:rPr>
          <w:sz w:val="20"/>
          <w:szCs w:val="20"/>
          <w:color w:val="auto"/>
        </w:rPr>
      </w:pPr>
    </w:p>
    <w:p>
      <w:pPr>
        <w:ind w:left="980" w:right="140" w:hanging="723"/>
        <w:spacing w:after="0" w:line="22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68">
        <w:r>
          <w:rPr>
            <w:rFonts w:ascii="Times New Roman" w:cs="Times New Roman" w:eastAsia="Times New Roman" w:hAnsi="Times New Roman"/>
            <w:sz w:val="18"/>
            <w:szCs w:val="18"/>
            <w:u w:val="single" w:color="auto"/>
            <w:color w:val="0000FF"/>
          </w:rPr>
          <w:t>Indenture, dated as of May 11, 2021, among Extra Space Storage LP, as</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issuer, Extra Space Storage Inc., ESS Holdings Business Trust I and</w:t>
        </w:r>
      </w:hyperlink>
    </w:p>
    <w:p>
      <w:pPr>
        <w:spacing w:after="0" w:line="2" w:lineRule="exact"/>
        <w:rPr>
          <w:sz w:val="20"/>
          <w:szCs w:val="20"/>
          <w:color w:val="auto"/>
        </w:rPr>
      </w:pPr>
    </w:p>
    <w:p>
      <w:pPr>
        <w:ind w:left="1140" w:right="80"/>
        <w:spacing w:after="0" w:line="226"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ESS Holdings Business Trust II, as guarantors, and Wells Fargo Bank,</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National Association, as trustee.</w:t>
        </w:r>
      </w:hyperlink>
    </w:p>
    <w:p>
      <w:pPr>
        <w:spacing w:after="0" w:line="9" w:lineRule="exact"/>
        <w:rPr>
          <w:sz w:val="20"/>
          <w:szCs w:val="20"/>
          <w:color w:val="auto"/>
        </w:rPr>
      </w:pPr>
    </w:p>
    <w:p>
      <w:pPr>
        <w:ind w:left="980" w:right="220" w:hanging="723"/>
        <w:spacing w:after="0" w:line="22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69">
        <w:r>
          <w:rPr>
            <w:rFonts w:ascii="Times New Roman" w:cs="Times New Roman" w:eastAsia="Times New Roman" w:hAnsi="Times New Roman"/>
            <w:sz w:val="18"/>
            <w:szCs w:val="18"/>
            <w:u w:val="single" w:color="auto"/>
            <w:color w:val="0000FF"/>
          </w:rPr>
          <w:t>First Supplemental Indenture, dated as of May 11, 2021, among Extra</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Space Storage LP, as issuer, Extra Space Storage Inc., ESS Holdings</w:t>
        </w:r>
      </w:hyperlink>
    </w:p>
    <w:p>
      <w:pPr>
        <w:spacing w:after="0" w:line="2" w:lineRule="exact"/>
        <w:rPr>
          <w:sz w:val="20"/>
          <w:szCs w:val="20"/>
          <w:color w:val="auto"/>
        </w:rPr>
      </w:pPr>
    </w:p>
    <w:p>
      <w:pPr>
        <w:ind w:left="1140" w:right="140"/>
        <w:spacing w:after="0" w:line="218"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and Wells Fargo Bank, National Association, as trustee, including the</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980" w:right="80" w:hanging="723"/>
        <w:spacing w:after="0" w:line="236"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70">
        <w:r>
          <w:rPr>
            <w:rFonts w:ascii="Times New Roman" w:cs="Times New Roman" w:eastAsia="Times New Roman" w:hAnsi="Times New Roman"/>
            <w:sz w:val="17"/>
            <w:szCs w:val="17"/>
            <w:u w:val="single" w:color="auto"/>
            <w:color w:val="0000FF"/>
          </w:rPr>
          <w:t>Second Supplemental Indenture, dated as of September 22, 2021, among</w:t>
        </w:r>
      </w:hyperlink>
      <w:r>
        <w:rPr>
          <w:rFonts w:ascii="Times New Roman" w:cs="Times New Roman" w:eastAsia="Times New Roman" w:hAnsi="Times New Roman"/>
          <w:sz w:val="17"/>
          <w:szCs w:val="17"/>
          <w:u w:val="single" w:color="auto"/>
          <w:color w:val="0000FF"/>
        </w:rPr>
        <w:t xml:space="preserve"> </w:t>
      </w:r>
      <w:hyperlink r:id="rId70">
        <w:r>
          <w:rPr>
            <w:rFonts w:ascii="Times New Roman" w:cs="Times New Roman" w:eastAsia="Times New Roman" w:hAnsi="Times New Roman"/>
            <w:sz w:val="17"/>
            <w:szCs w:val="17"/>
            <w:u w:val="single" w:color="auto"/>
            <w:color w:val="0000FF"/>
          </w:rPr>
          <w:t>Extra Space Storage LP, as issuer, Extra Space Storage Inc., ESS</w:t>
        </w:r>
      </w:hyperlink>
    </w:p>
    <w:p>
      <w:pPr>
        <w:ind w:left="1140" w:right="280"/>
        <w:spacing w:after="0" w:line="218"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Holdings Business Trust I and ESS Holdings Business Trust II, as</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guarantors, and Wells Fargo Bank, National Association, as trustee,</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including the 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980" w:right="60" w:hanging="723"/>
        <w:spacing w:after="0" w:line="236"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71">
        <w:r>
          <w:rPr>
            <w:rFonts w:ascii="Times New Roman" w:cs="Times New Roman" w:eastAsia="Times New Roman" w:hAnsi="Times New Roman"/>
            <w:sz w:val="17"/>
            <w:szCs w:val="17"/>
            <w:u w:val="single" w:color="auto"/>
            <w:color w:val="0000FF"/>
          </w:rPr>
          <w:t>Third Supplemental Indenture, dated as of March 31, 2022, among Extra</w:t>
        </w:r>
      </w:hyperlink>
      <w:r>
        <w:rPr>
          <w:rFonts w:ascii="Times New Roman" w:cs="Times New Roman" w:eastAsia="Times New Roman" w:hAnsi="Times New Roman"/>
          <w:sz w:val="17"/>
          <w:szCs w:val="17"/>
          <w:u w:val="single" w:color="auto"/>
          <w:color w:val="0000FF"/>
        </w:rPr>
        <w:t xml:space="preserve"> </w:t>
      </w:r>
      <w:hyperlink r:id="rId71">
        <w:r>
          <w:rPr>
            <w:rFonts w:ascii="Times New Roman" w:cs="Times New Roman" w:eastAsia="Times New Roman" w:hAnsi="Times New Roman"/>
            <w:sz w:val="17"/>
            <w:szCs w:val="17"/>
            <w:u w:val="single" w:color="auto"/>
            <w:color w:val="0000FF"/>
          </w:rPr>
          <w:t>Space Storage LP, as issuer, Extra Space Storage Inc., ESS Holdings</w:t>
        </w:r>
      </w:hyperlink>
    </w:p>
    <w:p>
      <w:pPr>
        <w:jc w:val="both"/>
        <w:ind w:left="1140" w:right="260"/>
        <w:spacing w:after="0" w:line="218"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form of the Notes and the Guarantee.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5"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336"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96"/>
        </w:trPr>
        <w:tc>
          <w:tcPr>
            <w:tcW w:w="120" w:type="dxa"/>
            <w:vAlign w:val="bottom"/>
          </w:tcPr>
          <w:p>
            <w:pPr>
              <w:spacing w:after="0"/>
              <w:rPr>
                <w:sz w:val="17"/>
                <w:szCs w:val="17"/>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7"/>
                <w:szCs w:val="17"/>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77"/>
        </w:trPr>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S-3ASR</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8"/>
              </w:rPr>
              <w:t>April 15, 2024</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1147"/>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April 3, 2023</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r>
      <w:tr>
        <w:trPr>
          <w:trHeight w:val="783"/>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8"/>
              </w:rPr>
              <w:t>July 20, 2023</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r>
      <w:tr>
        <w:trPr>
          <w:trHeight w:val="783"/>
        </w:trPr>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S-11</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rPr>
              <w:t>August 10, 2004</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October 3, 2007</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rPr>
              <w:t>August 29, 2013</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28, 2014</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120" w:type="dxa"/>
            <w:vAlign w:val="bottom"/>
          </w:tcPr>
          <w:p>
            <w:pPr>
              <w:spacing w:after="0"/>
              <w:rPr>
                <w:sz w:val="21"/>
                <w:szCs w:val="21"/>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1"/>
                <w:szCs w:val="21"/>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rPr>
              <w:t>January 17, 2018</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120" w:type="dxa"/>
            <w:vAlign w:val="bottom"/>
          </w:tcPr>
          <w:p>
            <w:pPr>
              <w:spacing w:after="0"/>
              <w:rPr>
                <w:sz w:val="21"/>
                <w:szCs w:val="21"/>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1"/>
                <w:szCs w:val="21"/>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December 6, 2013</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February 26, 2010</w:t>
            </w: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1"/>
                <w:szCs w:val="21"/>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February 25, 2020</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120" w:type="dxa"/>
            <w:vAlign w:val="bottom"/>
          </w:tcPr>
          <w:p>
            <w:pPr>
              <w:spacing w:after="0"/>
              <w:rPr>
                <w:sz w:val="21"/>
                <w:szCs w:val="21"/>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1"/>
                <w:szCs w:val="21"/>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11, 2021</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r>
      <w:tr>
        <w:trPr>
          <w:trHeight w:val="783"/>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11, 2021</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9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22, 2021</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12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4"/>
                <w:szCs w:val="24"/>
                <w:color w:val="auto"/>
              </w:rPr>
            </w:pP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rPr>
              <w:t>March 31, 2022</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3"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Filed</w:t>
      </w:r>
    </w:p>
    <w:p>
      <w:pPr>
        <w:spacing w:after="0" w:line="6"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Herewith</w:t>
      </w:r>
    </w:p>
    <w:p>
      <w:pPr>
        <w:sectPr>
          <w:pgSz w:w="11900" w:h="16838" w:orient="portrait"/>
          <w:cols w:equalWidth="0" w:num="3">
            <w:col w:w="6280" w:space="140"/>
            <w:col w:w="3160" w:space="380"/>
            <w:col w:w="580"/>
          </w:cols>
          <w:pgMar w:left="320" w:top="1413" w:right="1039" w:bottom="1440" w:gutter="0" w:footer="0" w:header="0"/>
          <w:type w:val="continuous"/>
        </w:sectPr>
      </w:pPr>
    </w:p>
    <w:bookmarkStart w:id="42" w:name="page43"/>
    <w:bookmarkEnd w:id="42"/>
    <w:p>
      <w:pPr>
        <w:spacing w:after="0" w:line="32" w:lineRule="exact"/>
        <w:rPr>
          <w:sz w:val="20"/>
          <w:szCs w:val="20"/>
          <w:color w:val="auto"/>
        </w:rPr>
      </w:pPr>
    </w:p>
    <w:p>
      <w:pPr>
        <w:ind w:left="620" w:hanging="723"/>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73">
        <w:r>
          <w:rPr>
            <w:rFonts w:ascii="Times New Roman" w:cs="Times New Roman" w:eastAsia="Times New Roman" w:hAnsi="Times New Roman"/>
            <w:sz w:val="17"/>
            <w:szCs w:val="17"/>
            <w:u w:val="single" w:color="auto"/>
            <w:color w:val="0000FF"/>
          </w:rPr>
          <w:t>Fourth Supplemental Indenture, dated as of March 28, 2023, among Extra</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Space Storage LP, as issuer, Extra Space Storage Inc., ESS Holdings</w:t>
        </w:r>
      </w:hyperlink>
    </w:p>
    <w:p>
      <w:pPr>
        <w:jc w:val="both"/>
        <w:ind w:left="780" w:right="280"/>
        <w:spacing w:after="0" w:line="218"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jc w:val="right"/>
        <w:ind w:left="40" w:right="2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74">
        <w:r>
          <w:rPr>
            <w:rFonts w:ascii="Times New Roman" w:cs="Times New Roman" w:eastAsia="Times New Roman" w:hAnsi="Times New Roman"/>
            <w:sz w:val="18"/>
            <w:szCs w:val="18"/>
            <w:u w:val="single" w:color="auto"/>
            <w:color w:val="0000FF"/>
          </w:rPr>
          <w:t>Fifth Supplemental Indenture, dated as of June 16, 2023, among Extra</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FF"/>
          </w:rPr>
          <w:t>Space Storage LP, as issuer, Extra Space Storage Inc., ESS Holdings</w:t>
        </w:r>
      </w:hyperlink>
    </w:p>
    <w:p>
      <w:pPr>
        <w:spacing w:after="0" w:line="2" w:lineRule="exact"/>
        <w:rPr>
          <w:sz w:val="20"/>
          <w:szCs w:val="20"/>
          <w:color w:val="auto"/>
        </w:rPr>
      </w:pPr>
    </w:p>
    <w:p>
      <w:pPr>
        <w:jc w:val="both"/>
        <w:ind w:left="780" w:right="280"/>
        <w:spacing w:after="0" w:line="218"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620" w:right="80" w:hanging="723"/>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75">
        <w:r>
          <w:rPr>
            <w:rFonts w:ascii="Times New Roman" w:cs="Times New Roman" w:eastAsia="Times New Roman" w:hAnsi="Times New Roman"/>
            <w:sz w:val="17"/>
            <w:szCs w:val="17"/>
            <w:u w:val="single" w:color="auto"/>
            <w:color w:val="0000FF"/>
          </w:rPr>
          <w:t>Seventh Supplemental Indenture, dated as of July 25, 2023, among Extra</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Space Storage LP, as issuer, Extra Space Storage Inc., ESS Holdings</w:t>
        </w:r>
      </w:hyperlink>
    </w:p>
    <w:p>
      <w:pPr>
        <w:jc w:val="both"/>
        <w:ind w:left="780" w:right="280"/>
        <w:spacing w:after="0" w:line="218"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jc w:val="right"/>
        <w:ind w:right="1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4.10   </w:t>
      </w:r>
      <w:hyperlink r:id="rId76">
        <w:r>
          <w:rPr>
            <w:rFonts w:ascii="Times New Roman" w:cs="Times New Roman" w:eastAsia="Times New Roman" w:hAnsi="Times New Roman"/>
            <w:sz w:val="18"/>
            <w:szCs w:val="18"/>
            <w:u w:val="single" w:color="auto"/>
            <w:color w:val="0000FF"/>
          </w:rPr>
          <w:t>Eighth Supplemental Indenture, dated as of July 25, 2023, among Extra</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FF"/>
          </w:rPr>
          <w:t>Space Storage LP, as issuer, Extra Space Storage Inc., ESS Holdings</w:t>
        </w:r>
      </w:hyperlink>
    </w:p>
    <w:p>
      <w:pPr>
        <w:spacing w:after="0" w:line="2" w:lineRule="exact"/>
        <w:rPr>
          <w:sz w:val="20"/>
          <w:szCs w:val="20"/>
          <w:color w:val="auto"/>
        </w:rPr>
      </w:pPr>
    </w:p>
    <w:p>
      <w:pPr>
        <w:jc w:val="both"/>
        <w:ind w:left="780" w:right="280"/>
        <w:spacing w:after="0" w:line="218"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jc w:val="right"/>
        <w:ind w:right="2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4.11   </w:t>
      </w:r>
      <w:hyperlink r:id="rId77">
        <w:r>
          <w:rPr>
            <w:rFonts w:ascii="Times New Roman" w:cs="Times New Roman" w:eastAsia="Times New Roman" w:hAnsi="Times New Roman"/>
            <w:sz w:val="18"/>
            <w:szCs w:val="18"/>
            <w:u w:val="single" w:color="auto"/>
            <w:color w:val="0000FF"/>
          </w:rPr>
          <w:t>Ninth Supplemental Indenture, dated as of July 25, 2023, among Extra</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FF"/>
          </w:rPr>
          <w:t>Space Storage LP, as issuer, Extra Space Storage Inc., ESS Holdings</w:t>
        </w:r>
      </w:hyperlink>
    </w:p>
    <w:p>
      <w:pPr>
        <w:spacing w:after="0" w:line="2" w:lineRule="exact"/>
        <w:rPr>
          <w:sz w:val="20"/>
          <w:szCs w:val="20"/>
          <w:color w:val="auto"/>
        </w:rPr>
      </w:pPr>
    </w:p>
    <w:p>
      <w:pPr>
        <w:jc w:val="both"/>
        <w:ind w:left="780" w:right="280"/>
        <w:spacing w:after="0" w:line="218"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jc w:val="right"/>
        <w:ind w:right="2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4.12   </w:t>
      </w:r>
      <w:hyperlink r:id="rId78">
        <w:r>
          <w:rPr>
            <w:rFonts w:ascii="Times New Roman" w:cs="Times New Roman" w:eastAsia="Times New Roman" w:hAnsi="Times New Roman"/>
            <w:sz w:val="18"/>
            <w:szCs w:val="18"/>
            <w:u w:val="single" w:color="auto"/>
            <w:color w:val="0000FF"/>
          </w:rPr>
          <w:t>Tenth Supplemental Indenture, dated as of July 25, 2023, among Extra</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FF"/>
          </w:rPr>
          <w:t>Space Storage LP, as issuer, Extra Space Storage Inc., ESS Holdings</w:t>
        </w:r>
      </w:hyperlink>
    </w:p>
    <w:p>
      <w:pPr>
        <w:spacing w:after="0" w:line="2" w:lineRule="exact"/>
        <w:rPr>
          <w:sz w:val="20"/>
          <w:szCs w:val="20"/>
          <w:color w:val="auto"/>
        </w:rPr>
      </w:pPr>
    </w:p>
    <w:p>
      <w:pPr>
        <w:jc w:val="both"/>
        <w:ind w:left="780" w:right="280"/>
        <w:spacing w:after="0" w:line="218"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620" w:right="100" w:hanging="768"/>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79">
        <w:r>
          <w:rPr>
            <w:rFonts w:ascii="Times New Roman" w:cs="Times New Roman" w:eastAsia="Times New Roman" w:hAnsi="Times New Roman"/>
            <w:sz w:val="17"/>
            <w:szCs w:val="17"/>
            <w:u w:val="single" w:color="auto"/>
            <w:color w:val="0000FF"/>
          </w:rPr>
          <w:t>Eleventh Supplemental Indenture, dated as of December 1, 2023, among</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Extra Space Storage LP, as issuer, Extra Space Storage Inc., ESS</w:t>
        </w:r>
      </w:hyperlink>
    </w:p>
    <w:p>
      <w:pPr>
        <w:jc w:val="both"/>
        <w:ind w:left="780" w:right="420"/>
        <w:spacing w:after="0" w:line="218"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Holdings Business Trust I and ESS Holdings Business Trust II, as</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guarantors, and Computershare Trust Company, N.A., as trustee,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including the 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620" w:right="280" w:hanging="768"/>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80">
        <w:r>
          <w:rPr>
            <w:rFonts w:ascii="Times New Roman" w:cs="Times New Roman" w:eastAsia="Times New Roman" w:hAnsi="Times New Roman"/>
            <w:sz w:val="17"/>
            <w:szCs w:val="17"/>
            <w:u w:val="single" w:color="auto"/>
            <w:color w:val="0000FF"/>
          </w:rPr>
          <w:t>Twelfth Supplemental Indenture, dated as of January 19, 2024, among</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Extra Space Storage LP, as issuer, Extra Space Storage Inc., ESS</w:t>
        </w:r>
      </w:hyperlink>
    </w:p>
    <w:p>
      <w:pPr>
        <w:jc w:val="both"/>
        <w:ind w:left="780" w:right="420"/>
        <w:spacing w:after="0" w:line="218"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Holdings Business Trust I and ESS Holdings Business Trust II, as</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guarantors, and Computershare Trust Company, N.A., as trustee,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including the 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620" w:right="120" w:hanging="768"/>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81">
        <w:r>
          <w:rPr>
            <w:rFonts w:ascii="Times New Roman" w:cs="Times New Roman" w:eastAsia="Times New Roman" w:hAnsi="Times New Roman"/>
            <w:sz w:val="17"/>
            <w:szCs w:val="17"/>
            <w:u w:val="single" w:color="auto"/>
            <w:color w:val="0000FF"/>
          </w:rPr>
          <w:t>Thirteenth Supplemental Indenture, dated as of August 12, 2024, among</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Extra Space Storage LP, as issuer, Extra Space Storage Inc., ESS</w:t>
        </w:r>
      </w:hyperlink>
    </w:p>
    <w:p>
      <w:pPr>
        <w:jc w:val="both"/>
        <w:ind w:left="780" w:right="420"/>
        <w:spacing w:after="0" w:line="218"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Holdings Business Trust I and ESS Holdings Business Trust II, as</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guarantors, and Computershare Trust Company, N.A., as trustee,</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including the 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620" w:right="140" w:hanging="768"/>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82">
        <w:r>
          <w:rPr>
            <w:rFonts w:ascii="Times New Roman" w:cs="Times New Roman" w:eastAsia="Times New Roman" w:hAnsi="Times New Roman"/>
            <w:sz w:val="17"/>
            <w:szCs w:val="17"/>
            <w:u w:val="single" w:color="auto"/>
            <w:color w:val="0000FF"/>
          </w:rPr>
          <w:t>Fourteenth Supplemental Indenture, dated as of March 19, 2025, among</w:t>
        </w:r>
      </w:hyperlink>
      <w:r>
        <w:rPr>
          <w:rFonts w:ascii="Times New Roman" w:cs="Times New Roman" w:eastAsia="Times New Roman" w:hAnsi="Times New Roman"/>
          <w:sz w:val="17"/>
          <w:szCs w:val="17"/>
          <w:u w:val="single" w:color="auto"/>
          <w:color w:val="0000FF"/>
        </w:rPr>
        <w:t xml:space="preserve"> </w:t>
      </w:r>
      <w:hyperlink r:id="rId82">
        <w:r>
          <w:rPr>
            <w:rFonts w:ascii="Times New Roman" w:cs="Times New Roman" w:eastAsia="Times New Roman" w:hAnsi="Times New Roman"/>
            <w:sz w:val="17"/>
            <w:szCs w:val="17"/>
            <w:u w:val="single" w:color="auto"/>
            <w:color w:val="0000FF"/>
          </w:rPr>
          <w:t>Extra Space Storage LP, as issuer, Extra Space Storage Inc., ESS</w:t>
        </w:r>
      </w:hyperlink>
    </w:p>
    <w:p>
      <w:pPr>
        <w:jc w:val="both"/>
        <w:ind w:left="780" w:right="420"/>
        <w:spacing w:after="0" w:line="218"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Holdings Business Trust I and ESS Holdings Business Trust II, as</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guarantors, and Computershare Trust Company, N.A., as trustee,</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including the form of the Notes and the Guarantee.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5" w:lineRule="exact"/>
        <w:rPr>
          <w:rFonts w:ascii="Times New Roman" w:cs="Times New Roman" w:eastAsia="Times New Roman" w:hAnsi="Times New Roman"/>
          <w:sz w:val="18"/>
          <w:szCs w:val="18"/>
          <w:u w:val="single" w:color="auto"/>
          <w:color w:val="0000FF"/>
        </w:rPr>
      </w:pPr>
    </w:p>
    <w:p>
      <w:pPr>
        <w:ind w:left="51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2"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28,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25,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97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25,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97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25,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97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25,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972"/>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19,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ectPr>
          <w:pgSz w:w="11900" w:h="16838" w:orient="portrait"/>
          <w:cols w:equalWidth="0" w:num="2">
            <w:col w:w="5940" w:space="180"/>
            <w:col w:w="3659"/>
          </w:cols>
          <w:pgMar w:left="680" w:top="1440" w:right="1440" w:bottom="1440" w:gutter="0" w:footer="0" w:header="0"/>
        </w:sectPr>
      </w:pPr>
    </w:p>
    <w:bookmarkStart w:id="43" w:name="page44"/>
    <w:bookmarkEnd w:id="43"/>
    <w:p>
      <w:pPr>
        <w:spacing w:after="0" w:line="32" w:lineRule="exact"/>
        <w:rPr>
          <w:sz w:val="20"/>
          <w:szCs w:val="20"/>
          <w:color w:val="auto"/>
        </w:rPr>
      </w:pPr>
    </w:p>
    <w:p>
      <w:pPr>
        <w:ind w:left="620" w:right="320" w:hanging="768"/>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84">
        <w:r>
          <w:rPr>
            <w:rFonts w:ascii="Times New Roman" w:cs="Times New Roman" w:eastAsia="Times New Roman" w:hAnsi="Times New Roman"/>
            <w:sz w:val="17"/>
            <w:szCs w:val="17"/>
            <w:u w:val="single" w:color="auto"/>
            <w:color w:val="0000FF"/>
          </w:rPr>
          <w:t>Fifteenth Supplemental Indenture, dated as of August 8, 2025, among</w:t>
        </w:r>
      </w:hyperlink>
      <w:r>
        <w:rPr>
          <w:rFonts w:ascii="Times New Roman" w:cs="Times New Roman" w:eastAsia="Times New Roman" w:hAnsi="Times New Roman"/>
          <w:sz w:val="17"/>
          <w:szCs w:val="17"/>
          <w:u w:val="single" w:color="auto"/>
          <w:color w:val="0000FF"/>
        </w:rPr>
        <w:t xml:space="preserve"> </w:t>
      </w:r>
      <w:hyperlink r:id="rId84">
        <w:r>
          <w:rPr>
            <w:rFonts w:ascii="Times New Roman" w:cs="Times New Roman" w:eastAsia="Times New Roman" w:hAnsi="Times New Roman"/>
            <w:sz w:val="17"/>
            <w:szCs w:val="17"/>
            <w:u w:val="single" w:color="auto"/>
            <w:color w:val="0000FF"/>
          </w:rPr>
          <w:t>Extra Space Storage LP, as issuer, Extra Space Storage Inc., ESS</w:t>
        </w:r>
      </w:hyperlink>
    </w:p>
    <w:p>
      <w:pPr>
        <w:jc w:val="both"/>
        <w:ind w:left="780" w:right="420"/>
        <w:spacing w:after="0" w:line="218"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Holdings Business Trust I and ESS Holdings Business Trust II, as</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guarantors, and Computershare Trust Company, N.A., as trustee,</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including the 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ind w:left="620" w:right="60" w:hanging="768"/>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85">
        <w:r>
          <w:rPr>
            <w:rFonts w:ascii="Times New Roman" w:cs="Times New Roman" w:eastAsia="Times New Roman" w:hAnsi="Times New Roman"/>
            <w:sz w:val="17"/>
            <w:szCs w:val="17"/>
            <w:u w:val="single" w:color="auto"/>
            <w:color w:val="0000FF"/>
          </w:rPr>
          <w:t>Sixteenth Supplemental Indenture, dated as of July 6, 2026, among Extra</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Space Storage LP, as issuer, Extra Space Storage Inc., ESS Holdings</w:t>
        </w:r>
      </w:hyperlink>
    </w:p>
    <w:p>
      <w:pPr>
        <w:jc w:val="both"/>
        <w:ind w:left="780" w:right="280"/>
        <w:spacing w:after="0" w:line="218"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Business Trust I and ESS Holdings Business Trust II, as guarantors,</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and Computershare Trust Company, N.A., as trustee, including the</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form of the Notes and the Guarantee.</w:t>
        </w:r>
      </w:hyperlink>
    </w:p>
    <w:p>
      <w:pPr>
        <w:spacing w:after="0" w:line="23" w:lineRule="exact"/>
        <w:rPr>
          <w:rFonts w:ascii="Times New Roman" w:cs="Times New Roman" w:eastAsia="Times New Roman" w:hAnsi="Times New Roman"/>
          <w:sz w:val="18"/>
          <w:szCs w:val="18"/>
          <w:u w:val="single" w:color="auto"/>
          <w:color w:val="0000FF"/>
        </w:rPr>
      </w:pPr>
    </w:p>
    <w:p>
      <w:pPr>
        <w:jc w:val="right"/>
        <w:ind w:right="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4.19   </w:t>
      </w:r>
      <w:hyperlink r:id="rId86">
        <w:r>
          <w:rPr>
            <w:rFonts w:ascii="Times New Roman" w:cs="Times New Roman" w:eastAsia="Times New Roman" w:hAnsi="Times New Roman"/>
            <w:sz w:val="18"/>
            <w:szCs w:val="18"/>
            <w:u w:val="single" w:color="auto"/>
            <w:color w:val="0000FF"/>
          </w:rPr>
          <w:t>Base Indenture, dated as of June 20, 2016, among Life Storage, Inc., Life</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FF"/>
          </w:rPr>
          <w:t>Storage LP and Wells Fargo Bank, National Association (incorporated</w:t>
        </w:r>
      </w:hyperlink>
    </w:p>
    <w:p>
      <w:pPr>
        <w:spacing w:after="0" w:line="2" w:lineRule="exact"/>
        <w:rPr>
          <w:sz w:val="20"/>
          <w:szCs w:val="20"/>
          <w:color w:val="auto"/>
        </w:rPr>
      </w:pPr>
    </w:p>
    <w:p>
      <w:pPr>
        <w:ind w:left="780" w:right="20"/>
        <w:spacing w:after="0" w:line="226"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by reference to Exhibit 4.2 to the Annual Report on Form 10-K filed by</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Life Storage Inc. on February 24, 2023).</w:t>
        </w:r>
      </w:hyperlink>
    </w:p>
    <w:p>
      <w:pPr>
        <w:spacing w:after="0" w:line="9" w:lineRule="exact"/>
        <w:rPr>
          <w:sz w:val="20"/>
          <w:szCs w:val="20"/>
          <w:color w:val="auto"/>
        </w:rPr>
      </w:pPr>
    </w:p>
    <w:p>
      <w:pPr>
        <w:ind w:left="620" w:right="360" w:hanging="768"/>
        <w:spacing w:after="0" w:line="23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87">
        <w:r>
          <w:rPr>
            <w:rFonts w:ascii="Times New Roman" w:cs="Times New Roman" w:eastAsia="Times New Roman" w:hAnsi="Times New Roman"/>
            <w:sz w:val="17"/>
            <w:szCs w:val="17"/>
            <w:u w:val="single" w:color="auto"/>
            <w:color w:val="0000FF"/>
          </w:rPr>
          <w:t>Sixth Supplemental Indenture, dated as of July 25, 2023, among Life</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Storage LP, as issuer, Life Storage LLC, as parent guarantor, and</w:t>
        </w:r>
      </w:hyperlink>
    </w:p>
    <w:p>
      <w:pPr>
        <w:ind w:left="780"/>
        <w:spacing w:after="0"/>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Computershare Trust Company, N.A., as trustee.</w:t>
        </w:r>
      </w:hyperlink>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u w:val="single" w:color="auto"/>
          <w:color w:val="0000FF"/>
        </w:rPr>
        <w:t>Issuer and Guarantors of Guaranteed Securities</w:t>
      </w:r>
    </w:p>
    <w:p>
      <w:pPr>
        <w:spacing w:after="0" w:line="36" w:lineRule="exact"/>
        <w:rPr>
          <w:sz w:val="20"/>
          <w:szCs w:val="20"/>
          <w:color w:val="auto"/>
        </w:rPr>
      </w:pPr>
    </w:p>
    <w:p>
      <w:pPr>
        <w:ind w:left="620" w:right="240" w:hanging="768"/>
        <w:spacing w:after="0" w:line="237" w:lineRule="auto"/>
        <w:tabs>
          <w:tab w:leader="none" w:pos="6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23" w:lineRule="exact"/>
        <w:rPr>
          <w:sz w:val="20"/>
          <w:szCs w:val="20"/>
          <w:color w:val="auto"/>
        </w:rPr>
      </w:pPr>
    </w:p>
    <w:p>
      <w:pPr>
        <w:ind w:left="620" w:right="300" w:hanging="768"/>
        <w:spacing w:after="0" w:line="237" w:lineRule="auto"/>
        <w:tabs>
          <w:tab w:leader="none" w:pos="6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23" w:lineRule="exact"/>
        <w:rPr>
          <w:sz w:val="20"/>
          <w:szCs w:val="20"/>
          <w:color w:val="auto"/>
        </w:rPr>
      </w:pPr>
    </w:p>
    <w:p>
      <w:pPr>
        <w:ind w:left="620" w:right="20" w:hanging="768"/>
        <w:spacing w:after="0" w:line="222" w:lineRule="auto"/>
        <w:tabs>
          <w:tab w:leader="none" w:pos="6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Certifications of the Chief Executive Officer and Chief Financial Officer pursuant to 18 U.S.C. Section 1350, as adopted pursuant to Section 906</w:t>
      </w:r>
    </w:p>
    <w:p>
      <w:pPr>
        <w:spacing w:after="0" w:line="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FF"/>
        </w:rPr>
        <w:t>of the Sarbanes-Oxley Act of 2002.</w:t>
      </w:r>
    </w:p>
    <w:p>
      <w:pPr>
        <w:spacing w:after="0" w:line="16" w:lineRule="exact"/>
        <w:rPr>
          <w:sz w:val="20"/>
          <w:szCs w:val="20"/>
          <w:color w:val="auto"/>
        </w:rPr>
      </w:pPr>
    </w:p>
    <w:p>
      <w:pPr>
        <w:ind w:left="780" w:hanging="754"/>
        <w:spacing w:after="0" w:line="216" w:lineRule="auto"/>
        <w:tabs>
          <w:tab w:leader="none" w:pos="6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Extra Space Storage Inc.’s Quarterly Report on Form 10-Q for the quarter ended September 30, 2026, are formatted in XBRL (eXtensible Business Reporting Language): (1) the Condensed Consolidated Balance Sheets, (2) the Condensed Consolidated Statements of Operations, (3) the Condensed Consolidated Statements of Comprehensive Income (4) the Condensed Consolidated Statements of Noncontrolling Interests and Equity, (5) the Condensed Consolidated Statements of Cash Flows and (6) notes to these financial statements.</w:t>
      </w:r>
    </w:p>
    <w:p>
      <w:pPr>
        <w:spacing w:after="0" w:line="11" w:lineRule="exact"/>
        <w:rPr>
          <w:sz w:val="20"/>
          <w:szCs w:val="20"/>
          <w:color w:val="auto"/>
        </w:rPr>
      </w:pPr>
    </w:p>
    <w:p>
      <w:pPr>
        <w:ind w:left="780" w:right="680" w:hanging="754"/>
        <w:spacing w:after="0" w:line="237"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6, 2026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97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25,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7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25, 2023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940" w:space="280"/>
            <w:col w:w="3740"/>
          </w:cols>
          <w:pgMar w:left="680" w:top="1440" w:right="1259"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3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308" w:lineRule="exact"/>
        <w:rPr>
          <w:sz w:val="20"/>
          <w:szCs w:val="20"/>
          <w:color w:val="auto"/>
        </w:rPr>
      </w:pPr>
    </w:p>
    <w:p>
      <w:pPr>
        <w:ind w:left="80"/>
        <w:spacing w:after="0"/>
        <w:tabs>
          <w:tab w:leader="none" w:pos="638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429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Joseph D. Margolis</w:t>
      </w:r>
    </w:p>
    <w:p>
      <w:pPr>
        <w:spacing w:after="0" w:line="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ind w:left="6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ind w:left="80"/>
        <w:spacing w:after="0"/>
        <w:tabs>
          <w:tab w:leader="none" w:pos="638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color w:val="auto"/>
        </w:rPr>
        <w:t>/s/ Jeff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429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Jeff Norman</w:t>
      </w:r>
    </w:p>
    <w:p>
      <w:pPr>
        <w:spacing w:after="0" w:line="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(Principal</w:t>
      </w:r>
    </w:p>
    <w:p>
      <w:pPr>
        <w:ind w:left="640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80"/>
          </w:cols>
          <w:pgMar w:left="320" w:top="1413" w:right="3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and Guarantors of Guaranteed Securities</w:t>
      </w:r>
    </w:p>
    <w:p>
      <w:pPr>
        <w:spacing w:after="0" w:line="200" w:lineRule="exact"/>
        <w:rPr>
          <w:sz w:val="20"/>
          <w:szCs w:val="20"/>
          <w:color w:val="auto"/>
        </w:rPr>
      </w:pPr>
    </w:p>
    <w:p>
      <w:pPr>
        <w:spacing w:after="0" w:line="272"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As of September 30, 2026, the following entities were issuers or guarantors, as set forth below, for the 3.875% Senior Notes due 2027, the 5.700% Senior Notes due 2028, the 3.900% Senior Notes due 2029, the 4.000% Senior Notes due 2029, the 2.200% Senior Notes due 2030, the 2.550% Senior Notes due 2031, the 2.400% Senior Notes due 2031, the 2.350% Senior Notes due 2032, the 4.900% Senior Notes due 2032, the 4.950% Senior Notes due 2033, the</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5.400% Senior Notes due 2034, the 5.350% Senior Notes due 2035, and the 5.400% Senior Notes due 2035 (collectively, the “Notes”). The guarantors have fully and unconditionally guaranteed the Notes on a joint and several basis.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Issuer or Guarantor</w:t>
            </w:r>
          </w:p>
        </w:tc>
        <w:tc>
          <w:tcPr>
            <w:tcW w:w="34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Reported as Issuer or Guarantor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r>
      <w:tr>
        <w:trPr>
          <w:trHeight w:val="23"/>
        </w:trPr>
        <w:tc>
          <w:tcPr>
            <w:tcW w:w="33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Extra Space Storage LP</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Issuer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Extra Space Storage Inc.</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Parent Guarantor</w:t>
            </w:r>
          </w:p>
        </w:tc>
        <w:tc>
          <w:tcPr>
            <w:tcW w:w="29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 Holdings Business Trust I</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Subsidiary Guarantor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 Holdings Business Trust II</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Subsidiary Guarantor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Massachusetts</w:t>
            </w: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Extra Space Storage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0"/>
        <w:spacing w:after="0"/>
        <w:tabs>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2746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tab/>
        <w:t>Joseph D. Margolis</w:t>
      </w:r>
    </w:p>
    <w:p>
      <w:pPr>
        <w:spacing w:after="0" w:line="36"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Norman,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Extra Space Storage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0"/>
        <w:spacing w:after="0"/>
        <w:tabs>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2746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tab/>
        <w:t>Jeff Norman</w:t>
      </w:r>
    </w:p>
    <w:p>
      <w:pPr>
        <w:spacing w:after="0" w:line="36"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D. Margolis</w:t>
            </w: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D. Margolis</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2026</w:t>
            </w:r>
          </w:p>
        </w:tc>
      </w:tr>
    </w:tbl>
    <w:p>
      <w:pPr>
        <w:spacing w:after="0" w:line="2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 Norman</w:t>
            </w: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Norman</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30, 2026</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01"/>
    </w:lvl>
  </w:abstractNum>
  <w:abstractNum w:abstractNumId="14">
    <w:nsid w:val="6B68079A"/>
    <w:multiLevelType w:val="hybridMultilevel"/>
    <w:lvl w:ilvl="0">
      <w:lvlJc w:val="left"/>
      <w:lvlText w:val="%1"/>
      <w:numFmt w:val="decimal"/>
      <w:start w:val="10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2" Type="http://schemas.openxmlformats.org/officeDocument/2006/relationships/image" Target="media/image50.png"/><Relationship Id="rId83"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57" Type="http://schemas.openxmlformats.org/officeDocument/2006/relationships/hyperlink" Target="https://www.sec.gov/Archives/edgar/data/1289490/000119312524096283/d741588dex12.htm" TargetMode="External"/><Relationship Id="rId58" Type="http://schemas.openxmlformats.org/officeDocument/2006/relationships/hyperlink" Target="https://www.sec.gov/Archives/edgar/data/1289490/000119312523089776/d487333dex21.htm" TargetMode="External"/><Relationship Id="rId59" Type="http://schemas.openxmlformats.org/officeDocument/2006/relationships/hyperlink" Target="https://www.sec.gov/Archives/edgar/data/1289490/000119312523149320/d486997dex21.htm" TargetMode="External"/><Relationship Id="rId60" Type="http://schemas.openxmlformats.org/officeDocument/2006/relationships/hyperlink" Target="https://www.sec.gov/Archives/edgar/data/1289490/000119312504136936/dex31.htm" TargetMode="External"/><Relationship Id="rId61" Type="http://schemas.openxmlformats.org/officeDocument/2006/relationships/hyperlink" Target="https://www.sec.gov/Archives/edgar/data/1289490/000110465907072983/a07-25208_1ex3d1.htm" TargetMode="External"/><Relationship Id="rId62" Type="http://schemas.openxmlformats.org/officeDocument/2006/relationships/hyperlink" Target="https://www.sec.gov/Archives/edgar/data/1289490/000110465913067080/a13-19441_1ex3d1.htm" TargetMode="External"/><Relationship Id="rId63" Type="http://schemas.openxmlformats.org/officeDocument/2006/relationships/hyperlink" Target="https://www.sec.gov/Archives/edgar/data/1289490/000110465914042025/a14-13799_1ex3d1.htm" TargetMode="External"/><Relationship Id="rId64" Type="http://schemas.openxmlformats.org/officeDocument/2006/relationships/hyperlink" Target="https://www.sec.gov/Archives/edgar/data/1289490/000162828018000388/exr-secondamendedandrestat.htm" TargetMode="External"/><Relationship Id="rId65" Type="http://schemas.openxmlformats.org/officeDocument/2006/relationships/hyperlink" Target="https://www.sec.gov/Archives/edgar/data/1289490/000110465913088877/a13-25830_1ex10d1.htm" TargetMode="External"/><Relationship Id="rId66" Type="http://schemas.openxmlformats.org/officeDocument/2006/relationships/hyperlink" Target="https://www.sec.gov/Archives/edgar/data/1289490/000104746910001564/a2196671zex-4_3.htm" TargetMode="External"/><Relationship Id="rId67" Type="http://schemas.openxmlformats.org/officeDocument/2006/relationships/hyperlink" Target="https://www.sec.gov/Archives/edgar/data/1289490/000162828020002202/ex46descriptionofsecur.htm" TargetMode="External"/><Relationship Id="rId68" Type="http://schemas.openxmlformats.org/officeDocument/2006/relationships/hyperlink" Target="https://www.sec.gov/Archives/edgar/data/1289490/000119312521157616/d469365dex41.htm" TargetMode="External"/><Relationship Id="rId69" Type="http://schemas.openxmlformats.org/officeDocument/2006/relationships/hyperlink" Target="https://www.sec.gov/Archives/edgar/data/1289490/000119312521157616/d469365dex42.htm" TargetMode="External"/><Relationship Id="rId70" Type="http://schemas.openxmlformats.org/officeDocument/2006/relationships/hyperlink" Target="https://www.sec.gov/Archives/edgar/data/1289490/000119312521279380/d192404dex42.htm" TargetMode="External"/><Relationship Id="rId71" Type="http://schemas.openxmlformats.org/officeDocument/2006/relationships/hyperlink" Target="https://www.sec.gov/Archives/edgar/data/1289490/000119312522092010/d323264dex42.htm" TargetMode="External"/><Relationship Id="rId73" Type="http://schemas.openxmlformats.org/officeDocument/2006/relationships/hyperlink" Target="https://www.sec.gov/Archives/edgar/data/1289490/000119312523082217/d472175dex42.htm" TargetMode="External"/><Relationship Id="rId74" Type="http://schemas.openxmlformats.org/officeDocument/2006/relationships/hyperlink" Target="https://www.sec.gov/Archives/edgar/data/1289490/000119312523168983/d523023dex42.htm" TargetMode="External"/><Relationship Id="rId75" Type="http://schemas.openxmlformats.org/officeDocument/2006/relationships/hyperlink" Target="https://www.sec.gov/Archives/edgar/data/1289490/000119312523193502/d541032dex45.htm" TargetMode="External"/><Relationship Id="rId76" Type="http://schemas.openxmlformats.org/officeDocument/2006/relationships/hyperlink" Target="https://www.sec.gov/Archives/edgar/data/1289490/000119312523193502/d541032dex46.htm" TargetMode="External"/><Relationship Id="rId77" Type="http://schemas.openxmlformats.org/officeDocument/2006/relationships/hyperlink" Target="https://www.sec.gov/Archives/edgar/data/1289490/000119312523193502/d541032dex47.htm" TargetMode="External"/><Relationship Id="rId78" Type="http://schemas.openxmlformats.org/officeDocument/2006/relationships/hyperlink" Target="https://www.sec.gov/Archives/edgar/data/1289490/000119312523193502/d541032dex48.htm" TargetMode="External"/><Relationship Id="rId79" Type="http://schemas.openxmlformats.org/officeDocument/2006/relationships/hyperlink" Target="https://www.sec.gov/Archives/edgar/data/1289490/000119312523287450/d931858dex42.htm" TargetMode="External"/><Relationship Id="rId80" Type="http://schemas.openxmlformats.org/officeDocument/2006/relationships/hyperlink" Target="https://www.sec.gov/Archives/edgar/data/1289490/000119312524011229/d698894dex42.htm" TargetMode="External"/><Relationship Id="rId81" Type="http://schemas.openxmlformats.org/officeDocument/2006/relationships/hyperlink" Target="https://www.sec.gov/Archives/edgar/data/1289490/000119312524198858/d697086dex42.htm" TargetMode="External"/><Relationship Id="rId82" Type="http://schemas.openxmlformats.org/officeDocument/2006/relationships/hyperlink" Target="https://www.sec.gov/Archives/edgar/data/1289490/000119312525057808/d831833dex42.htm" TargetMode="External"/><Relationship Id="rId84" Type="http://schemas.openxmlformats.org/officeDocument/2006/relationships/hyperlink" Target="https://www.sec.gov/Archives/edgar/data/1289490/000119312525176975/d847619dex42.htm" TargetMode="External"/><Relationship Id="rId85" Type="http://schemas.openxmlformats.org/officeDocument/2006/relationships/hyperlink" Target="https://www.sec.gov/Archives/edgar/data/1289490/000119312526296159/d152545dex42.htm" TargetMode="External"/><Relationship Id="rId86" Type="http://schemas.openxmlformats.org/officeDocument/2006/relationships/hyperlink" Target="https://www.sec.gov/Archives/edgar/data/944314/000119312516626433/d212449dex41.htm" TargetMode="External"/><Relationship Id="rId87" Type="http://schemas.openxmlformats.org/officeDocument/2006/relationships/hyperlink" Target="https://www.sec.gov/Archives/edgar/data/1289490/000119312523193502/d54103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2026-10-30T16:03:28Z</dcterms:created>
  <dcterms:modified xsi:type="dcterms:W3CDTF">2026-10-30T16:03:28Z</dcterms:modified>
</cp:coreProperties>
</file>