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333-278690</w:t>
      </w:r>
    </w:p>
    <w:p>
      <w:pPr>
        <w:spacing w:after="0" w:line="1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April 15, 2024)</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$550,000,000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2361565</wp:posOffset>
            </wp:positionH>
            <wp:positionV relativeFrom="paragraph">
              <wp:posOffset>73025</wp:posOffset>
            </wp:positionV>
            <wp:extent cx="2425700"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Extra Space Storage LP</w:t>
      </w:r>
    </w:p>
    <w:p>
      <w:pPr>
        <w:spacing w:after="0" w:line="1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4.900% Senior Notes due 2032</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guaranteed by</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177165</wp:posOffset>
            </wp:positionV>
            <wp:extent cx="1466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66" w:lineRule="exact"/>
        <w:rPr>
          <w:sz w:val="24"/>
          <w:szCs w:val="24"/>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Extra Space Storage LP (the “operating partnership”) is offering $550,000,000 aggregate principal amount of its 4.900% Senior Notes due 2032 (the “notes”). Interest on the notes will be paid semi-annually in arrears on February 1 and August 1 of each year, beginning on February 1, 2027. The notes will mature on February 1, 2032. The operating partnership may redeem the notes prior to maturity at its option and sole discretion, in whole or in part, at any time and from time to time, at the applicable redemption price described in this prospectus supplement under the caption “Description of Notes—The operating partnership’s redemption rights.”</w:t>
      </w:r>
    </w:p>
    <w:p>
      <w:pPr>
        <w:spacing w:after="0" w:line="75" w:lineRule="exact"/>
        <w:rPr>
          <w:sz w:val="24"/>
          <w:szCs w:val="24"/>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6"/>
          <w:szCs w:val="16"/>
          <w:color w:val="auto"/>
        </w:rPr>
        <w:t>The notes will be the operating partnership’s senior unsecured obligations and will rank equally in right of payment with all of its other existing and future senior unsecured indebtedness. The notes will be effectively subordinated in right of payment to the operating partnership’s existing and future mortgage indebtedness and other secured indebtedness (to the extent of the value of the collateral securing such indebtedness). In addition, the notes will be structurally subordinated in right of payment to all existing and future indebtedness and other liabilities, whether secured or unsecured, of the operating partnership’s subsidiaries and all existing and future preferred equity not owned by the operating partnership, if any, in the operating partnership’s subsidiaries.</w:t>
      </w:r>
    </w:p>
    <w:p>
      <w:pPr>
        <w:spacing w:after="0" w:line="78" w:lineRule="exact"/>
        <w:rPr>
          <w:sz w:val="24"/>
          <w:szCs w:val="24"/>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6"/>
          <w:szCs w:val="16"/>
          <w:color w:val="auto"/>
        </w:rPr>
        <w:t>The notes will be fully and unconditionally guaranteed by certain of the operating partnership’s parent companies, including its ultimate parent, Extra Space Storage Inc. (the “Company”), the beneficial owner of the sole general partner of the operating partnership. The Company and the other guarantors have no material operations separate from the operation of the operating partnership and no material assets other than their respective investments, directly or indirectly, in the operating partnership.</w:t>
      </w:r>
    </w:p>
    <w:p>
      <w:pPr>
        <w:spacing w:after="0" w:line="75" w:lineRule="exact"/>
        <w:rPr>
          <w:sz w:val="24"/>
          <w:szCs w:val="24"/>
          <w:color w:val="auto"/>
        </w:rPr>
      </w:pPr>
    </w:p>
    <w:p>
      <w:pPr>
        <w:ind w:left="120" w:right="400" w:firstLine="440"/>
        <w:spacing w:after="0" w:line="298" w:lineRule="auto"/>
        <w:rPr>
          <w:sz w:val="20"/>
          <w:szCs w:val="20"/>
          <w:color w:val="auto"/>
        </w:rPr>
      </w:pPr>
      <w:r>
        <w:rPr>
          <w:rFonts w:ascii="Times New Roman" w:cs="Times New Roman" w:eastAsia="Times New Roman" w:hAnsi="Times New Roman"/>
          <w:sz w:val="16"/>
          <w:szCs w:val="16"/>
          <w:color w:val="auto"/>
        </w:rPr>
        <w:t>The notes are a new issue of securities with no established trading market. We do not intend to apply for listing of the notes on any securities exchange or for quotation of the notes on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121285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71" w:lineRule="exact"/>
        <w:rPr>
          <w:sz w:val="24"/>
          <w:szCs w:val="24"/>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S-5 of this prospectus supplement and the risks set forth under the caption “Risk Factors” included in our most recent Annual Report on Form 10-K and subsequent Quarterly Report on Form 10-Q filed with the Securities and Exchange Commission (“SEC”), which are incorporated by reference herein, for certain risks relevant to an investment in the notes.</w:t>
      </w:r>
    </w:p>
    <w:p>
      <w:pPr>
        <w:spacing w:after="0" w:line="77" w:lineRule="exact"/>
        <w:rPr>
          <w:sz w:val="24"/>
          <w:szCs w:val="24"/>
          <w:color w:val="auto"/>
        </w:rPr>
      </w:pPr>
    </w:p>
    <w:p>
      <w:pPr>
        <w:ind w:left="120" w:right="760" w:firstLine="440"/>
        <w:spacing w:after="0" w:line="298" w:lineRule="auto"/>
        <w:rPr>
          <w:sz w:val="20"/>
          <w:szCs w:val="20"/>
          <w:color w:val="auto"/>
        </w:rPr>
      </w:pPr>
      <w:r>
        <w:rPr>
          <w:rFonts w:ascii="Times New Roman" w:cs="Times New Roman" w:eastAsia="Times New Roman" w:hAnsi="Times New Roman"/>
          <w:sz w:val="16"/>
          <w:szCs w:val="16"/>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121285</wp:posOffset>
            </wp:positionV>
            <wp:extent cx="1466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22"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Public offering price</w:t>
            </w:r>
            <w:r>
              <w:rPr>
                <w:rFonts w:ascii="Times New Roman" w:cs="Times New Roman" w:eastAsia="Times New Roman" w:hAnsi="Times New Roman"/>
                <w:sz w:val="22"/>
                <w:szCs w:val="22"/>
                <w:color w:val="auto"/>
                <w:vertAlign w:val="superscript"/>
              </w:rPr>
              <w:t>(1)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99.702%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548,361,000</w:t>
            </w:r>
          </w:p>
        </w:tc>
        <w:tc>
          <w:tcPr>
            <w:tcW w:w="4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3,300,000</w:t>
            </w:r>
          </w:p>
        </w:tc>
        <w:tc>
          <w:tcPr>
            <w:tcW w:w="40" w:type="dxa"/>
            <w:vAlign w:val="bottom"/>
          </w:tcPr>
          <w:p>
            <w:pPr>
              <w:spacing w:after="0"/>
              <w:rPr>
                <w:sz w:val="17"/>
                <w:szCs w:val="17"/>
                <w:color w:val="auto"/>
              </w:rPr>
            </w:pPr>
          </w:p>
        </w:tc>
      </w:tr>
      <w:tr>
        <w:trPr>
          <w:trHeight w:val="20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Extra Space Storage LP</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99.102%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545,061,000</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989965</wp:posOffset>
            </wp:positionH>
            <wp:positionV relativeFrom="paragraph">
              <wp:posOffset>93980</wp:posOffset>
            </wp:positionV>
            <wp:extent cx="76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46" w:lineRule="exact"/>
        <w:rPr>
          <w:sz w:val="24"/>
          <w:szCs w:val="24"/>
          <w:color w:val="auto"/>
        </w:rPr>
      </w:pPr>
    </w:p>
    <w:p>
      <w:pPr>
        <w:ind w:left="1880" w:hanging="437"/>
        <w:spacing w:after="0"/>
        <w:tabs>
          <w:tab w:leader="none" w:pos="1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July 6, 2026 if settlement occurs after that date.</w:t>
      </w:r>
    </w:p>
    <w:p>
      <w:pPr>
        <w:spacing w:after="0" w:line="3" w:lineRule="exact"/>
        <w:rPr>
          <w:rFonts w:ascii="Times New Roman" w:cs="Times New Roman" w:eastAsia="Times New Roman" w:hAnsi="Times New Roman"/>
          <w:sz w:val="14"/>
          <w:szCs w:val="14"/>
          <w:color w:val="auto"/>
        </w:rPr>
      </w:pPr>
    </w:p>
    <w:p>
      <w:pPr>
        <w:ind w:left="1880" w:hanging="437"/>
        <w:spacing w:after="0"/>
        <w:tabs>
          <w:tab w:leader="none" w:pos="18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w:t>
      </w:r>
    </w:p>
    <w:p>
      <w:pPr>
        <w:spacing w:after="0" w:line="8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We expect that the notes will be ready for delivery in book-entry form through The Depository Trust Company on or about July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166370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42" w:lineRule="exact"/>
        <w:rPr>
          <w:sz w:val="24"/>
          <w:szCs w:val="24"/>
          <w:color w:val="auto"/>
        </w:rPr>
      </w:pPr>
    </w:p>
    <w:p>
      <w:pPr>
        <w:ind w:left="120"/>
        <w:spacing w:after="0"/>
        <w:tabs>
          <w:tab w:leader="none" w:pos="5520" w:val="left"/>
          <w:tab w:leader="none" w:pos="9980" w:val="left"/>
        </w:tabs>
        <w:rPr>
          <w:sz w:val="20"/>
          <w:szCs w:val="20"/>
          <w:color w:val="auto"/>
        </w:rPr>
      </w:pPr>
      <w:r>
        <w:rPr>
          <w:rFonts w:ascii="Times New Roman" w:cs="Times New Roman" w:eastAsia="Times New Roman" w:hAnsi="Times New Roman"/>
          <w:sz w:val="16"/>
          <w:szCs w:val="16"/>
          <w:b w:val="1"/>
          <w:bCs w:val="1"/>
          <w:color w:val="auto"/>
        </w:rPr>
        <w:t>Wells Fargo Securities</w:t>
      </w:r>
      <w:r>
        <w:rPr>
          <w:sz w:val="20"/>
          <w:szCs w:val="20"/>
          <w:color w:val="auto"/>
        </w:rPr>
        <w:tab/>
      </w:r>
      <w:r>
        <w:rPr>
          <w:rFonts w:ascii="Times New Roman" w:cs="Times New Roman" w:eastAsia="Times New Roman" w:hAnsi="Times New Roman"/>
          <w:sz w:val="16"/>
          <w:szCs w:val="16"/>
          <w:b w:val="1"/>
          <w:bCs w:val="1"/>
          <w:color w:val="auto"/>
        </w:rPr>
        <w:t>J.P. Morgan</w:t>
      </w:r>
      <w:r>
        <w:rPr>
          <w:sz w:val="20"/>
          <w:szCs w:val="20"/>
          <w:color w:val="auto"/>
        </w:rPr>
        <w:tab/>
      </w:r>
      <w:r>
        <w:rPr>
          <w:rFonts w:ascii="Times New Roman" w:cs="Times New Roman" w:eastAsia="Times New Roman" w:hAnsi="Times New Roman"/>
          <w:sz w:val="16"/>
          <w:szCs w:val="16"/>
          <w:b w:val="1"/>
          <w:bCs w:val="1"/>
          <w:color w:val="auto"/>
        </w:rPr>
        <w:t>Truist Securities</w:t>
      </w:r>
    </w:p>
    <w:p>
      <w:pPr>
        <w:spacing w:after="0" w:line="127" w:lineRule="exact"/>
        <w:rPr>
          <w:sz w:val="24"/>
          <w:szCs w:val="24"/>
          <w:color w:val="auto"/>
        </w:rPr>
      </w:pPr>
    </w:p>
    <w:p>
      <w:pPr>
        <w:ind w:left="120"/>
        <w:spacing w:after="0"/>
        <w:tabs>
          <w:tab w:leader="none" w:pos="2920" w:val="left"/>
          <w:tab w:leader="none" w:pos="5220" w:val="left"/>
          <w:tab w:leader="none" w:pos="8280" w:val="left"/>
          <w:tab w:leader="none" w:pos="10280" w:val="left"/>
        </w:tabs>
        <w:rPr>
          <w:sz w:val="20"/>
          <w:szCs w:val="20"/>
          <w:color w:val="auto"/>
        </w:rPr>
      </w:pPr>
      <w:r>
        <w:rPr>
          <w:rFonts w:ascii="Times New Roman" w:cs="Times New Roman" w:eastAsia="Times New Roman" w:hAnsi="Times New Roman"/>
          <w:sz w:val="16"/>
          <w:szCs w:val="16"/>
          <w:b w:val="1"/>
          <w:bCs w:val="1"/>
          <w:color w:val="auto"/>
        </w:rPr>
        <w:t>BMO Capital Markets</w:t>
      </w:r>
      <w:r>
        <w:rPr>
          <w:sz w:val="20"/>
          <w:szCs w:val="20"/>
          <w:color w:val="auto"/>
        </w:rPr>
        <w:tab/>
      </w:r>
      <w:r>
        <w:rPr>
          <w:rFonts w:ascii="Times New Roman" w:cs="Times New Roman" w:eastAsia="Times New Roman" w:hAnsi="Times New Roman"/>
          <w:sz w:val="16"/>
          <w:szCs w:val="16"/>
          <w:b w:val="1"/>
          <w:bCs w:val="1"/>
          <w:color w:val="auto"/>
        </w:rPr>
        <w:t>BofA Securities</w:t>
      </w:r>
      <w:r>
        <w:rPr>
          <w:sz w:val="20"/>
          <w:szCs w:val="20"/>
          <w:color w:val="auto"/>
        </w:rPr>
        <w:tab/>
      </w:r>
      <w:r>
        <w:rPr>
          <w:rFonts w:ascii="Times New Roman" w:cs="Times New Roman" w:eastAsia="Times New Roman" w:hAnsi="Times New Roman"/>
          <w:sz w:val="16"/>
          <w:szCs w:val="16"/>
          <w:b w:val="1"/>
          <w:bCs w:val="1"/>
          <w:color w:val="auto"/>
        </w:rPr>
        <w:t>PNC Capital Markets LLC</w:t>
      </w:r>
      <w:r>
        <w:rPr>
          <w:sz w:val="20"/>
          <w:szCs w:val="20"/>
          <w:color w:val="auto"/>
        </w:rPr>
        <w:tab/>
      </w:r>
      <w:r>
        <w:rPr>
          <w:rFonts w:ascii="Times New Roman" w:cs="Times New Roman" w:eastAsia="Times New Roman" w:hAnsi="Times New Roman"/>
          <w:sz w:val="16"/>
          <w:szCs w:val="16"/>
          <w:b w:val="1"/>
          <w:bCs w:val="1"/>
          <w:color w:val="auto"/>
        </w:rPr>
        <w:t>TD Securities</w:t>
      </w:r>
      <w:r>
        <w:rPr>
          <w:sz w:val="20"/>
          <w:szCs w:val="20"/>
          <w:color w:val="auto"/>
        </w:rPr>
        <w:tab/>
      </w:r>
      <w:r>
        <w:rPr>
          <w:rFonts w:ascii="Times New Roman" w:cs="Times New Roman" w:eastAsia="Times New Roman" w:hAnsi="Times New Roman"/>
          <w:sz w:val="16"/>
          <w:szCs w:val="16"/>
          <w:b w:val="1"/>
          <w:bCs w:val="1"/>
          <w:color w:val="auto"/>
        </w:rPr>
        <w:t>US Bancorp</w:t>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p>
      <w:pPr>
        <w:spacing w:after="0" w:line="133" w:lineRule="exact"/>
        <w:rPr>
          <w:sz w:val="24"/>
          <w:szCs w:val="24"/>
          <w:color w:val="auto"/>
        </w:rPr>
      </w:pPr>
    </w:p>
    <w:p>
      <w:pPr>
        <w:ind w:left="120"/>
        <w:spacing w:after="0"/>
        <w:tabs>
          <w:tab w:leader="none" w:pos="3000" w:val="left"/>
          <w:tab w:leader="none" w:pos="4840" w:val="left"/>
          <w:tab w:leader="none" w:pos="7860" w:val="left"/>
          <w:tab w:leader="none" w:pos="9720" w:val="left"/>
        </w:tabs>
        <w:rPr>
          <w:sz w:val="20"/>
          <w:szCs w:val="20"/>
          <w:color w:val="auto"/>
        </w:rPr>
      </w:pPr>
      <w:r>
        <w:rPr>
          <w:rFonts w:ascii="Times New Roman" w:cs="Times New Roman" w:eastAsia="Times New Roman" w:hAnsi="Times New Roman"/>
          <w:sz w:val="14"/>
          <w:szCs w:val="14"/>
          <w:b w:val="1"/>
          <w:bCs w:val="1"/>
          <w:color w:val="auto"/>
        </w:rPr>
        <w:t>Regions Securities LLC</w:t>
      </w:r>
      <w:r>
        <w:rPr>
          <w:sz w:val="20"/>
          <w:szCs w:val="20"/>
          <w:color w:val="auto"/>
        </w:rPr>
        <w:tab/>
      </w:r>
      <w:r>
        <w:rPr>
          <w:rFonts w:ascii="Times New Roman" w:cs="Times New Roman" w:eastAsia="Times New Roman" w:hAnsi="Times New Roman"/>
          <w:sz w:val="14"/>
          <w:szCs w:val="14"/>
          <w:b w:val="1"/>
          <w:bCs w:val="1"/>
          <w:color w:val="auto"/>
        </w:rPr>
        <w:t>Citigroup</w:t>
      </w:r>
      <w:r>
        <w:rPr>
          <w:sz w:val="20"/>
          <w:szCs w:val="20"/>
          <w:color w:val="auto"/>
        </w:rPr>
        <w:tab/>
      </w:r>
      <w:r>
        <w:rPr>
          <w:rFonts w:ascii="Times New Roman" w:cs="Times New Roman" w:eastAsia="Times New Roman" w:hAnsi="Times New Roman"/>
          <w:sz w:val="14"/>
          <w:szCs w:val="14"/>
          <w:b w:val="1"/>
          <w:bCs w:val="1"/>
          <w:color w:val="auto"/>
        </w:rPr>
        <w:t>Huntington Capital Markets</w:t>
      </w:r>
      <w:r>
        <w:rPr>
          <w:sz w:val="20"/>
          <w:szCs w:val="20"/>
          <w:color w:val="auto"/>
        </w:rPr>
        <w:tab/>
      </w:r>
      <w:r>
        <w:rPr>
          <w:rFonts w:ascii="Times New Roman" w:cs="Times New Roman" w:eastAsia="Times New Roman" w:hAnsi="Times New Roman"/>
          <w:sz w:val="14"/>
          <w:szCs w:val="14"/>
          <w:b w:val="1"/>
          <w:bCs w:val="1"/>
          <w:color w:val="auto"/>
        </w:rPr>
        <w:t>Scotiabank</w:t>
      </w:r>
      <w:r>
        <w:rPr>
          <w:sz w:val="20"/>
          <w:szCs w:val="20"/>
          <w:color w:val="auto"/>
        </w:rPr>
        <w:tab/>
      </w:r>
      <w:r>
        <w:rPr>
          <w:rFonts w:ascii="Times New Roman" w:cs="Times New Roman" w:eastAsia="Times New Roman" w:hAnsi="Times New Roman"/>
          <w:sz w:val="14"/>
          <w:szCs w:val="14"/>
          <w:b w:val="1"/>
          <w:bCs w:val="1"/>
          <w:color w:val="auto"/>
        </w:rPr>
        <w:t>Zions Capital Markets</w:t>
      </w:r>
    </w:p>
    <w:p>
      <w:pPr>
        <w:spacing w:after="0" w:line="96" w:lineRule="exact"/>
        <w:rPr>
          <w:sz w:val="24"/>
          <w:szCs w:val="24"/>
          <w:color w:val="auto"/>
        </w:rPr>
      </w:pPr>
    </w:p>
    <w:p>
      <w:pPr>
        <w:ind w:left="120"/>
        <w:spacing w:after="0"/>
        <w:tabs>
          <w:tab w:leader="none" w:pos="4120" w:val="left"/>
          <w:tab w:leader="none" w:pos="7160" w:val="left"/>
          <w:tab w:leader="none" w:pos="9880" w:val="left"/>
        </w:tabs>
        <w:rPr>
          <w:sz w:val="20"/>
          <w:szCs w:val="20"/>
          <w:color w:val="auto"/>
        </w:rPr>
      </w:pPr>
      <w:r>
        <w:rPr>
          <w:rFonts w:ascii="Times New Roman" w:cs="Times New Roman" w:eastAsia="Times New Roman" w:hAnsi="Times New Roman"/>
          <w:sz w:val="14"/>
          <w:szCs w:val="14"/>
          <w:b w:val="1"/>
          <w:bCs w:val="1"/>
          <w:color w:val="auto"/>
        </w:rPr>
        <w:t>BOK Financial Securities, Inc.</w:t>
      </w:r>
      <w:r>
        <w:rPr>
          <w:sz w:val="20"/>
          <w:szCs w:val="20"/>
          <w:color w:val="auto"/>
        </w:rPr>
        <w:tab/>
      </w:r>
      <w:r>
        <w:rPr>
          <w:rFonts w:ascii="Times New Roman" w:cs="Times New Roman" w:eastAsia="Times New Roman" w:hAnsi="Times New Roman"/>
          <w:sz w:val="14"/>
          <w:szCs w:val="14"/>
          <w:b w:val="1"/>
          <w:bCs w:val="1"/>
          <w:color w:val="auto"/>
        </w:rPr>
        <w:t>Fifth Third Securities</w:t>
      </w:r>
      <w:r>
        <w:rPr>
          <w:sz w:val="20"/>
          <w:szCs w:val="20"/>
          <w:color w:val="auto"/>
        </w:rPr>
        <w:tab/>
      </w:r>
      <w:r>
        <w:rPr>
          <w:rFonts w:ascii="Times New Roman" w:cs="Times New Roman" w:eastAsia="Times New Roman" w:hAnsi="Times New Roman"/>
          <w:sz w:val="14"/>
          <w:szCs w:val="14"/>
          <w:b w:val="1"/>
          <w:bCs w:val="1"/>
          <w:color w:val="auto"/>
        </w:rPr>
        <w:t>Academy Securities</w:t>
      </w:r>
      <w:r>
        <w:rPr>
          <w:sz w:val="20"/>
          <w:szCs w:val="20"/>
          <w:color w:val="auto"/>
        </w:rPr>
        <w:tab/>
      </w:r>
      <w:r>
        <w:rPr>
          <w:rFonts w:ascii="Times New Roman" w:cs="Times New Roman" w:eastAsia="Times New Roman" w:hAnsi="Times New Roman"/>
          <w:sz w:val="14"/>
          <w:szCs w:val="14"/>
          <w:b w:val="1"/>
          <w:bCs w:val="1"/>
          <w:color w:val="auto"/>
        </w:rPr>
        <w:t>Ramirez &amp; Co., Inc.</w:t>
      </w:r>
    </w:p>
    <w:p>
      <w:pPr>
        <w:sectPr>
          <w:pgSz w:w="11920" w:h="16838" w:orient="portrait"/>
          <w:cols w:equalWidth="0" w:num="1">
            <w:col w:w="11140"/>
          </w:cols>
          <w:pgMar w:left="340" w:top="220" w:right="438" w:bottom="837" w:gutter="0" w:footer="0" w:header="0"/>
        </w:sectPr>
      </w:pP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June 24, 2026</w:t>
      </w:r>
    </w:p>
    <w:p>
      <w:pPr>
        <w:sectPr>
          <w:pgSz w:w="11920" w:h="16838" w:orient="portrait"/>
          <w:cols w:equalWidth="0" w:num="1">
            <w:col w:w="11140"/>
          </w:cols>
          <w:pgMar w:left="340" w:top="220" w:right="438" w:bottom="83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in this prospectus supplement, the accompanying prospectus or the documents incorporated by reference herein and therein is accurate as of any date other than the date on the front of this prospectus supplement or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215265</wp:posOffset>
            </wp:positionV>
            <wp:extent cx="1466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8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EE"/>
              </w:rPr>
              <w:t>Summary</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28"/>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Forward-Looking Statements</w:t>
            </w:r>
          </w:p>
        </w:tc>
        <w:tc>
          <w:tcPr>
            <w:tcW w:w="84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40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Underwriting</w:t>
            </w:r>
          </w:p>
        </w:tc>
        <w:tc>
          <w:tcPr>
            <w:tcW w:w="520" w:type="dxa"/>
            <w:vAlign w:val="bottom"/>
            <w:tcBorders>
              <w:top w:val="single" w:sz="8" w:color="0000EE"/>
            </w:tcBorders>
            <w:gridSpan w:val="7"/>
          </w:tcPr>
          <w:p>
            <w:pPr>
              <w:spacing w:after="0"/>
              <w:rPr>
                <w:sz w:val="17"/>
                <w:szCs w:val="17"/>
                <w:color w:val="auto"/>
              </w:rPr>
            </w:pPr>
          </w:p>
        </w:tc>
        <w:tc>
          <w:tcPr>
            <w:tcW w:w="90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440" w:type="dxa"/>
            <w:vAlign w:val="bottom"/>
            <w:tcBorders>
              <w:top w:val="single" w:sz="8" w:color="0000EE"/>
            </w:tcBorders>
            <w:gridSpan w:val="4"/>
          </w:tcPr>
          <w:p>
            <w:pPr>
              <w:spacing w:after="0"/>
              <w:rPr>
                <w:sz w:val="17"/>
                <w:szCs w:val="17"/>
                <w:color w:val="auto"/>
              </w:rPr>
            </w:pPr>
          </w:p>
        </w:tc>
        <w:tc>
          <w:tcPr>
            <w:tcW w:w="958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8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EE"/>
              </w:rPr>
              <w:t>Extra Space Storage</w:t>
            </w:r>
          </w:p>
        </w:tc>
        <w:tc>
          <w:tcPr>
            <w:tcW w:w="100" w:type="dxa"/>
            <w:vAlign w:val="bottom"/>
          </w:tcPr>
          <w:p>
            <w:pPr>
              <w:spacing w:after="0"/>
              <w:rPr>
                <w:sz w:val="24"/>
                <w:szCs w:val="2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580" w:type="dxa"/>
            <w:vAlign w:val="bottom"/>
            <w:gridSpan w:val="28"/>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120" w:type="dxa"/>
            <w:vAlign w:val="bottom"/>
            <w:gridSpan w:val="19"/>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Guarantor Disclosures</w:t>
            </w:r>
          </w:p>
        </w:tc>
        <w:tc>
          <w:tcPr>
            <w:tcW w:w="896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8940" w:type="dxa"/>
            <w:vAlign w:val="bottom"/>
            <w:gridSpan w:val="1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7720" w:type="dxa"/>
            <w:vAlign w:val="bottom"/>
            <w:gridSpan w:val="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696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Forward-Looking Statements</w:t>
            </w:r>
          </w:p>
        </w:tc>
        <w:tc>
          <w:tcPr>
            <w:tcW w:w="8460" w:type="dxa"/>
            <w:vAlign w:val="bottom"/>
            <w:gridSpan w:val="1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400" w:type="dxa"/>
            <w:vAlign w:val="bottom"/>
            <w:gridSpan w:val="2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836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Depositary Shares</w:t>
            </w:r>
          </w:p>
        </w:tc>
        <w:tc>
          <w:tcPr>
            <w:tcW w:w="81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160" w:type="dxa"/>
            <w:vAlign w:val="bottom"/>
            <w:tcBorders>
              <w:top w:val="single" w:sz="8" w:color="0000EE"/>
            </w:tcBorders>
            <w:gridSpan w:val="3"/>
          </w:tcPr>
          <w:p>
            <w:pPr>
              <w:spacing w:after="0"/>
              <w:rPr>
                <w:sz w:val="17"/>
                <w:szCs w:val="17"/>
                <w:color w:val="auto"/>
              </w:rPr>
            </w:pPr>
          </w:p>
        </w:tc>
        <w:tc>
          <w:tcPr>
            <w:tcW w:w="886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91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724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4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Restrictions on Ownership and Transfer</w:t>
            </w:r>
          </w:p>
        </w:tc>
        <w:tc>
          <w:tcPr>
            <w:tcW w:w="77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Partnership Agreement of Extra Space Storage LP</w:t>
            </w:r>
          </w:p>
        </w:tc>
        <w:tc>
          <w:tcPr>
            <w:tcW w:w="56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of Our Charter and Bylaws</w:t>
            </w:r>
          </w:p>
        </w:tc>
        <w:tc>
          <w:tcPr>
            <w:tcW w:w="56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Income Tax Consequences</w:t>
            </w:r>
          </w:p>
        </w:tc>
        <w:tc>
          <w:tcPr>
            <w:tcW w:w="77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 Holders</w:t>
            </w:r>
          </w:p>
        </w:tc>
        <w:tc>
          <w:tcPr>
            <w:tcW w:w="88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914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0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440" w:type="dxa"/>
            <w:vAlign w:val="bottom"/>
            <w:tcBorders>
              <w:top w:val="single" w:sz="8" w:color="0000EE"/>
            </w:tcBorders>
            <w:gridSpan w:val="4"/>
          </w:tcPr>
          <w:p>
            <w:pPr>
              <w:spacing w:after="0"/>
              <w:rPr>
                <w:sz w:val="17"/>
                <w:szCs w:val="17"/>
                <w:color w:val="auto"/>
              </w:rPr>
            </w:pPr>
          </w:p>
        </w:tc>
        <w:tc>
          <w:tcPr>
            <w:tcW w:w="958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20" w:h="16838" w:orient="portrait"/>
          <w:cols w:equalWidth="0" w:num="1">
            <w:col w:w="11100"/>
          </w:cols>
          <w:pgMar w:left="340" w:top="666" w:right="478"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215265</wp:posOffset>
            </wp:positionV>
            <wp:extent cx="6999605" cy="6673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6673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document is in two parts. The first part is this prospectus supplement, which describes the specific terms of this offering. The second part, which is the accompanying prospectus, gives more general information, some of which may not apply to this offering. If the description of this offering varies between the prospectus supplement and the accompanying prospectus, you should rely on the information contained in, or incorporated by reference into, this prospectus supplement.</w:t>
      </w:r>
    </w:p>
    <w:p>
      <w:pPr>
        <w:spacing w:after="0" w:line="180"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Before making an investment decision, you should read the entire prospectus supplement and the accompanying prospectus and the documents incorporated by reference herein and therein carefully, including the “Risk Factors” section in our Annual Report on Form 10-K for the year ended December 31, 2025, our subsequent Quarterly Report on Form 10-Q and our other filings under the Securities Exchange Act of 1934, as amended (the “Exchange Act”), that are incorporated herein by reference. Unless the context indicates otherwise, references in this prospectus supplement to “Extra Space Storage Inc.,” “Extra Space,” “we,” “our” and “us” refer to Extra Space Storage Inc. and its consolidated subsidiaries, including Extra Space Storage LP, our operating partnership. In statements regarding qualification as a REIT, such terms refer solely to Extra Space Storage Inc. References to “OP units” include common operating partnership units and preferred operating partnership units of Extra Space Storage LP.</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formed as a Maryland corporation on April 30, 2004, that owns, operates, manages, acquires, develops and redevelops self-storage properties (“stores”) and provides lending to owners of stores located throughout the United States. We closed our initial public offering on August 17, 2004. Our common stock is traded on the New York Stock Exchange under the symbol “EXR.”</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were formed to continue the business of Extra Space Storage LLC and its subsidiaries, which had engaged in the self-storage business since 1977. As of March 31, 2026, we owned or had ownership interests in 2,428 operating stores. Of these stores, 2,008 were wholly-owned, 12 were in consolidated joint ventures, and 408 were in unconsolidated joint ventures. In addition, as of March 31, 2026, we managed an additional 1,916 stores for third parties bringing the total number of stores which we owned and/or managed to 4,344. These stores are located in 42 states and Washington, D.C.</w:t>
      </w:r>
    </w:p>
    <w:p>
      <w:pPr>
        <w:spacing w:after="0" w:line="183"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operate in two distinct segments: (1) self-storage operations; and (2) tenant reinsurance. Our self-storage operations activities include rental operations of wholly-owned stores and self-storage units. Tenant reinsurance activities include the reinsurance of risks relating to the loss of goods stored by tenants in our stores.</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conducted through our operating partnership. Our primary assets are general partner and limited partner interests in our operating partnership. This structure is commonly referred to as an umbrella partnership REIT (“UPREIT”). Between our general partner and limited partner interests, we held a 95.6% majority ownership interest in our operating partnership as of March 31, 2026. We have elected to be taxed as a REIT under the Internal Revenue Code of 1986, as amended (the “Code”). To the extent we continue to qualify as a REIT, we will not be subject to U.S. federal tax, with certain exceptions, on our net taxable income that is distributed to our stockholders.</w:t>
      </w:r>
    </w:p>
    <w:p>
      <w:pPr>
        <w:spacing w:after="0" w:line="183"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w:t>
      </w:r>
    </w:p>
    <w:p>
      <w:pPr>
        <w:spacing w:after="0" w:line="176"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principal corporate offices are located at 2795 East Cottonwood Parkway, Suite 300, Salt Lake City, Utah 84121, and our telephone number is (801) 365-4600. We maintain a website that contains information about us at www.extraspace.com. The information included on our website is not, and should not be considered, a part of this prospectus supplement or the accompanying prospectus.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20" w:h="16838" w:orient="portrait"/>
          <w:cols w:equalWidth="0" w:num="1">
            <w:col w:w="10960"/>
          </w:cols>
          <w:pgMar w:left="340" w:top="666" w:right="618"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215265</wp:posOffset>
            </wp:positionV>
            <wp:extent cx="6999605" cy="639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9605" cy="6398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contains basic information about the notes and is not complete. It does not contain all of the information that is important to you. For a more complete understanding of the notes, please refer to the sections entitled “Description of Notes” in this prospectus supplement and “Description of Debt Securities and Guarantees” in the accompanying prospectus. Unless otherwise expressly stated or the context otherwise requires, references under this caption “The Offering” to Extra Space Storage LP or the operating partnership refer to Extra Space Storage LP, excluding its subsidiaries, and references to Extra Space Storage Inc. or the Company refer to Extra Space Storage Inc., excluding its subsidiaries.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 of Notes</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Extra Space Storage LP</w:t>
            </w:r>
          </w:p>
        </w:tc>
      </w:tr>
      <w:tr>
        <w:trPr>
          <w:trHeight w:val="45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Extra Space Storage Inc., ESS Holdings Business Trust I and ESS Holdings Business Trust</w:t>
            </w:r>
          </w:p>
        </w:tc>
      </w:tr>
      <w:tr>
        <w:trPr>
          <w:trHeight w:val="234"/>
        </w:trPr>
        <w:tc>
          <w:tcPr>
            <w:tcW w:w="3100" w:type="dxa"/>
            <w:vAlign w:val="bottom"/>
          </w:tcPr>
          <w:p>
            <w:pPr>
              <w:spacing w:after="0"/>
              <w:rPr>
                <w:sz w:val="20"/>
                <w:szCs w:val="20"/>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II (collectively, the “guarantors”).</w:t>
            </w:r>
          </w:p>
        </w:tc>
      </w:tr>
      <w:tr>
        <w:trPr>
          <w:trHeight w:val="45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$550,000,000 aggregate principal amount of 4.900% Senior Notes due 2032 (the “notes”).</w:t>
            </w:r>
          </w:p>
        </w:tc>
      </w:tr>
      <w:tr>
        <w:trPr>
          <w:trHeight w:val="45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mature on February 1, 2032 unless redeemed, at our option, prior to such</w:t>
            </w:r>
          </w:p>
        </w:tc>
      </w:tr>
      <w:tr>
        <w:trPr>
          <w:trHeight w:val="234"/>
        </w:trPr>
        <w:tc>
          <w:tcPr>
            <w:tcW w:w="3100" w:type="dxa"/>
            <w:vAlign w:val="bottom"/>
          </w:tcPr>
          <w:p>
            <w:pPr>
              <w:spacing w:after="0"/>
              <w:rPr>
                <w:sz w:val="20"/>
                <w:szCs w:val="20"/>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w:t>
            </w:r>
          </w:p>
        </w:tc>
      </w:tr>
      <w:tr>
        <w:trPr>
          <w:trHeight w:val="45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4.900% per year, accruing from July 6, 2026.</w:t>
            </w:r>
          </w:p>
        </w:tc>
      </w:tr>
      <w:tr>
        <w:trPr>
          <w:trHeight w:val="48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February 1 and August 1 of each year, beginning February 1, 2027.</w:t>
            </w:r>
          </w:p>
        </w:tc>
      </w:tr>
      <w:tr>
        <w:trPr>
          <w:trHeight w:val="45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Prior to January 1, 2032 (one month prior to the maturity date), the operating partnership</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may redeem the notes at its option, in whole or in part, at any time and from time to time,</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at the applicable redemption price described herein. If the notes are redeemed on or after</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January 1, 2032 (one month prior to the maturity date), the redemption price will be equal</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 100% of the principal amount of the notes being redeemed, plus accrued and unpaid</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interest thereon to, but excluding, the applicable redemption date. See “Description of</w:t>
            </w:r>
          </w:p>
        </w:tc>
      </w:tr>
      <w:tr>
        <w:trPr>
          <w:trHeight w:val="234"/>
        </w:trPr>
        <w:tc>
          <w:tcPr>
            <w:tcW w:w="3100" w:type="dxa"/>
            <w:vAlign w:val="bottom"/>
          </w:tcPr>
          <w:p>
            <w:pPr>
              <w:spacing w:after="0"/>
              <w:rPr>
                <w:sz w:val="20"/>
                <w:szCs w:val="20"/>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Notes—The operating partnership’s redemption rights.”</w:t>
            </w:r>
          </w:p>
        </w:tc>
      </w:tr>
      <w:tr>
        <w:trPr>
          <w:trHeight w:val="441"/>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 of Notes</w:t>
            </w: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w:t>
            </w:r>
          </w:p>
        </w:tc>
      </w:tr>
      <w:tr>
        <w:trPr>
          <w:trHeight w:val="216"/>
        </w:trPr>
        <w:tc>
          <w:tcPr>
            <w:tcW w:w="3100" w:type="dxa"/>
            <w:vAlign w:val="bottom"/>
          </w:tcPr>
          <w:p>
            <w:pPr>
              <w:spacing w:after="0"/>
              <w:rPr>
                <w:sz w:val="18"/>
                <w:szCs w:val="18"/>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equally in right of payment with all of its other existing and future senior unsecured</w:t>
            </w:r>
          </w:p>
        </w:tc>
      </w:tr>
      <w:tr>
        <w:trPr>
          <w:trHeight w:val="234"/>
        </w:trPr>
        <w:tc>
          <w:tcPr>
            <w:tcW w:w="3100" w:type="dxa"/>
            <w:vAlign w:val="bottom"/>
          </w:tcPr>
          <w:p>
            <w:pPr>
              <w:spacing w:after="0"/>
              <w:rPr>
                <w:sz w:val="20"/>
                <w:szCs w:val="20"/>
                <w:color w:val="auto"/>
              </w:rPr>
            </w:pPr>
          </w:p>
        </w:tc>
        <w:tc>
          <w:tcPr>
            <w:tcW w:w="7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indebtedness. The notes will be effectively subordinated in right of payment to:</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all of the operating partnership’s existing and future mortgage indebtedness and</w:t>
            </w:r>
          </w:p>
        </w:tc>
      </w:tr>
      <w:tr>
        <w:trPr>
          <w:trHeight w:val="216"/>
        </w:trPr>
        <w:tc>
          <w:tcPr>
            <w:tcW w:w="3100" w:type="dxa"/>
            <w:vAlign w:val="bottom"/>
          </w:tcPr>
          <w:p>
            <w:pPr>
              <w:spacing w:after="0"/>
              <w:rPr>
                <w:sz w:val="18"/>
                <w:szCs w:val="18"/>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other secured indebtedness (to the extent of the value of the collateral securing such</w:t>
            </w:r>
          </w:p>
        </w:tc>
      </w:tr>
      <w:tr>
        <w:trPr>
          <w:trHeight w:val="234"/>
        </w:trPr>
        <w:tc>
          <w:tcPr>
            <w:tcW w:w="3100" w:type="dxa"/>
            <w:vAlign w:val="bottom"/>
          </w:tcPr>
          <w:p>
            <w:pPr>
              <w:spacing w:after="0"/>
              <w:rPr>
                <w:sz w:val="20"/>
                <w:szCs w:val="20"/>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indebtedness);</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all existing and future indebtedness and other liabilities, whether secured or</w:t>
            </w:r>
          </w:p>
        </w:tc>
      </w:tr>
      <w:tr>
        <w:trPr>
          <w:trHeight w:val="216"/>
        </w:trPr>
        <w:tc>
          <w:tcPr>
            <w:tcW w:w="3100" w:type="dxa"/>
            <w:vAlign w:val="bottom"/>
          </w:tcPr>
          <w:p>
            <w:pPr>
              <w:spacing w:after="0"/>
              <w:rPr>
                <w:sz w:val="18"/>
                <w:szCs w:val="18"/>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unsecured, of the operating partnership’s subsidiaries and of any entity the operating</w:t>
            </w:r>
          </w:p>
        </w:tc>
      </w:tr>
      <w:tr>
        <w:trPr>
          <w:trHeight w:val="234"/>
        </w:trPr>
        <w:tc>
          <w:tcPr>
            <w:tcW w:w="3100" w:type="dxa"/>
            <w:vAlign w:val="bottom"/>
          </w:tcPr>
          <w:p>
            <w:pPr>
              <w:spacing w:after="0"/>
              <w:rPr>
                <w:sz w:val="20"/>
                <w:szCs w:val="20"/>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partnership accounts for using the equity method of accounting; and</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all existing and future preferred equity not owned by the operating partnership, if</w:t>
            </w:r>
          </w:p>
        </w:tc>
      </w:tr>
      <w:tr>
        <w:trPr>
          <w:trHeight w:val="216"/>
        </w:trPr>
        <w:tc>
          <w:tcPr>
            <w:tcW w:w="3100" w:type="dxa"/>
            <w:vAlign w:val="bottom"/>
          </w:tcPr>
          <w:p>
            <w:pPr>
              <w:spacing w:after="0"/>
              <w:rPr>
                <w:sz w:val="18"/>
                <w:szCs w:val="18"/>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any, in the operating partnership’s subsidiaries and in any entity the operating</w:t>
            </w:r>
          </w:p>
        </w:tc>
      </w:tr>
      <w:tr>
        <w:trPr>
          <w:trHeight w:val="234"/>
        </w:trPr>
        <w:tc>
          <w:tcPr>
            <w:tcW w:w="3100" w:type="dxa"/>
            <w:vAlign w:val="bottom"/>
          </w:tcPr>
          <w:p>
            <w:pPr>
              <w:spacing w:after="0"/>
              <w:rPr>
                <w:sz w:val="20"/>
                <w:szCs w:val="20"/>
                <w:color w:val="auto"/>
              </w:rPr>
            </w:pPr>
          </w:p>
        </w:tc>
        <w:tc>
          <w:tcPr>
            <w:tcW w:w="7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partnership accounts for using the equity method of accounting.</w:t>
            </w:r>
          </w:p>
        </w:tc>
      </w:tr>
      <w:tr>
        <w:trPr>
          <w:trHeight w:val="159"/>
        </w:trPr>
        <w:tc>
          <w:tcPr>
            <w:tcW w:w="3100" w:type="dxa"/>
            <w:vAlign w:val="bottom"/>
            <w:tcBorders>
              <w:bottom w:val="single" w:sz="8" w:color="auto"/>
            </w:tcBorders>
          </w:tcPr>
          <w:p>
            <w:pPr>
              <w:spacing w:after="0"/>
              <w:rPr>
                <w:sz w:val="13"/>
                <w:szCs w:val="13"/>
                <w:color w:val="auto"/>
              </w:rPr>
            </w:pPr>
          </w:p>
        </w:tc>
        <w:tc>
          <w:tcPr>
            <w:tcW w:w="7920" w:type="dxa"/>
            <w:vAlign w:val="bottom"/>
            <w:tcBorders>
              <w:bottom w:val="single" w:sz="8" w:color="auto"/>
            </w:tcBorders>
          </w:tcPr>
          <w:p>
            <w:pPr>
              <w:spacing w:after="0"/>
              <w:rPr>
                <w:sz w:val="13"/>
                <w:szCs w:val="13"/>
                <w:color w:val="auto"/>
              </w:rPr>
            </w:pPr>
          </w:p>
        </w:tc>
      </w:tr>
      <w:tr>
        <w:trPr>
          <w:trHeight w:val="361"/>
        </w:trPr>
        <w:tc>
          <w:tcPr>
            <w:tcW w:w="3100" w:type="dxa"/>
            <w:vAlign w:val="bottom"/>
          </w:tcPr>
          <w:p>
            <w:pPr>
              <w:spacing w:after="0"/>
              <w:rPr>
                <w:sz w:val="24"/>
                <w:szCs w:val="24"/>
                <w:color w:val="auto"/>
              </w:rPr>
            </w:pPr>
          </w:p>
        </w:tc>
        <w:tc>
          <w:tcPr>
            <w:tcW w:w="79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S-2</w:t>
            </w:r>
          </w:p>
        </w:tc>
      </w:tr>
    </w:tbl>
    <w:p>
      <w:pPr>
        <w:sectPr>
          <w:pgSz w:w="11920" w:h="16838" w:orient="portrait"/>
          <w:cols w:equalWidth="0" w:num="1">
            <w:col w:w="11140"/>
          </w:cols>
          <w:pgMar w:left="340" w:top="666" w:right="43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774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by each of the guarantors, on a joint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and several basis. The guarantee of the notes will be a senior unsecured obligation of each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guarantor and will rank equally in right of payment with all other existing and future senior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unsecured indebtedness and senior unsecured guarantees of such guarantor. Each</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guarantor’s guarantee of the notes will be effectively subordinated in right of payment to:</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secured indebtedness and secured guarantees of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guarantor (to the extent of the value of the collateral securing such indebtedness and</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guarantees);</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indebtedness and other liabilities, whether secured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unsecured, of such guarantor’s subsidiaries (including the operating partnership)</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and of any entity such guarantor accounts for using the equity method of</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accounting;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all existing and future preferred equity not owned by such guarantor in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guarantor’s subsidiaries (including the operating partnership) and in any entity such</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guarantor accounts for using the equity method of accounting.</w:t>
            </w:r>
          </w:p>
        </w:tc>
      </w:tr>
      <w:tr>
        <w:trPr>
          <w:trHeight w:val="441"/>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The guarantors have no material operations separate from the operation of the operating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partnership and no material assets, other than their respective investments, directly 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indirectly, in the operating partnership.</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The indenture governing the notes will contain certain covenants that, among other things,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limit the ability of the operating partnership and its subsidiaries to incur additional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indebtedness and limit the ability of the operating partnership, the Company and the other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guarantors to consummate a merger, consolidation or sale of all or substantially all of their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assets. These covenants are subject to a number of important exceptions and qualifications.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For additional information, see “Description of Notes—Certain covenants” and “—Merger,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consolidation or sale.”</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 Trading Market</w:t>
            </w: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intend to apply for listing of the notes on any securities exchange or for quotation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notes on any automated dealer quotation system. The underwriters have advised us that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they intend to make a market in the notes, but they are not obligated to do so and may</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discontinue any market-making at any time without notice. See “Underwriting.”</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We expect that the net proceeds from this offering will be approximately $544.5 million,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after deducting the underwriting discount and our estimated offering expenses. We intend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to use the net proceeds from this offering to repay amounts outstanding from time to time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under our lines of credit and our commercial paper program (which may include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borrowings from certain of the underwriters and/or their affiliates), and for other general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corporate and working capital purposes, including funding potential acquisition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opportunities. See “Use of Proceeds” in this prospectus supplement.</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774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S-3</w:t>
            </w:r>
          </w:p>
        </w:tc>
      </w:tr>
    </w:tbl>
    <w:p>
      <w:pPr>
        <w:sectPr>
          <w:pgSz w:w="11920" w:h="16838" w:orient="portrait"/>
          <w:cols w:equalWidth="0" w:num="1">
            <w:col w:w="11140"/>
          </w:cols>
          <w:pgMar w:left="340" w:top="666" w:right="43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Paying Agent and Registrar</w:t>
            </w:r>
          </w:p>
        </w:tc>
        <w:tc>
          <w:tcPr>
            <w:tcW w:w="742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Computershare Trust Company, N.A. (as successor to Wells Fargo Bank, National</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Association) is the trustee under the indenture relating to the notes.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one or more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permanent global notes deposited with, or on behalf of, The Depository Trust Company</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(“DTC”), and registered in the name of a nominee of DTC. Beneficial interests in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global notes will be shown on, and transfers will be effected only through, records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maintained by DTC or its nominee, and such interests may not be exchanged for notes in</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certificated form, except in limited circumstances described under “Global Securities—</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Book-Entry, Delivery and Form” in the accompanying prospectus.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Considerations</w:t>
            </w: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with respect to the federal, state,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local and foreign tax consequences of purchasing, owning and disposing of the notes. See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“U.S. Federal Income Tax Consequences” in Exhibit 99.1 in the Company’s Current Report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on Form 8-K filed with the SEC on August 6, 2025, which supersedes and replaces in all</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respects the discussion under the heading “U.S. Federal Income Tax Consequences” in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Issuances</w:t>
            </w: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We may, from time to time, without the consent of holders of the notes, increase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principal amount of the notes by issuing additional notes in the future on the same terms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and conditions (except for any difference in the issue date, public offering price and, if</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applicable, the date from which interest thereon will begin to accrue and the initial interest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payment date). Any such additional notes will have the same CUSIP number as the notes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offered hereby so long as such additional notes are fungible for U.S. federal income tax and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securities law purposes with the notes offered hereby. The notes offered by this prospectus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supplement and any additional notes would rank equally and ratably in right of payment</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and would be treated as a single series of debt securities for all purposes under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indenture.</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The indenture, the notes and the guarantees endorsed on the notes will be governed by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laws of the State of New York.</w:t>
            </w:r>
          </w:p>
        </w:tc>
      </w:tr>
      <w:tr>
        <w:trPr>
          <w:trHeight w:val="441"/>
        </w:trPr>
        <w:tc>
          <w:tcPr>
            <w:tcW w:w="36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 investment in the notes involves various risks and prospective investors should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carefully consider the matters discussed under the caption “Risk Factors” beginning on</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page S-5 of this prospectus supplement, and the risks described under the caption “Risk</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Factors” in the Company’s Annual Report on Form 10-K for the year ended December 31,</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2025, as supplemented by the risks described under the caption “Risk Factors” in the</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Company’s subsequent Quarterly Report on Form 10-Q, which are incorporated by</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reference in this prospectus supplement, as well as the other risks described in this</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prospectus supplement and the accompanying prospectus and the documents incorporated</w:t>
            </w:r>
          </w:p>
        </w:tc>
      </w:tr>
      <w:tr>
        <w:trPr>
          <w:trHeight w:val="216"/>
        </w:trPr>
        <w:tc>
          <w:tcPr>
            <w:tcW w:w="36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and deemed to be incorporated by reference in this prospectus supplement and the</w:t>
            </w:r>
          </w:p>
        </w:tc>
      </w:tr>
      <w:tr>
        <w:trPr>
          <w:trHeight w:val="234"/>
        </w:trPr>
        <w:tc>
          <w:tcPr>
            <w:tcW w:w="360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accompanying prospectus, before making a decision to invest in the notes.</w:t>
            </w:r>
          </w:p>
        </w:tc>
      </w:tr>
      <w:tr>
        <w:trPr>
          <w:trHeight w:val="159"/>
        </w:trPr>
        <w:tc>
          <w:tcPr>
            <w:tcW w:w="3600" w:type="dxa"/>
            <w:vAlign w:val="bottom"/>
            <w:tcBorders>
              <w:left w:val="single" w:sz="8" w:color="auto"/>
              <w:bottom w:val="single" w:sz="8" w:color="auto"/>
            </w:tcBorders>
          </w:tcPr>
          <w:p>
            <w:pPr>
              <w:spacing w:after="0"/>
              <w:rPr>
                <w:sz w:val="13"/>
                <w:szCs w:val="13"/>
                <w:color w:val="auto"/>
              </w:rPr>
            </w:pPr>
          </w:p>
        </w:tc>
        <w:tc>
          <w:tcPr>
            <w:tcW w:w="7420" w:type="dxa"/>
            <w:vAlign w:val="bottom"/>
            <w:tcBorders>
              <w:bottom w:val="single" w:sz="8" w:color="auto"/>
              <w:right w:val="single" w:sz="8" w:color="auto"/>
            </w:tcBorders>
          </w:tcPr>
          <w:p>
            <w:pPr>
              <w:spacing w:after="0"/>
              <w:rPr>
                <w:sz w:val="13"/>
                <w:szCs w:val="13"/>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S-4</w:t>
            </w:r>
          </w:p>
        </w:tc>
      </w:tr>
    </w:tbl>
    <w:p>
      <w:pPr>
        <w:sectPr>
          <w:pgSz w:w="11920" w:h="16838" w:orient="portrait"/>
          <w:cols w:equalWidth="0" w:num="1">
            <w:col w:w="11140"/>
          </w:cols>
          <w:pgMar w:left="340" w:top="666" w:right="43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notes involves a high degree of risk. In addition to the other information in this prospectus supplement, you should carefully consider the information contained in this prospectus supplement, the accompanying prospectus, the documents incorporated or deemed to be incorporated by reference herein or therein and any free writing prospectus that we may provide you in connection with this offering, including, without limitation, the following risks, the risks described in our Annual Report on Form 10-K for the year ended December 31, 2025, and our subsequent Quarterly Report on Form 10-Q, which are incorporated by reference in this prospectus supplement, as well as the other information and data set forth in this prospectus supplement, the accompanying prospectus and the documents incorporated by reference herein and therein before making an investment decision with respect to the notes. The occurrence of any of the following risks could materially and adversely affect our business, prospects, financial condition, results of operations, funds from operations and prospects, as well as the trading price of the notes, and might cause you to lose all or a part of your investment in the notes. Some statements in this prospectus supplement, including statements in the following risk factors, constitute forward-looking statements. See “Forward-Looking Statements.”</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effective subordination of the notes may limit our ability to satisfy our obligations under the notes.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 equally in right of payment with all of its other existing and future senior unsecured indebtedness. The notes will be effectively subordinated in right of payment to:</w:t>
      </w:r>
    </w:p>
    <w:p>
      <w:pPr>
        <w:spacing w:after="0" w:line="67" w:lineRule="exact"/>
        <w:rPr>
          <w:sz w:val="20"/>
          <w:szCs w:val="20"/>
          <w:color w:val="auto"/>
        </w:rPr>
      </w:pPr>
    </w:p>
    <w:p>
      <w:pPr>
        <w:ind w:left="1120" w:right="140" w:hanging="448"/>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mortgage indebtedness and other secured indebtedness and secured guarantees of the operating partnership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120" w:right="160" w:hanging="448"/>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the operating partnership’s subsidiaries and of any entity the operating partnership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120" w:right="40" w:hanging="448"/>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the operating partnership in the operating partnership’s subsidiaries and in any entity the operating partnership accounts for using the equity method of accounting.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Similarly, the guarantee of the notes will be a senior unsecured obligation of each guarantor and will rank equally in right of payment with all other existing and future senior unsecured indebtedness and senior unsecured guarantees of such guarantor. Each guarantor’s guarantee of the notes will be effectively subordinated in right of payment to:</w:t>
      </w:r>
    </w:p>
    <w:p>
      <w:pPr>
        <w:spacing w:after="0" w:line="81" w:lineRule="exact"/>
        <w:rPr>
          <w:sz w:val="20"/>
          <w:szCs w:val="20"/>
          <w:color w:val="auto"/>
        </w:rPr>
      </w:pPr>
    </w:p>
    <w:p>
      <w:pPr>
        <w:ind w:left="1120" w:right="100" w:hanging="448"/>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120" w:right="340" w:hanging="448"/>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that will govern the notes will not prohibit the operating partnership, the Company, any other guarantor or any of their respective subsidiaries from incurring secured or unsecured indebtedness in the future and, although the indenture will contain covenants that will limit the ability of the operating partnership and its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w:t>
      </w:r>
    </w:p>
    <w:p>
      <w:pPr>
        <w:sectPr>
          <w:pgSz w:w="11920" w:h="16838" w:orient="portrait"/>
          <w:cols w:equalWidth="0" w:num="1">
            <w:col w:w="11080"/>
          </w:cols>
          <w:pgMar w:left="340" w:top="666" w:right="498"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subsidiaries to incur secured and unsecured indebtedness, those covenants are subject to significant exceptions and limitations, and in any event the operating partnership and its subsidiaries may be able, without taking advantage of any such exceptions and limitations, to incur substantial amounts of additional secured and unsecured indebtedness without violating those covenants. Moreover, these covenants limiting the incurrence of indebtedness will not apply to the Company. For additional information, see “Description of Notes—Certain covenants.”</w:t>
      </w:r>
    </w:p>
    <w:p>
      <w:pPr>
        <w:spacing w:after="0" w:line="18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the event of the bankruptcy, liquidation, reorganization or other winding up of the operating partnership or the guarantors, assets that secure any of their respective secured indebtedness, secured guarantees and other secured obligations will be available to pay their respective obligations under the notes or the guarantees of the notes, as applicable, and their other respective unsecured indebtedness, unsecured guarantees and other unsecured obligations only after all of their respective indebtedness, guarantees and other obligations secured by those assets has been repaid in full, and we caution you that there may not be sufficient assets remaining to pay amounts due on any or all the notes or the guarantees of the notes, as the case may be, then outstanding. In the event of the bankruptcy, liquidation, reorganization or other winding up of any of subsidiaries of the operating partnership or the guarantors, the rights of holders of indebtedness and other obligations of the operating partnership (including the notes) or the guarantors (including their respective guarantees of the notes), as the case may be, will be effectively subordinated to the prior claims of that subsidiary’s creditors and of the holders of any indebtedness or other obligations of or guaranteed by that subsidiary, except to the extent that the operating partnership or any guarantor, as the case may be, is itself a creditor with recognized claims against that subsidiary, in which case those claims would still be effectively subordinated to all indebtedness, guarantees and other obligations secured by mortgages or other liens on the assets of that subsidiary (to the extent of the value of those assets) and would be subordinate to all indebtedness, guarantees and other obligations of that subsidiary senior to that held by the operating partnership or the guarantors, as the case may be. Moreover, in the event of the bankruptcy, liquidation, reorganization or other winding up of any subsidiary of the operating partnership or the guarantors, the rights of holders of indebtedness and other obligations of the operating partnership (including the notes) or the guarantors (including their respective guarantees of the notes), as the case may be, will be effectively subordinated to any preferred equity interests in that subsidiary held by persons other than the operating partnership or the guarantors, as the case may be. In addition, in the event of the bankruptcy, liquidation, reorganization or other winding up of any entity that the operating partnership or the guarantors account for using the equity method of accounting, the rights of holders of indebtedness and other obligations of the operating partnership (including the notes) or the guarantors (including their respective guarantees of the notes), as the case may be, will be subject to the prior claims of that entity’s creditors and the holders of any indebtedness or other obligations of or guaranteed by that entity, except to the extent that the operating partnership or any guarantor, as the case may be, is itself a creditor with recognized claims against that entity, in which case those claims would still be effectively subordinated to all indebtedness, guarantees and other obligations secured by mortgages or other liens on the assets of that entity (to the extent of the value of those assets) and would be subordinate to all indebtedness, guarantees and other obligations of that entity senior to that held by the operating partnership or the guarantors, as the case may be.</w:t>
      </w:r>
    </w:p>
    <w:p>
      <w:pPr>
        <w:spacing w:after="0" w:line="205"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1060"/>
        <w:spacing w:after="0" w:line="260" w:lineRule="auto"/>
        <w:rPr>
          <w:sz w:val="20"/>
          <w:szCs w:val="20"/>
          <w:color w:val="auto"/>
        </w:rPr>
      </w:pPr>
      <w:r>
        <w:rPr>
          <w:rFonts w:ascii="Times New Roman" w:cs="Times New Roman" w:eastAsia="Times New Roman" w:hAnsi="Times New Roman"/>
          <w:sz w:val="18"/>
          <w:szCs w:val="18"/>
          <w:color w:val="auto"/>
        </w:rPr>
        <w:t>$285.0 million had been drawn. The operating partnership has a commercial paper program with a capacity of up to $1.0 billion, of which $850.0 million had been issued as of March 31, 2026.</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our debt service obligations.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including the notes, and to fund our operations, working capital and capital expenditures, depends on our ability to generate cash in the future.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20" w:h="16838" w:orient="portrait"/>
          <w:cols w:equalWidth="0" w:num="1">
            <w:col w:w="11120"/>
          </w:cols>
          <w:pgMar w:left="340" w:top="666" w:right="45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cash flow is subject to general economic, industry, financial, competitive, operating, legislative, regulatory, environmental and other factors, many of which are beyond our control.</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instruments and agreements governing some of our outstanding indebtedness (including borrowings under the operating partnership’s unsecured credit facility) contain provisions that require us to repay, or offer to repay, that indebtedness, or provide that an event of default may occur, under specified circumstances or upon the occurrence of specified events (including upon the acquisition by any person or group of more than a specified percentage of the aggregate voting power of all of the Company’s issued and outstanding voting stock, upon certain changes in the composition of a majority of the members of the Company’s board of directors, if the Company or one of its wholly-owned subsidiaries ceases to be the sole general partner of the operating partnership or the Company ceases to own, directly or indirectly, at least a specified percentage of the equity interests in the operating partnership) and our future debt agreements and debt securities may contain similar provisions or may require that we repay or repurchase or offer to repurchase for cash the applicable indebtedness under specified circumstances or upon the occurrence of specified changes of control of the Company or the operating partnership or other events. We may not have sufficient funds to pay our indebtedness when due (including upon any such required repurchase, repayment or offer to repurchase), and we may not be able to arrange for the financing necessary to make those payments or repurchases on favorable terms or at all. In addition, our ability to make required payments on our indebtedness when due (including upon any such required repurchase, repayment or offer to repurchase) may be limited by the terms of other debt instruments or agreements. Our failure to pay amounts due in respect of any of our indebtedness when due would generally constitute an event of default under the instrument governing that indebtedness, which could permit the holders of that indebtedness to require the immediate repayment of that indebtedness in full and, in the case of secured indebtedness, could allow them to sell the collateral securing that indebtedness and use the proceeds to repay that indebtedness. Moreover, any acceleration of or default in respect of any of our indebtedness could, in turn, constitute an event of default under other debt instruments or agreements, thereby resulting in the acceleration and required repayment of that other indebtedness. Any of these events could materially adversely affect our ability to make payments of principal and interest on our indebtedness, including the notes, when due and could prevent us from making those payments altogether.</w:t>
      </w:r>
    </w:p>
    <w:p>
      <w:pPr>
        <w:spacing w:after="0" w:line="19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sources of cash will be available to us in an amount sufficient to enable us to pay amounts due on our indebtedness, including the notes, or to fund our other liquidity needs, including cash distributions to stockholders necessary to maintain the Company’s REIT qualification. Additionally, if we incur additional indebtedness in connection with future acquisitions or for any other purpose, our debt service obligations could increase.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need to refinance all or a portion of our indebtedness, including the notes, on or before maturity. Our ability to refinance our indebtedness or obtain additional financing will depend on, among other things:</w:t>
      </w:r>
    </w:p>
    <w:p>
      <w:pPr>
        <w:spacing w:after="0" w:line="67" w:lineRule="exact"/>
        <w:rPr>
          <w:sz w:val="20"/>
          <w:szCs w:val="20"/>
          <w:color w:val="auto"/>
        </w:rPr>
      </w:pPr>
    </w:p>
    <w:p>
      <w:pPr>
        <w:ind w:left="1120" w:hanging="448"/>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market conditions at the time;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agreements governing our indebtedness.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result, we may not be able to refinance our indebtedness, including the notes,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the notes. Accordingly, if we cannot service our indebtedness, we may have to take actions such as seeking additional equity financing, delaying capital expenditures, or entering into strategic acquisitions and alliances.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or circumstances could have a material adverse effect on our financial condition, results of operations, cash flows, the trading price of our securities (including the notes) and our ability to satisfy our debt service obligations and to pay dividends and other distributions to our security holders. In addition,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20" w:h="16838" w:orient="portrait"/>
          <w:cols w:equalWidth="0" w:num="1">
            <w:col w:w="11100"/>
          </w:cols>
          <w:pgMar w:left="340" w:top="666" w:right="478"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foreclosures of properties that we own could create taxable income without accompanying cash proceeds, which could require us to borrow or sell assets to raise the funds necessary to pay amounts due on our indebtedness, including the notes, and to meet the REIT distribution requirements under the Code, even if such actions are not on favorable terms.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incur significantly more debt, which could exacerbate the risks related to our indebtedness, and adversely impact our ability to pay the principal of or interest on the notes.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Although the agreements governing our secured and unsecured indebtedness limit, and the indenture governing the notes will limit, our ability to incur additional indebtedness, these restrictions are subject to a number of significant exceptions and, in addition, we will have the ability to incur additional indebtedness, which could be substantial, without violating the limitations imposed by these debt instruments. To the extent we incur additional indebtedness, we may face additional risks associated with our indebtedness, including our possible inability to pay the principal of and interest on the notes.</w:t>
      </w:r>
    </w:p>
    <w:p>
      <w:pPr>
        <w:spacing w:after="0" w:line="287"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the other guarantors have no significant operations, other than as the operating partnership’s indirect general partner and indirect limited partner (in the case of the Company), direct general partner (in the case of ESS Holdings Business Trust I) and direct limited partner (in the case of ESS Holdings Business Trust II), and no material assets, other than their respective investments, directly or indirectly, in the operating partnership.</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of the guarantors will fully and unconditionally guarantee, on a joint and several basis, the operating partnership’s obligations under the indenture and the notes. However, the guarantors have no material operations separate from the operation of the operating partnership and no material assets, other than their respective investments, directly or indirectly, in the operating partnership. Accordingly, if the operating partnership fails to make a payment on the notes when due, there can be no assurance that the guarantors would have funds to pay that amount pursuant to their guarantees. Furthermore, as described above under “—The effective subordination of the notes may limit our ability to satisfy our obligations under the notes,” each guarantor’s guarantee will be effectively subordinated in right of payment to:</w:t>
      </w:r>
    </w:p>
    <w:p>
      <w:pPr>
        <w:spacing w:after="0" w:line="93" w:lineRule="exact"/>
        <w:rPr>
          <w:sz w:val="20"/>
          <w:szCs w:val="20"/>
          <w:color w:val="auto"/>
        </w:rPr>
      </w:pPr>
    </w:p>
    <w:p>
      <w:pPr>
        <w:ind w:left="1120" w:right="140" w:hanging="448"/>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67" w:lineRule="exact"/>
        <w:rPr>
          <w:rFonts w:ascii="Times New Roman" w:cs="Times New Roman" w:eastAsia="Times New Roman" w:hAnsi="Times New Roman"/>
          <w:sz w:val="18"/>
          <w:szCs w:val="18"/>
          <w:color w:val="auto"/>
        </w:rPr>
      </w:pPr>
    </w:p>
    <w:p>
      <w:pPr>
        <w:ind w:left="1120" w:right="380" w:hanging="448"/>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120" w:right="100" w:hanging="448"/>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26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laws allow courts, under specific circumstances, to void guarantees and require holders of guaranteed debt to return payments received from guarantors.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federal bankruptcy law and comparable provisions of state fraudulent transfer laws, a court could void the guarantee of the notes provided by each guarantor or could subordinate the guarantee to all other debts and guarantees of such guarantor if, among other things, such guarantor, at the time it incurred or entered into its guarantee of the notes, received less than reasonably equivalent value or fair consideration for the incurrence of the guarantee and any of the following is also true:</w:t>
      </w:r>
    </w:p>
    <w:p>
      <w:pPr>
        <w:spacing w:after="0" w:line="85" w:lineRule="exact"/>
        <w:rPr>
          <w:sz w:val="20"/>
          <w:szCs w:val="20"/>
          <w:color w:val="auto"/>
        </w:rPr>
      </w:pPr>
    </w:p>
    <w:p>
      <w:pPr>
        <w:ind w:left="5500" w:right="3080" w:hanging="4828"/>
        <w:spacing w:after="0" w:line="454"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was insolvent or rendered insolvent by reason of the incurrence of the guarantee; S-8</w:t>
      </w:r>
    </w:p>
    <w:p>
      <w:pPr>
        <w:sectPr>
          <w:pgSz w:w="11920" w:h="16838" w:orient="portrait"/>
          <w:cols w:equalWidth="0" w:num="1">
            <w:col w:w="11120"/>
          </w:cols>
          <w:pgMar w:left="340" w:top="666" w:right="458"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hanging="44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was engaged in a business or transaction for which its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intended to incur, or believed that it would incur, debts beyond its ability to pay those debts as they mature.</w:t>
      </w:r>
    </w:p>
    <w:p>
      <w:pPr>
        <w:spacing w:after="0" w:line="225"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In addition, under any of the circumstances described above, any payment by a guarantor pursuant to its guarantee of the notes could be voided and holders of the notes could be required to return those payments to such guarantor or to a fund for the benefit of the creditors of such guarantor.</w:t>
      </w:r>
    </w:p>
    <w:p>
      <w:pPr>
        <w:spacing w:after="0" w:line="140"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67" w:lineRule="exact"/>
        <w:rPr>
          <w:sz w:val="20"/>
          <w:szCs w:val="20"/>
          <w:color w:val="auto"/>
        </w:rPr>
      </w:pPr>
    </w:p>
    <w:p>
      <w:pPr>
        <w:ind w:left="1120" w:hanging="44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of its assets;</w:t>
      </w:r>
    </w:p>
    <w:p>
      <w:pPr>
        <w:spacing w:after="0" w:line="130" w:lineRule="exact"/>
        <w:rPr>
          <w:rFonts w:ascii="Times New Roman" w:cs="Times New Roman" w:eastAsia="Times New Roman" w:hAnsi="Times New Roman"/>
          <w:sz w:val="18"/>
          <w:szCs w:val="18"/>
          <w:color w:val="auto"/>
        </w:rPr>
      </w:pPr>
    </w:p>
    <w:p>
      <w:pPr>
        <w:ind w:left="1120" w:right="340" w:hanging="448"/>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became due; or</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became due.</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Moreover, a court might also void a guarantee of the notes, without regard to the above factors, if it found that the applicable guarantor entered into its guarantee with actual or deemed intent to hinder, delay, or defraud its creditors.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cannot be certain as to the standards a court would use to determine whether reasonably equivalent value or fair consideration was received by each guarantor for its guarantee of the notes. If a court voided such guarantee, holders of the notes would no longer have a claim against such guarantor under such guarantee. In addition, the court might direct holders of the notes to repay any amounts already received from such guarantor under its guarantee.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court were to void a guarantee, require the return of monies paid by a guarantor under its guarantee or subordinate the guarantee to other obligations of such guarantor, we could not assure you that funds to pay the notes would be available from the operating partnership or any of our other subsidiaries or from any other source.</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trading market for the notes, and an active public trading market for the notes may not develop or, if it develops, be maintained or be liquid. The failure of an active public trading market for the notes to develop or be maintained is likely to adversely affect the market price and liquidity of the notes.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or for inclusion in any quotation system. Although the underwriters have advised us that they intend to make a market in the notes, they are not obligated to do so and may discontinue any market-making at any time without notice. Accordingly, an active public trading market may not develop for the notes and, even if one develops, may not be maintained or be liquid. If an active public trading market for the notes does not develop or is not maintained, the market price and liquidity of the notes are likely to be adversely affected and holders may not be able to sell their notes at desired times and prices or at all. If any of the notes are traded after their purchase in this offering, they may trade at a discount, which could be substantial, from their purchase price.</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liquidity of the trading market, if any, and future trading prices of the notes will depend on many factors, including, among other things, prevailing interest rates, the financial condition, results of operations, business, prospects and credit quality of the operating partnership and its subsidiaries and the Company and its subsidiaries and other comparable entities, the market for similar securities and the overall securities markets, and may be adversely affected by unfavorable changes in any of these factors, many of which are beyond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20" w:h="16838" w:orient="portrait"/>
          <w:cols w:equalWidth="0" w:num="1">
            <w:col w:w="11120"/>
          </w:cols>
          <w:pgMar w:left="340" w:top="666" w:right="458"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control. In addition, market volatility or events or developments in the credit markets could materially and adversely affect the market value of the notes, regardless of the operating partnership’s, the Company’s or their respective subsidiaries’ financial condition, results of operations, business, prospects or credit quality.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notes may fluctuate significantly.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 of the notes may fluctuate significantly in response to many factors, including:</w:t>
      </w:r>
    </w:p>
    <w:p>
      <w:pPr>
        <w:spacing w:after="0" w:line="131" w:lineRule="exact"/>
        <w:rPr>
          <w:sz w:val="20"/>
          <w:szCs w:val="20"/>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 or dividends;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funds from operations or earnings estimates;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the real estate industry;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debt or equity securities we may issue or additional debt we incur in the future;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investors;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other risk factors presented or incorporated by reference in this prospectus supplement;</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investor interest in our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reputation of REITs;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underlying asset value;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the stock and bond markets, generally;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earnings estimates;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qualify and maintain its qualification as a REIT;</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30" w:lineRule="exact"/>
        <w:rPr>
          <w:rFonts w:ascii="Times New Roman" w:cs="Times New Roman" w:eastAsia="Times New Roman" w:hAnsi="Times New Roman"/>
          <w:sz w:val="18"/>
          <w:szCs w:val="18"/>
          <w:color w:val="auto"/>
        </w:rPr>
      </w:pPr>
    </w:p>
    <w:p>
      <w:pPr>
        <w:ind w:left="1120" w:right="460" w:hanging="448"/>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 which may divert our management’s time and attention, require us to pay damages and expenses or restrict the operation of our business;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inflationary and/or high interest rate environments;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prospects; and</w:t>
      </w:r>
    </w:p>
    <w:p>
      <w:pPr>
        <w:spacing w:after="0" w:line="130" w:lineRule="exact"/>
        <w:rPr>
          <w:rFonts w:ascii="Times New Roman" w:cs="Times New Roman" w:eastAsia="Times New Roman" w:hAnsi="Times New Roman"/>
          <w:sz w:val="18"/>
          <w:szCs w:val="18"/>
          <w:color w:val="auto"/>
        </w:rPr>
      </w:pPr>
    </w:p>
    <w:p>
      <w:pPr>
        <w:ind w:left="1120" w:right="720" w:hanging="448"/>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on the global economy or on our or our tenants’ businesses, financial position or results of operations.</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Many of the factors listed above are beyond our control. These factors may cause the market price of the notes to decline, regardless of our financial condition, results of operations, business or prospects. It is impossible to provide any assurance that the market price of the notes will not fall in the future, and it may be difficult for investors to resell the notes at prices they find attractive or at 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20" w:h="16838" w:orient="portrait"/>
          <w:cols w:equalWidth="0" w:num="1">
            <w:col w:w="11140"/>
          </w:cols>
          <w:pgMar w:left="340" w:top="666" w:right="438"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notes will not be entitled to require us to redeem or repurchase the notes upon the occurrence of a change of control or highly levered transactions or other designated events.</w:t>
      </w:r>
    </w:p>
    <w:p>
      <w:pPr>
        <w:spacing w:after="0" w:line="5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1080"/>
        <w:spacing w:after="0" w:line="260" w:lineRule="auto"/>
        <w:rPr>
          <w:sz w:val="20"/>
          <w:szCs w:val="20"/>
          <w:color w:val="auto"/>
        </w:rPr>
      </w:pPr>
      <w:r>
        <w:rPr>
          <w:rFonts w:ascii="Times New Roman" w:cs="Times New Roman" w:eastAsia="Times New Roman" w:hAnsi="Times New Roman"/>
          <w:sz w:val="18"/>
          <w:szCs w:val="18"/>
          <w:color w:val="auto"/>
        </w:rPr>
        <w:t>$285.0 million had been drawn. The operating partnership has a commercial paper program with a capacity of up to $1.0 billion, of which $850.0 million had been issued as of March 31, 2026.</w:t>
      </w:r>
    </w:p>
    <w:p>
      <w:pPr>
        <w:spacing w:after="0" w:line="18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The instruments and agreements governing some of our outstanding indebtedness (including borrowings under the operating partnership’s unsecured credit facilities) contain provisions that require us to repay, or offer to repay, that indebtedness, or provide that an event of default may occur, under specified circumstances or upon the occurrence of specified events (including upon the acquisition by any person or group of more than a specified percentage of the aggregate voting power of all of the Company’s issued and outstanding voting stock, upon certain changes in the composition of a majority of the members of the Company’s board of directors, if the Company or its wholly-owned subsidiaries cease to be the sole general partner of the operating partnership or the Company ceases to own, directly or indirectly, at least a specified percentage of the equity interests in the operating partnership) and our future debt agreements and debt securities may contain similar provisions or may require that we repay or repurchase or offer to repurchase for cash the applicable indebtedness under specified circumstances or upon the occurrence of specified changes of control of the Company or the operating partnership or other events. The notes offered hereby do not have any similar rights to require us to repurchase or repay the notes, whether upon the occurrence of a change of control or highly leveraged transaction or otherwise, even though these transactions could increase the amount of our indebtedness or otherwise adversely affect our capital structure or credit ratings, thereby adversely affecting the market value of the notes. These provisions may also allow holders of that other indebtedness to be repaid upon the occurrence of specified transactions or events, which may deplete our available cash and sources of financing and make it difficult or impossible for us to make payments on the notes when due.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could result in a decrease in the market value of the notes.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generally decline in value. Consequently, if you purchase these notes and market interest rates increase, the market value of your notes may decline. We cannot predict the future level of market interest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materially adversely affect our business and financial condition and the market value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credit ratings assigned to the notes and other debt securities of the operating partnership could change based upon, among other things, our results of operations and financial condition. These ratings are subject to ongoing evaluation by credit rating agencies, and we cannot assure you that any rating will not be changed or withdrawn by a rating agency in the future if, in its judgment, circumstances warrant. Moreover, these credit ratings are not recommendations to buy, sell or hold the notes or any other securities. If any of the credit rating agencies that have rated the notes or other debt securities of the operating partnership downgrades or lowers its credit rating, or if any credit rating agency indicates that it has placed any such rating on a so-called “watch list” for a possible downgrading or lowering or otherwise indicates that its outlook for that rating is negative, it could have a material adverse effect on our costs and availability of capital, which could in turn have a material adverse effect on our financial condition, results of operations, cash flows and our ability to satisfy our debt service obligations (including payments on the notes) and to make dividends and other distributions to our security holders and could also have the material adverse effect on the market value of the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20" w:h="16838" w:orient="portrait"/>
          <w:cols w:equalWidth="0" w:num="1">
            <w:col w:w="11140"/>
          </w:cols>
          <w:pgMar w:left="340" w:top="666" w:right="438"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subject to early redemption.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under “Description of Notes—The operating partnership’s redemption rights,” the operating partnership may, at its option, redeem the notes offered hereby in whole or in part, at any time and from time to time, at the redemption prices described under such caption. Consequently, the operating partnership may choose to redeem your notes at times when prevailing interest rates are lower than the effective interest rate on your notes. If that were to occur, you may be unable to reinvest your redemption proceeds in an investment with a return that is as high as the return you would have earned on the notes had they not been redeemed and that presents a similar level of investment risk as the notes.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20" w:h="16838" w:orient="portrait"/>
          <w:cols w:equalWidth="0" w:num="1">
            <w:col w:w="11080"/>
          </w:cols>
          <w:pgMar w:left="340" w:top="666" w:right="498"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herein by reference contain “forward-looking statements” within the meaning of the Private Securities Litigation Reform Act of 1995 (set forth in Section 27A of the Securities Act of 1933, as amended (the “Securities Act”), and Section 21E of the Exchange Act). Also, documents we subsequently file with the SEC and incorporate by reference will contain forward-looking statements. These forward-looking statements are based on current expectations, estimates and projections about the industry and markets in which we operate as well as beliefs and assumptions of our management. Such statements involve uncertainties that could significantly impact our financial results. All statements that address operating performance, events or developments that we expect or anticipate will occur in the future—including statements relating to acquisition and development activity, disposition activity, general conditions in the geographic areas where we operate, and our debt, capital structure and financial position—are forward-looking statements. Likewise, our pro forma information and our statements regarding anticipated growth in our funds from operations and anticipated market conditions, demographics and results of operations are forward-looking statements. Forward-looking statements involve numerous risks and uncertainties and you should not rely on them as predictions of future events. Forward-looking statements depend on assumptions, data or methods that may be incorrect or imprecise, and we may not be able to realize them. We do not guarantee that the transactions and events described will happen as described (or that they will happen at all). You can identify forward-looking statements by the use of forward-looking terminology such as “believes,” “expects,” “may,” “will,” “should,” “seeks,” “approximately,” “intends,” “plans,” “pro forma,” “estimates” or “anticipates” or the negative of these words and phrases or similar words or phrases. You can also identify forward-looking statements by discussions of strategy, plans or intentions. The following factors, among others, could cause actual results and future events to differ materially from those set forth or contemplated in the forward-looking statements:</w:t>
      </w:r>
    </w:p>
    <w:p>
      <w:pPr>
        <w:spacing w:after="0" w:line="100" w:lineRule="exact"/>
        <w:rPr>
          <w:sz w:val="20"/>
          <w:szCs w:val="20"/>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130" w:lineRule="exact"/>
        <w:rPr>
          <w:rFonts w:ascii="Times New Roman" w:cs="Times New Roman" w:eastAsia="Times New Roman" w:hAnsi="Times New Roman"/>
          <w:sz w:val="18"/>
          <w:szCs w:val="18"/>
          <w:color w:val="auto"/>
        </w:rPr>
      </w:pPr>
    </w:p>
    <w:p>
      <w:pPr>
        <w:ind w:left="1120" w:right="420" w:hanging="448"/>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REITs, tenant reinsurance and other aspects of our business, which could adversely affect our results;</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including increased or unanticipated competition for our properties, which could cause rents and occupancy rates to decline;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130" w:lineRule="exact"/>
        <w:rPr>
          <w:rFonts w:ascii="Times New Roman" w:cs="Times New Roman" w:eastAsia="Times New Roman" w:hAnsi="Times New Roman"/>
          <w:sz w:val="18"/>
          <w:szCs w:val="18"/>
          <w:color w:val="auto"/>
        </w:rPr>
      </w:pPr>
    </w:p>
    <w:p>
      <w:pPr>
        <w:ind w:left="1120" w:right="300" w:hanging="448"/>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130" w:lineRule="exact"/>
        <w:rPr>
          <w:rFonts w:ascii="Times New Roman" w:cs="Times New Roman" w:eastAsia="Times New Roman" w:hAnsi="Times New Roman"/>
          <w:sz w:val="18"/>
          <w:szCs w:val="18"/>
          <w:color w:val="auto"/>
        </w:rPr>
      </w:pPr>
    </w:p>
    <w:p>
      <w:pPr>
        <w:ind w:left="1120" w:right="600" w:hanging="448"/>
        <w:spacing w:after="0" w:line="312" w:lineRule="auto"/>
        <w:tabs>
          <w:tab w:leader="none" w:pos="1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45" w:lineRule="exact"/>
        <w:rPr>
          <w:rFonts w:ascii="Times New Roman" w:cs="Times New Roman" w:eastAsia="Times New Roman" w:hAnsi="Times New Roman"/>
          <w:sz w:val="17"/>
          <w:szCs w:val="17"/>
          <w:color w:val="auto"/>
        </w:rPr>
      </w:pPr>
    </w:p>
    <w:p>
      <w:pPr>
        <w:ind w:left="1120" w:right="300" w:hanging="448"/>
        <w:spacing w:after="0" w:line="266"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20" w:h="16838" w:orient="portrait"/>
          <w:cols w:equalWidth="0" w:num="1">
            <w:col w:w="11120"/>
          </w:cols>
          <w:pgMar w:left="340" w:top="666" w:right="45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hanging="44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130" w:lineRule="exact"/>
        <w:rPr>
          <w:rFonts w:ascii="Times New Roman" w:cs="Times New Roman" w:eastAsia="Times New Roman" w:hAnsi="Times New Roman"/>
          <w:sz w:val="18"/>
          <w:szCs w:val="18"/>
          <w:color w:val="auto"/>
        </w:rPr>
      </w:pPr>
    </w:p>
    <w:p>
      <w:pPr>
        <w:ind w:left="1120" w:hanging="448"/>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capital, the levels of debt that we maintain and our credit ratings;</w:t>
      </w:r>
    </w:p>
    <w:p>
      <w:pPr>
        <w:spacing w:after="0" w:line="130" w:lineRule="exact"/>
        <w:rPr>
          <w:rFonts w:ascii="Times New Roman" w:cs="Times New Roman" w:eastAsia="Times New Roman" w:hAnsi="Times New Roman"/>
          <w:sz w:val="18"/>
          <w:szCs w:val="18"/>
          <w:color w:val="auto"/>
        </w:rPr>
      </w:pPr>
    </w:p>
    <w:p>
      <w:pPr>
        <w:ind w:left="1120" w:right="300" w:hanging="448"/>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increases in interest rates and the impact of enacted and proposed U.S. tariffs on global economic conditions;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they are not guarantees of future performance. We disclaim any obligation to update or revise any forward-looking statements, whether as a result of new information, future events or otherwise. For a further discussion of these and other factors that could impact our future results, performance or transactions, see the section above entitled “Risk Factors,” including the risks incorporated therein from our Annual Report on Form 10-K for the year ended December 31, 2025, and our subsequent Quarterly Report on Form 10-Q, which are incorporated by reference in this prospectus supplement, as updated by our subsequent filings under the Exchange Act.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S-14</w:t>
      </w:r>
    </w:p>
    <w:p>
      <w:pPr>
        <w:sectPr>
          <w:pgSz w:w="11920" w:h="16838" w:orient="portrait"/>
          <w:cols w:equalWidth="0" w:num="1">
            <w:col w:w="11060"/>
          </w:cols>
          <w:pgMar w:left="340" w:top="666" w:right="51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the underwriting discount and estimated offering expenses payable by us, will be approximately $544.5 million.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amounts outstanding from time to time under our lines of credit and our commercial paper program (which may include borrowings from certain of the underwriters and/or their affiliates), and for other general corporate and working capital purposes, including funding potential acquisition opportunities.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prospectus supplement, our operating partnership’s lines of credit consisted of the following:</w:t>
      </w:r>
    </w:p>
    <w:p>
      <w:pPr>
        <w:spacing w:after="0" w:line="131" w:lineRule="exact"/>
        <w:rPr>
          <w:sz w:val="20"/>
          <w:szCs w:val="20"/>
          <w:color w:val="auto"/>
        </w:rPr>
      </w:pPr>
    </w:p>
    <w:p>
      <w:pPr>
        <w:ind w:left="1120" w:hanging="448"/>
        <w:spacing w:after="0" w:line="266"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line of credit with a capacity of up to $140.0 million, of which approximately $24.0 million had been drawn, which bears interest at Daily Simple Secured Overnight Financing Rate (“SOFR”) plus 1.35% (5.03% as of March 31, 2026) and matures on July 1, 2026 with a one-year extension available; and</w:t>
      </w:r>
    </w:p>
    <w:p>
      <w:pPr>
        <w:spacing w:after="0" w:line="81" w:lineRule="exact"/>
        <w:rPr>
          <w:rFonts w:ascii="Times New Roman" w:cs="Times New Roman" w:eastAsia="Times New Roman" w:hAnsi="Times New Roman"/>
          <w:sz w:val="18"/>
          <w:szCs w:val="18"/>
          <w:color w:val="auto"/>
        </w:rPr>
      </w:pPr>
    </w:p>
    <w:p>
      <w:pPr>
        <w:jc w:val="both"/>
        <w:ind w:left="1120" w:right="100" w:hanging="448"/>
        <w:spacing w:after="0" w:line="266"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unsecured line of credit with a capacity of up to $3.0 billion, of which approximately $56.0 million had been drawn, which bears interest at SOFR plus 0.775% (4.46% as of March 31, 2026), subject to change based on our public credit ratings from Moody’s Investors Service and S&amp;P Global Ratings, and matures on August 21, 2029, subject to two six-month extensions at our option.</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our operating partnership’s commercial paper program had a capacity of up to $1.0 billion, of which $850.0 million had been issued with a weighted average annual interest rate of 4.07% and a weighted average maturity of 13 days.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outstanding indebtedness under our lines of credit and commercial paper program was incurred primarily to fund acquisitions and preferred stock investments and for other general corporate purposes.</w:t>
      </w:r>
    </w:p>
    <w:p>
      <w:pPr>
        <w:spacing w:after="0" w:line="16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and/or their affiliates are lenders under our secured line of credit and/or our senior unsecured line of credit. As described above, to the extent that we use a portion of the net proceeds from this offering to repay amounts outstanding from time to time under our lines of credit or other borrowings from certain of the underwriters and/or their affiliates, such underwriters and/or their affiliates will receive their proportionate share of any amount of such borrowings that are repaid with the net proceeds from this offering. See “Underwriting.”</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Pending use of the remaining net proceeds from this offering, we intend to invest these net proceeds in short-term interest-bearing investment grade instruments.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20" w:h="16838" w:orient="portrait"/>
          <w:cols w:equalWidth="0" w:num="1">
            <w:col w:w="11140"/>
          </w:cols>
          <w:pgMar w:left="340" w:top="666" w:right="438"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This description of the notes summarizes key terms and provisions of the notes and the indenture referred to below. This description does not purport to be complete and is subject to, and qualified in its entirety by reference to, the actual terms and provisions of the notes and the indenture, which are incorporated herein by reference. We urge you to read those documents in their entirety because they, and not this description nor the “Description of Debt Securities and Guarantees” in the accompanying prospectus, define your rights as a holder of notes. You may request a copy of those documents from us as described in “Where You Can Find More Information” in the accompanying prospectus. The information in this section supplements and, to the extent inconsistent therewith, replaces the information in the accompanying prospectus under the caption “Description of Debt Securities and Guarantees.”</w:t>
      </w:r>
    </w:p>
    <w:p>
      <w:pPr>
        <w:spacing w:after="0" w:line="2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Capitalized terms used but not otherwise defined herein have the meanings given to them in the notes or the indenture, as applicable. As used in this “Description of Notes,” (i) references to the “operating partnership,” “we,” “our” or “us” refer solely to Extra Space Storage LP and not to any of its subsidiaries, (ii) references to the “Company” refer solely to Extra Space Storage Inc. and not to any of its subsidiaries, unless otherwise expressly stated or the context otherwise requires and (iii) references to the “guarantors” refer, collectively, to the Company, ESS Holdings Business Trust I and ESS Holdings Business Trust II. Certain capitalized terms used in this section have the meaning set forth below in “—Definitions.”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9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pursuant to a base indenture, dated as of May 11, 2021, among the operating partnership, the guarantors, and Computershare Trust Company, N.A. (as successor to Wells Fargo Bank, National Association), a national banking association, as trustee, as supplemented by the sixteenth supplemental indenture dated as of July 6, 2026. We refer to the indenture, as supplemented by such sixteenth supplemental indenture, as the “indenture.”</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terms of the notes include those provisions contained in the notes and the indenture and those made part of the indenture by reference to the Trust Indenture Act of 1939, as amended (the “Trust Indenture Act”). The notes are subject to all such terms, and holders of notes are referred to the notes, the indenture and the Trust Indenture Act for a statement thereof.</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only in fully registered, book-entry form, in minimum denominations of $2,000 and integral multiples of $1,000 in excess thereof, except under the limited circumstances described in the accompanying prospectus under “Global Securities—Book-Entry, Delivery and Form.” The principal of, and premium, if any, and interest on, the notes will be payable in U.S. dollars. The registered holder of a note will be treated as its owner for all purposes.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redemption date is not a business day, the payment otherwise required to be made on such date will be made on the next business day without any additional payment as a result of such delay. The term “business day” means any day, other than a Saturday, Sunday or any other day on which banking institutions in New York, New York or the place of payment are authorized or obligated by law or executive order to close.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by the guarantors on a senior unsecured basis. See “—Guarantees” below.</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terms of the notes provide that the operating partnership is permitted to reduce interest payments and payments upon a redemption of notes otherwise payable to a holder for any amounts the operating partnership is required to withhold by law. For example, non-United States holders of the notes may, under some circumstances,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20" w:h="16838" w:orient="portrait"/>
          <w:cols w:equalWidth="0" w:num="1">
            <w:col w:w="11140"/>
          </w:cols>
          <w:pgMar w:left="340" w:top="666" w:right="43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be subject to U.S. federal withholding tax with respect to payments of interest on the notes. The operating partnership will set-off any such withholding tax that the operating partnership is required to pay against payments of interest payable on the notes and payments upon a redemption of notes.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the operating partnership’s senior unsecured obligations and will rank equally in right of payment with all of the operating partnership’s other existing and future senior unsecured indebtedness. The notes will be effectively subordinated in right of payment to:</w:t>
      </w:r>
    </w:p>
    <w:p>
      <w:pPr>
        <w:spacing w:after="0" w:line="67" w:lineRule="exact"/>
        <w:rPr>
          <w:sz w:val="20"/>
          <w:szCs w:val="20"/>
          <w:color w:val="auto"/>
        </w:rPr>
      </w:pPr>
    </w:p>
    <w:p>
      <w:pPr>
        <w:ind w:left="1120" w:right="200" w:hanging="448"/>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operating partnership’s existing and future mortgage indebtedness and other secured indebtedness (to the extent of the value of the collateral securing such indebtedness);</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the operating partnership’s subsidiaries and of any entity the operating partnership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120" w:hanging="448"/>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the operating partnership, if any, in the operating partnership’s subsidiaries and in any entity the operating partnership accounts for using the equity method of accounting.</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of March 31, 2026, the operating partnership (excluding its subsidiaries) had, in addition to trade payables and other liabilities, approximately $1.1 billion of secured notes outstanding and approximately $9.7 billion of unsecured notes outstanding. In addition, as of March 31, 2026, the operating partnership had senior unsecured term loans in the amount of approximately $1.5 billion, a secured line of credit with a capacity of up to $140.0 million, of which $17.5 million had been drawn, and a senior unsecured line of credit with a capacity of up to $3.0 billion, of which approximately</w:t>
      </w:r>
    </w:p>
    <w:p>
      <w:pPr>
        <w:spacing w:after="0" w:line="3" w:lineRule="exact"/>
        <w:rPr>
          <w:sz w:val="20"/>
          <w:szCs w:val="20"/>
          <w:color w:val="auto"/>
        </w:rPr>
      </w:pPr>
    </w:p>
    <w:p>
      <w:pPr>
        <w:ind w:left="120" w:right="820"/>
        <w:spacing w:after="0" w:line="260" w:lineRule="auto"/>
        <w:rPr>
          <w:sz w:val="20"/>
          <w:szCs w:val="20"/>
          <w:color w:val="auto"/>
        </w:rPr>
      </w:pPr>
      <w:r>
        <w:rPr>
          <w:rFonts w:ascii="Times New Roman" w:cs="Times New Roman" w:eastAsia="Times New Roman" w:hAnsi="Times New Roman"/>
          <w:sz w:val="18"/>
          <w:szCs w:val="18"/>
          <w:color w:val="auto"/>
        </w:rPr>
        <w:t>$285.0 million had been drawn. See “—Guarantees” below for a description of the ranking of the guarantees. The operating partnership has a commercial paper program with a capacity of up to $1.0 billion, of which $850.0 million had been issued as of March 31, 2026.</w:t>
      </w:r>
    </w:p>
    <w:p>
      <w:pPr>
        <w:spacing w:after="0" w:line="1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as described under “—Certain covenants” and “—Merger, consolidation or sale,” the indenture will not prohibit the operating partnership, the Company, any other guarantor or any of their respective subsidiaries from incurring secured or unsecured indebtedness or issuing preferred equity in the future and, although the indenture will contain covenants that will limit the ability of the operating partnership and its subsidiaries to incur secured and unsecured indebtedness, those covenants are subject to significant exceptions, and in any event the operating partnership and its subsidiaries may be able, without taking advantage of any such exceptions, to incur substantial amounts of additional secured and unsecured indebtedness without violating those covenants. For additional information, see “Risk Factors—Risks Related to this Offering—The effective subordination of the notes may limit our ability to satisfy our obligations under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notes will initially be limited to an aggregate principal amount of $550.0 million. The operating partnership may, without the consent of holders of the notes, increase the principal amount of the notes by issuing additional notes in the future on the same terms and conditions (except for any difference in the issue date, public offering price and, if applicable, the date from which interest thereon will begin to accrue and the initial interest payment date). Any such additional notes will have the same CUSIP number as the notes offered hereby so long as such additional notes are fungible for U.S. federal income tax and securities law purposes with the notes offered hereby. The notes offered by this prospectus supplement and any additional notes would rank equally and ratably in right of payment and would be treated as a single series of debt securities for all purposes under the indenture.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20" w:h="16838" w:orient="portrait"/>
          <w:cols w:equalWidth="0" w:num="1">
            <w:col w:w="11120"/>
          </w:cols>
          <w:pgMar w:left="340" w:top="666" w:right="458"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at the rate of 4.900% per year from and including July 6, 2026 or the most recent interest payment date to which interest has been paid or provided for, and will be payable semi-annually in arrears on February 1 and August 1 of each year, beginning February 1, 2027. Except as described below under “—The operating partnership’s redemption rights,” the interest so payable will be paid to each holder in whose name a note is registered at the close of business on the January 15 or July 15 (whether or not a business day) immediately preceding the applicable interest payment date. Interest on the notes will be computed on the basis of a 360-day year consisting of twelve 30-day months.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or maturity or redemption date falls on a day that is not a business day, the required payment shall be made on the next business day as if it were made on the date such payment was due and no interest shall accrue on the amount so payable from and after such interest payment date or maturity or redemption date, as the case may be, to such next business day.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will mature on February 1, 2032 and will be paid against presentation and surrender thereof at the corporate trust office of the trustee unless earlier redeemed by us at our option as described under “—The operating partnership’s redemption rights” below. The notes will not be entitled to the benefits of, or be subject to, any sinking fund.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operating partnership’s redemption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January 1, 2032 (one month prior to their maturity date) (the “Par Call Date”), the operating partnership may redeem the notes at its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120" w:right="100" w:hanging="448"/>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but excluding, the date of redemption; and</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being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operating partnership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redemption date falls after a record date and on or prior to the corresponding interest payment date, we will pay the full amount of accrued and unpaid interest, if any, on such interest payment date to the holder of record at the close of business on the corresponding record date (instead of the holder surrendering its notes for redemption).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operating partnership in accordance with the following two paragraphs: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Treasury Rate shall be determined by the operating partnership after 4:15 p.m., New York City time (or after such time as yields on U.S. government securities are posted daily by the Board of Governors of the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20" w:h="16838" w:orient="portrait"/>
          <w:cols w:equalWidth="0" w:num="1">
            <w:col w:w="11120"/>
          </w:cols>
          <w:pgMar w:left="340" w:top="666" w:right="458"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Reserve System), on the third business day preceding the notice of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operating partnership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notice of the redemption date H.15 TCM is no longer published, the operating partnership shall calculate the Treasury Rate based on the rate per annum equal to the semi-annual equivalent yield to maturity at 11:00 a.m., New York City time, on the second business day preceding such notice of the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operating partnership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operating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calculate the redemption price as described in the terms of the notes to be redeemed and will deliver an officer’s certificate to the trustee setting forth the redemption price no later than two business days prior to the redemption date, and the trustee will not be responsible for such calculation nor shall the trustee have any duty to monitor the accuracy of any calculations made by us which will be conclusive and binding on the holders, absent manifest error.</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20" w:h="16838" w:orient="portrait"/>
          <w:cols w:equalWidth="0" w:num="1">
            <w:col w:w="11120"/>
          </w:cols>
          <w:pgMar w:left="340" w:top="666" w:right="458"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operating partnership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any redemption of notes, the operating partnership will not be required to:</w:t>
      </w:r>
    </w:p>
    <w:p>
      <w:pPr>
        <w:spacing w:after="0" w:line="131" w:lineRule="exact"/>
        <w:rPr>
          <w:sz w:val="20"/>
          <w:szCs w:val="20"/>
          <w:color w:val="auto"/>
        </w:rPr>
      </w:pPr>
    </w:p>
    <w:p>
      <w:pPr>
        <w:ind w:left="1120" w:right="140" w:hanging="448"/>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register the transfer or exchange of any note during a period beginning at the opening of business 15 days before the mailing of a notice of redemption of the notes selected for redemption and ending at the close of business on the day of such mailing; or</w:t>
      </w:r>
    </w:p>
    <w:p>
      <w:pPr>
        <w:spacing w:after="0" w:line="67" w:lineRule="exact"/>
        <w:rPr>
          <w:rFonts w:ascii="Times New Roman" w:cs="Times New Roman" w:eastAsia="Times New Roman" w:hAnsi="Times New Roman"/>
          <w:sz w:val="18"/>
          <w:szCs w:val="18"/>
          <w:color w:val="auto"/>
        </w:rPr>
      </w:pPr>
    </w:p>
    <w:p>
      <w:pPr>
        <w:ind w:left="1120" w:right="320" w:hanging="448"/>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any note so selected for redemption, in whole or in part, except the unredeemed portion of any note being redeemed in part.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transferor shall also provide or cause to be provided to the trustee all information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paying agent holds funds sufficient to pay the redemption price of the notes on the redemption date, then on and after such date:</w:t>
      </w:r>
    </w:p>
    <w:p>
      <w:pPr>
        <w:spacing w:after="0" w:line="131" w:lineRule="exact"/>
        <w:rPr>
          <w:sz w:val="20"/>
          <w:szCs w:val="20"/>
          <w:color w:val="auto"/>
        </w:rPr>
      </w:pPr>
    </w:p>
    <w:p>
      <w:pPr>
        <w:ind w:left="1120" w:hanging="44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will cease to be outstanding;</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such notes will cease to accrue;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holders of such notes will terminate except the right to receive the redemption price.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Such will be the case whether or not book-entry transfer of the notes in book-entry form is made and whether or not notes in certificated form, together with the necessary endorsements, are delivered to the paying agent.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will not redeem the notes on any date if the principal amount of the notes has been accelerated, and such an acceleration has not been rescinded or cured on or prior to such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total outstanding debt. </w:t>
      </w:r>
      <w:r>
        <w:rPr>
          <w:rFonts w:ascii="Times New Roman" w:cs="Times New Roman" w:eastAsia="Times New Roman" w:hAnsi="Times New Roman"/>
          <w:sz w:val="18"/>
          <w:szCs w:val="18"/>
          <w:color w:val="auto"/>
        </w:rPr>
        <w:t>The operating partnership will not, and will not permit any Subsidiary to, incur any Debt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Acquired Debt) if, immediately after giving effect to the incurrence of such Debt and the application of the proceeds from such Debt on a pro forma basis, the aggregate principal amount of all of the operating partnership’s and its Subsidiaries’ outstanding Debt is greater than 60% of the sum of the following (without duplication): (1) the operating partnership’s and its Subsidiaries’ Total Assets as of the last day of the then most recently ended fiscal quarter covered in the Company’s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operating partnership or any Subsidiary since the end of such fiscal quarter, including the proceeds obtained from the incurrence of such additional Debt and any substantially concurrent offering of other securities.</w:t>
      </w:r>
    </w:p>
    <w:p>
      <w:pPr>
        <w:spacing w:after="0" w:line="188"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secured debt. </w:t>
      </w:r>
      <w:r>
        <w:rPr>
          <w:rFonts w:ascii="Times New Roman" w:cs="Times New Roman" w:eastAsia="Times New Roman" w:hAnsi="Times New Roman"/>
          <w:sz w:val="18"/>
          <w:szCs w:val="18"/>
          <w:color w:val="auto"/>
        </w:rPr>
        <w:t>The operating partnership will not, and will not permit any of its Subsidiaries to, incur any Debt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Acquired Debt) secured by any Lien on any of its or any of its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20" w:h="16838" w:orient="portrait"/>
          <w:cols w:equalWidth="0" w:num="1">
            <w:col w:w="11140"/>
          </w:cols>
          <w:pgMar w:left="340" w:top="666" w:right="438"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Subsidiaries’ property or assets, whether owned on the date of the indenture or subsequently acquired, if, immediately after giving effect to the incurrence of such Debt and the application of the proceeds from such Debt on a pro forma basis, the aggregate principal amount of all of the operating partnership and its Subsidiaries’ outstanding Debt which is secured by a Lien on any of its or its Subsidiaries’ property or assets is greater than 40% of the sum of (without duplication): (1) the operating partnership’s and its Subsidiaries’ Total Assets as of the last day of the then most recently ended fiscal quarter covered in the Company’s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operating partnership or any of its Subsidiaries since the end of such fiscal quarter, including the proceeds obtained from the incurrence of such additional Debt and any substantially concurrent offering of other securities.</w:t>
      </w:r>
    </w:p>
    <w:p>
      <w:pPr>
        <w:spacing w:after="0" w:line="184"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service test. </w:t>
      </w:r>
      <w:r>
        <w:rPr>
          <w:rFonts w:ascii="Times New Roman" w:cs="Times New Roman" w:eastAsia="Times New Roman" w:hAnsi="Times New Roman"/>
          <w:sz w:val="17"/>
          <w:szCs w:val="17"/>
          <w:color w:val="auto"/>
        </w:rPr>
        <w:t>The operating partnership will not, and will not permit any of its Subsidiaries to, incur any Debt (including without limitation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Acquired Debt) if the ratio of the operating partnership’s and its Subsidiaries’ EBITDA to the operating partnership’s and its Subsidiaries’ Interest Expense for the period consisting of the four consecutive fiscal quarters ending with the latest quarter covered in the Company’s annual or quarterly report most recently furnished to holders of the notes or filed with the SEC, as the case may be, most recently ended prior to the date on which such additional Debt is to be incurred shall have been less than 1.5:1 on a pro forma basis after giving effect to the incurrence of such Debt and the application of the proceeds from such Debt, and calculated on the following assumptions: (1) such Debt and any other Debt (including, without limitation, Acquired Debt) incurred by the operating partnership or any of its Subsidiaries since the first day of such four-quarter period had been incurred, and the application of the proceeds from such Debt (including to repay or retire other Debt) had occurred, on the first day of such period;</w:t>
      </w:r>
    </w:p>
    <w:p>
      <w:pPr>
        <w:spacing w:after="0" w:line="4" w:lineRule="exact"/>
        <w:rPr>
          <w:sz w:val="20"/>
          <w:szCs w:val="20"/>
          <w:color w:val="auto"/>
        </w:rPr>
      </w:pPr>
    </w:p>
    <w:p>
      <w:pPr>
        <w:ind w:left="120" w:right="60" w:firstLine="1"/>
        <w:spacing w:after="0" w:line="252"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retirement of any other Debt of the operating partnership or any of its Subsidiaries since the first day of such four-quarter period had occurred on the first day of such period (except that, in making this computation, the amount of Debt under any revolving credit facility, line of credit or similar facility will be computed based upon the average daily balance of such Debt during such period); and (3) in the case of any acquisition or disposition by the operating partnership or any of its Subsidiaries of any asset or group of assets with a fair market value (as determined by the Company in its reasonable discretion) in excess of $1.0 million since the first day of such four-quarter period, whether by merger, stock purchase or sale or asset purchase or sale or otherwise, such acquisition or disposition had occurred as of the first day of such period with the appropriate adjustments with respect to such acquisition or disposition being included in such pro forma calculation.</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Debt giving rise to the need to make the calculation described above or any other Debt incurred after the first day of the relevant four-quarter period bears interest at a floating rate, then, for purposes of calculating the Interest Expense, the interest rate on such Debt will be computed on a pro forma basis by applying the average daily rate which would have been in effect during the entire four quarter period to the greater of the amount of such Debt outstanding at the end of such period or the average amount of such Debt outstanding during such period.</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total unencumbered assets. </w:t>
      </w:r>
      <w:r>
        <w:rPr>
          <w:rFonts w:ascii="Times New Roman" w:cs="Times New Roman" w:eastAsia="Times New Roman" w:hAnsi="Times New Roman"/>
          <w:sz w:val="18"/>
          <w:szCs w:val="18"/>
          <w:color w:val="auto"/>
        </w:rPr>
        <w:t>The operating partnership will not have at any time Total Unencumbered Assets of less than 150%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aggregate principal amount of all of its and its Subsidiaries’ outstanding Unsecured Debt determined on a consolidated basis in accordance with GAAP.</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by the covenant described under “—Merger, consolidation or sale,” the operating partnership will do or cause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done all things necessary to preserve and keep in full force and effect its existence, rights (charter and statutory) and franchises, and each guarantor will do or cause to be done all things necessary to preserve and keep in full force and effect its existence, rights (charter and statutory) and franchises.</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However, neither the operating partnership nor any guarantor will be required to preserve any right or franchise if the Company’s board of directors (or any duly authorized committee of that board of directors), as the case may be, determines that the preservation of the right or franchise is no longer desirable in the conduct of our or such guarantor’s business, as the case may be.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20" w:h="16838" w:orient="portrait"/>
          <w:cols w:equalWidth="0" w:num="1">
            <w:col w:w="11140"/>
          </w:cols>
          <w:pgMar w:left="340" w:top="666" w:right="438"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The operating partnership will cause all of its properties used or useful in the conduct of its business or the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Subsidiary to be maintained and kept in good condition, repair and working order and supplied with all necessary equipment and cause all necessary repairs, renewals, replacements, betterments and improvements to be made, all as in the judgment of the operating partnership may be necessary in order for the operating partnership to at all times properly and advantageously conduct its business carried on in connection with such properties; provided that the operating partnership and its Subsidiaries shall be permitted to sell or transfer properties in the ordinary course of business.</w:t>
      </w:r>
    </w:p>
    <w:p>
      <w:pPr>
        <w:spacing w:after="0" w:line="179"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The operating partnership will, and will cause each of its Subsidiaries to, keep in force upon all of its and each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and operations insurance policies carried with responsible companies in such amounts and covering all such risks as is customary in the industry in which the operating partnership and its Subsidiaries do business in accordance with prevailing market conditions and availability.</w:t>
      </w:r>
    </w:p>
    <w:p>
      <w:pPr>
        <w:spacing w:after="0" w:line="17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The operating partnership and each guarantor will each pay or discharge or cause to be paid or discharged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it becomes delinquent:</w:t>
      </w:r>
    </w:p>
    <w:p>
      <w:pPr>
        <w:spacing w:after="0" w:line="64" w:lineRule="exact"/>
        <w:rPr>
          <w:sz w:val="20"/>
          <w:szCs w:val="20"/>
          <w:color w:val="auto"/>
        </w:rPr>
      </w:pPr>
    </w:p>
    <w:p>
      <w:pPr>
        <w:ind w:left="1120" w:right="560" w:hanging="448"/>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on it or any of its Subsidiaries or on its or any such Subsidiary’s income, profits or property; and</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that, if unpaid, might by law become a Lien upon its property or the property of any of its Subsidiaries.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However, neither the operating partnership nor any guarantor will be required to pay or discharge or cause to be paid or discharged any tax, assessment, charge or claim the amount, applicability or validity of which is being contested in good faith.</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For as long as the notes are outstanding, the Company will file with the trustee, within 15 days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required to file the same with the SEC, copies of the annual and quarterly reports and the information, documents and other reports (or copies of such portions of any of the foregoing as the SEC may from time to time by rules and regulations prescribe) that the Company may be required to file with the SEC pursuant to Section 13 or Section 15(d) of the Exchange Act; or, if the Company is not required to file information, documents or reports with the SEC pursuant to either Section 13 or Section 15(d) of the Exchange Act, the Company will file with the trustee and the SEC, in accordance with any other rules and regulations that may be prescribed from time to time by the SEC, such annual and quarterly reports and supplementary and periodic information, documents and reports that may be required pursuant to Section 13 of the Exchange Act, in respect of a security listed and registered on a national securities exchange as may be prescribed from time to time by the SEC in such rules and regulations.</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previous paragraph, for as long as the notes are outstanding, if at any time the Company is not subject to Section 13 or Section 15(d) of the Exchange Act and the Company is not providing annual and quarterly reports and supplementary and periodic information, documents and reports to the SEC and the trustee pursuant to the previous paragraph, the Company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 be applicable to a non-accelerated filer at that time pursuant to applicable SEC rules and regulations, the quarterly and audited annual financial statements and accompanying disclosure described in Item 303 of Regulation S-K (“management’s discussion and analysis of financial condition and results of operations”) that would be required to be contained in annual reports on Form 10-K and quarterly reports on Form 10-Q, respectively, required to be filed with the SEC if the Company were subject to Section 13(a) or Section 15(d) of the Exchange Act. If the Company elects to furnish such reports via a Confidential Datasite, access to such Confidential Datasite will be provided promptly upon request to holders and beneficial owners of, and bona fide potential investors in, the notes as well as securities analysts and market makers and no such request for access to such Confidential Datasite will be unreasonably denied.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20" w:h="16838" w:orient="portrait"/>
          <w:cols w:equalWidth="0" w:num="1">
            <w:col w:w="11140"/>
          </w:cols>
          <w:pgMar w:left="340" w:top="666" w:right="438"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Reports and other documents filed by the Company with the SEC and publicly available via the EDGAR system, a publicly available website or a Confidential Datasite will be deemed to be delivered to the trustee as of the time such filing is publicly available via EDGAR, such publicly available website or such Confidential Datasite for purposes of this covenant.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under the indenture or relating to the notes (as to which the trustee is entitled to certificates). The trustee shall not be obligated to monitor or confirm on a continuing basis or otherwise our compliance with the covenants or with respect to any reports or other documents filed with the SEC under the indenture. In addition, if the operating partnership becomes an SEC filer, the reports of the operating partnership will be deemed to satisfy the foregoing covenant.</w:t>
      </w:r>
    </w:p>
    <w:p>
      <w:pPr>
        <w:spacing w:after="0" w:line="192"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the event that any direct or indirect parent company of the Company becomes a guarantor of the notes, the Company may satisfy its obligations under this covenant to provide financial information of the Company by furnishing the equivalent financial information relating to such parent; provided that such equivalent financial information is accompanied by consolidating financial information that explains in reasonable detail the differences between the information for such parent, on the one hand, and the information for Company and its consolidated subsidiaries, on the other hand.</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For purposes of the covenants described under this caption “—Certain covenants,” Debt will be deemed to be incurred by the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or any of its Subsidiaries whenever the operating partnership or such Subsidiary shall create, assume, guarantee (on a non-contingent basis) or otherwise become liable in respect thereof. The covenants described under this caption “—Certain covenants” shall, insofar as they relate to the notes, be subject to covenant defeasance as described in the accompanying prospectus under “Description of Debt Securities and Guarantees—Defeasance of Debt Securities and Certain Covenants in Certain Circumstances—Defeasance of Certain Covenants,” provided that, notwithstanding the foregoing, the covenant of the operating partnership and the guarantors to do or cause to be done all things necessary to preserve and keep in full force and effect their respective existence (except as permitted by the provisions described under “—Merger, consolidation or sale”) and the provisions described above under “—Provision of financial information” shall not be subject to covenant defeasance. In addition, the operating partnership and the guarantors may omit in any particular instance to comply, insofar as relates to the notes, with any covenant described under this caption “—Certain covenants” if the holders of at least a majority in principal amount of the outstanding notes waive such compliance.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of the guarantors will fully and unconditionally guarantee, on a joint and several basis, the operating partnership’s obligations under the indenture and the notes, including the due and punctual payment of principal of and interest on the notes, whether at stated maturity, by declaration of acceleration, call for redemption or otherwise. Under the terms of the guarantors’ guarantee, holders of the notes will not be required to exercise their remedies against the operating partnership before they proceed directly against any guarantor. Each guarantor’s obligations under the guarantee of the notes will be limited to the maximum amount that will not, after giving effect to all other contingent and fixed liabilities of such guarantor, result in the guarantee of such guarantor constituting a fraudulent transfer or conveyance. See “Risk factors—Federal and state laws allow courts, under specific circumstances, to void guarantees and require holders of guaranteed debt to return payments received from guarantors.”</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guarantee of the notes will be a senior unsecured obligation of each guarantor and will rank equally in right of payment with all other existing and future senior unsecured indebtedness and senior unsecured guarantees of such guarantor. Each guarantor’s guarantee of the notes will be effectively subordinated in right of payment to:</w:t>
      </w:r>
    </w:p>
    <w:p>
      <w:pPr>
        <w:spacing w:after="0" w:line="81" w:lineRule="exact"/>
        <w:rPr>
          <w:sz w:val="20"/>
          <w:szCs w:val="20"/>
          <w:color w:val="auto"/>
        </w:rPr>
      </w:pPr>
    </w:p>
    <w:p>
      <w:pPr>
        <w:ind w:left="1120" w:right="140" w:hanging="448"/>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secured indebtedness and secured guarantees of such guarantor (to the extent of the value of the collateral securing such indebtedness and guarantees);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20" w:h="16838" w:orient="portrait"/>
          <w:cols w:equalWidth="0" w:num="1">
            <w:col w:w="11120"/>
          </w:cols>
          <w:pgMar w:left="340" w:top="666" w:right="458"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400" w:hanging="448"/>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indebtedness and other liabilities, whether secured or unsecured, of such guarantor’s subsidiaries (including the operating partnership) and of any entity such guarantor accounts for using the equity method of accounting; and</w:t>
      </w:r>
    </w:p>
    <w:p>
      <w:pPr>
        <w:spacing w:after="0" w:line="67" w:lineRule="exact"/>
        <w:rPr>
          <w:rFonts w:ascii="Times New Roman" w:cs="Times New Roman" w:eastAsia="Times New Roman" w:hAnsi="Times New Roman"/>
          <w:sz w:val="18"/>
          <w:szCs w:val="18"/>
          <w:color w:val="auto"/>
        </w:rPr>
      </w:pPr>
    </w:p>
    <w:p>
      <w:pPr>
        <w:ind w:left="1120" w:right="120" w:hanging="448"/>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and future preferred equity not owned by such guarantor in such guarantor’s subsidiaries (including the operating partnership) and in any entity such guarantor accounts for using the equity method of accounting.</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covenants in the indenture that will limit the ability of the operating partnership and its subsidiaries to incur indebtedness will not apply to the Company or the other guarantors.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guarantors have no material operations separate from the operation of the operating partnership and no material assets, other than their respective investments, directly or indirectly, in the operating partnership. Accordingly, if the operating partnership fails to make a payment on the notes when due, there can be no assurance that the guarantors would have funds to pay that amount pursuant to their guarantees. See “Risk factors—The Company and the other guarantors have no significant operations, other than as the operating partnership’s indirect general partner and indirect limited partner (in the case of the Company), direct general partner (in the case of ESS Holdings Business Trust I) and direct limited partner (in the case of ESS Holdings Business Trust II), and no material assets, other than their respective investments, directly or indirectly, in the operating partnership.”</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see “Risk Factors—The effective subordination of the notes may limit our ability to satisfy our obligations under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and each of the guarantors may consolidate with, or sell, lease or convey all or substantially all of our or its assets to, or merge with or into, any other entity, provided that the following conditions are met:</w:t>
      </w:r>
    </w:p>
    <w:p>
      <w:pPr>
        <w:spacing w:after="0" w:line="67" w:lineRule="exact"/>
        <w:rPr>
          <w:sz w:val="20"/>
          <w:szCs w:val="20"/>
          <w:color w:val="auto"/>
        </w:rPr>
      </w:pPr>
    </w:p>
    <w:p>
      <w:pPr>
        <w:ind w:left="1120" w:hanging="448"/>
        <w:spacing w:after="0" w:line="255"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or such guarantor, as the case may be, shall be the continuing entity, or the successor entity (if other than the operating partnership or such guarantor, as the case may be) formed by or resulting from any consolidation or merger or which shall have received the transfer of assets shall be domiciled in the United States, any state thereof or the District of Columbia and, in the case of the operating partnership, shall expressly assume by supplemental indenture payment of the principal of and interest on all of the notes and the due and punctual performance and observance of all of the covenants and conditions in the indenture or, in the case of such guarantor, shall expressly assume by supplemental indenture the payment of all amounts due under such guarantor’s guarantee of the notes and the due and punctual performance and observance of all of the covenants and conditions of such guarantor in the indenture;</w:t>
      </w:r>
    </w:p>
    <w:p>
      <w:pPr>
        <w:spacing w:after="0" w:line="94" w:lineRule="exact"/>
        <w:rPr>
          <w:rFonts w:ascii="Times New Roman" w:cs="Times New Roman" w:eastAsia="Times New Roman" w:hAnsi="Times New Roman"/>
          <w:sz w:val="18"/>
          <w:szCs w:val="18"/>
          <w:color w:val="auto"/>
        </w:rPr>
      </w:pPr>
    </w:p>
    <w:p>
      <w:pPr>
        <w:ind w:left="1120" w:right="80" w:hanging="448"/>
        <w:spacing w:after="0" w:line="282"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shall be delivered to the trustee.</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transaction described in and complying with the conditions listed in this “—Merger, consolidation or sale,” in which the operating partnership and/or any guarantor are not the continuing entity, the successor person formed or remaining shall succeed, and be substituted for, and may exercise every right and power of the operating partnership and/or such guarantor, and the operating partnership and/or such guarantor shall be discharged from its or their obligations under the notes and the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20" w:h="16838" w:orient="portrait"/>
          <w:cols w:equalWidth="0" w:num="1">
            <w:col w:w="11140"/>
          </w:cols>
          <w:pgMar w:left="340" w:top="666" w:right="438"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events are “Events of Default” with respect to the notes:</w:t>
      </w:r>
    </w:p>
    <w:p>
      <w:pPr>
        <w:spacing w:after="0" w:line="131" w:lineRule="exact"/>
        <w:rPr>
          <w:sz w:val="20"/>
          <w:szCs w:val="20"/>
          <w:color w:val="auto"/>
        </w:rPr>
      </w:pPr>
    </w:p>
    <w:p>
      <w:pPr>
        <w:ind w:left="1120" w:hanging="448"/>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of any installment of interest under the notes;</w:t>
      </w:r>
    </w:p>
    <w:p>
      <w:pPr>
        <w:spacing w:after="0" w:line="130" w:lineRule="exact"/>
        <w:rPr>
          <w:rFonts w:ascii="Times New Roman" w:cs="Times New Roman" w:eastAsia="Times New Roman" w:hAnsi="Times New Roman"/>
          <w:sz w:val="18"/>
          <w:szCs w:val="18"/>
          <w:color w:val="auto"/>
        </w:rPr>
      </w:pPr>
    </w:p>
    <w:p>
      <w:pPr>
        <w:ind w:left="1120" w:hanging="448"/>
        <w:spacing w:after="0" w:line="266"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or redemption price due with respect to the notes, when the same becomes due and payable; provided, however, that a valid extension of the maturity of the notes in accordance with the terms of the indenture shall not constitute a default in the payment of principal;</w:t>
      </w:r>
    </w:p>
    <w:p>
      <w:pPr>
        <w:spacing w:after="0" w:line="81" w:lineRule="exact"/>
        <w:rPr>
          <w:rFonts w:ascii="Times New Roman" w:cs="Times New Roman" w:eastAsia="Times New Roman" w:hAnsi="Times New Roman"/>
          <w:sz w:val="18"/>
          <w:szCs w:val="18"/>
          <w:color w:val="auto"/>
        </w:rPr>
      </w:pPr>
    </w:p>
    <w:p>
      <w:pPr>
        <w:ind w:left="1120" w:right="200" w:hanging="448"/>
        <w:spacing w:after="0" w:line="261"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any of the guarantors to comply with any of our or such guarantor’s respective other agreements in the notes or the indenture with respect to the notes upon receipt by us of notice of such default by the trustee or by holders of not less than 25% in aggregate principal amount of the notes then outstanding and our failure to cure (or obtain a waiver of) such default within 60 days after we receive such notice;</w:t>
      </w:r>
    </w:p>
    <w:p>
      <w:pPr>
        <w:spacing w:after="0" w:line="85" w:lineRule="exact"/>
        <w:rPr>
          <w:rFonts w:ascii="Times New Roman" w:cs="Times New Roman" w:eastAsia="Times New Roman" w:hAnsi="Times New Roman"/>
          <w:sz w:val="18"/>
          <w:szCs w:val="18"/>
          <w:color w:val="auto"/>
        </w:rPr>
      </w:pPr>
    </w:p>
    <w:p>
      <w:pPr>
        <w:ind w:left="1120" w:right="120" w:hanging="448"/>
        <w:spacing w:after="0" w:line="256"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Debt (other than Non-Recourse Debt) for monies borrowed by the operating partnership, any guarantor or any of their respective Significant Subsidiaries in an outstanding principal amount in excess of $100.0 million at final maturity or upon acceleration after the expiration of any applicable grace period, which Debt (other than Non-Recourse Debt) is, or has become, the primary obligation of the operating partnership or such guarantor and is not discharged, or such default in payment or acceleration is not cured or rescinded, within 60 days after written notice to the operating partnership from the trustee (or to the operating partnership and the trustee from holders of at least twenty five percent (25%) in principal amount of the outstanding notes); or</w:t>
      </w:r>
    </w:p>
    <w:p>
      <w:pPr>
        <w:spacing w:after="0" w:line="92" w:lineRule="exact"/>
        <w:rPr>
          <w:rFonts w:ascii="Times New Roman" w:cs="Times New Roman" w:eastAsia="Times New Roman" w:hAnsi="Times New Roman"/>
          <w:sz w:val="18"/>
          <w:szCs w:val="18"/>
          <w:color w:val="auto"/>
        </w:rPr>
      </w:pPr>
    </w:p>
    <w:p>
      <w:pPr>
        <w:ind w:left="1120" w:hanging="448"/>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us, the Company, any other guarantor or any of their respective Significant Subsidiaries or all or substantially all of their respective property.</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the notes occurs and is continuing (other than an Event of Default specified in the last bullet above with respect to us, which shall result in an automatic acceleration), then in every case the trustee or the holders of not less than 25% in principal amount of the outstanding notes may declare the principal amount of all of the notes to be due and payable immediately by written notice thereof to us and the Company (and to the trustee if given by the holders). However, at any time after the declaration of acceleration with respect to the notes has been made, but before a judgment or decree for payment of the money due has been obtained by the trustee, the holders of not less than a majority in principal amount of outstanding notes may waive all defaults or Events of Default and rescind and annul such declaration and its consequences if all Events of Default, other than the non-payment of accelerated principal of (or specified portion thereof) or interest on the notes have been cured or waived as provided in the indenture.</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waive any past default with respect to the notes and its consequences, except a default:</w:t>
      </w:r>
    </w:p>
    <w:p>
      <w:pPr>
        <w:spacing w:after="0" w:line="67" w:lineRule="exact"/>
        <w:rPr>
          <w:sz w:val="20"/>
          <w:szCs w:val="20"/>
          <w:color w:val="auto"/>
        </w:rPr>
      </w:pPr>
    </w:p>
    <w:p>
      <w:pPr>
        <w:ind w:left="1120" w:hanging="448"/>
        <w:spacing w:after="0" w:line="282"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the premium, if any, or interest on the notes, unless such default has been cured and we, the Company or any other guarantor shall have deposited with the trustee all required payments of the principal of and interest on the notes; or</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indenture that cannot be modified or amended without the consent of the holder of each outstanding note affected thereby.</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the notes of a default under the indenture unless the default has been cured or waived within 90 days; provided, however, that the trustee may withhold notice to the holders of the notes of any default with respect to the notes (except a default in the payment of the principal of or interest on the notes) if a responsible officer of the trustee considers the withholding to be in the interest of the 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20" w:h="16838" w:orient="portrait"/>
          <w:cols w:equalWidth="0" w:num="1">
            <w:col w:w="11120"/>
          </w:cols>
          <w:pgMar w:left="340" w:top="666" w:right="458"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 holder of the notes may institute any proceedings, judicial or otherwise, with respect to the indenture or for any remedy thereunder, except in the case of failure of the trustee, for 60 days, to act after it has received a written request to institute proceedings in respect of an Event of Default from the holders of not less than 25% in principal amount of the outstanding notes, as well as an offer of indemnity or security satisfactory to the trustee against any loss, cost, liability or expense. This provision will not prevent, however, any holder of the notes from instituting suit for the enforcement of payment of the principal of and interest on the notes at the respective due dates thereof.</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trustee is under no obligation to exercise any of its rights or powers under the indenture at the request or direction of any holders of the notes then outstanding under the indenture, unless the holders shall have offered, and, if requested, provided to the trustee security or indemnity satisfactory to the trustee against any loss, cost, liability or expense. The holders of not less than a majority in principal amount of the outstanding notes (or of all notes then outstanding under the indenture, as the case may be) shall have the right to direct the time, method and place of conducting any proceeding for any remedy available to the trustee, or of exercising any trust or power conferred upon the trustee. The trustee, however, may refuse to follow any direction that conflicts with law or the indenture or that the trustee determines is unduly prejudicial to the rights of any other holder or that would involve the trustee in personal liability. The indenture provides that, if an event of default occurs and is continuing, the trustee will exercise its rights and powers under the indenture, and use the same degree of care and skill in exercising the same, as a prudent person would exercise or use under the circumstances in the conduct of such person’s own affairs and, to be indemnified by the holders of notes against any loss, costs liability, claim, or expense before proceeding to exercise any right or power under the indenture at the written request of such holders. The rights of holders of the notes to pursue remedies with respect to the indenture and the notes are subject to a number of additional requirements set forth in the indenture.</w:t>
      </w:r>
    </w:p>
    <w:p>
      <w:pPr>
        <w:spacing w:after="0" w:line="19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of the Company, the operating partnership and the Company must deliver a certificate of an officer certifying to the trustee whether or not the officer has knowledge of any default under the indenture and, if so, specifying each default and the nature and status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satisfaction and discharge of the notes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subject to the defeasance and satisfaction and discharge provisions of the accompanying prospectus under the captions “Description of Debt Securities and Guarantees—Defeasance of Debt Securities and Certain Covenants in Certain Circumstances” and “Description of Debt Securities and Guarantees—Satisfaction and Discharge”.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waiver and meetings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Modifications and amendments of the indenture with respect to the notes will be permitted to be made only with the consent of the holders of not less than a majority in principal amount of all outstanding notes; provided, however, that no modification or amendment may, without the consent of each holder affected:</w:t>
      </w:r>
    </w:p>
    <w:p>
      <w:pPr>
        <w:spacing w:after="0" w:line="81" w:lineRule="exact"/>
        <w:rPr>
          <w:sz w:val="20"/>
          <w:szCs w:val="20"/>
          <w:color w:val="auto"/>
        </w:rPr>
      </w:pPr>
    </w:p>
    <w:p>
      <w:pPr>
        <w:ind w:left="1120" w:hanging="44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notes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the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if any, on, or change the stated maturity of, the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120" w:right="60" w:hanging="448"/>
        <w:spacing w:after="0" w:line="266"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if any, or interest on, the notes payable in any currency other than that stated in the notes;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20" w:h="16838" w:orient="portrait"/>
          <w:cols w:equalWidth="0" w:num="1">
            <w:col w:w="11100"/>
          </w:cols>
          <w:pgMar w:left="340" w:top="666" w:right="478"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120" w:right="20" w:hanging="448"/>
        <w:spacing w:after="0" w:line="266"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the notes to receive payment of the principal of, or premium, if any, and interest on, the notes and to institute suit for the enforcement of any such payment and to waivers or amendments;</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the notes; or</w:t>
      </w:r>
    </w:p>
    <w:p>
      <w:pPr>
        <w:spacing w:after="0" w:line="130" w:lineRule="exact"/>
        <w:rPr>
          <w:rFonts w:ascii="Times New Roman" w:cs="Times New Roman" w:eastAsia="Times New Roman" w:hAnsi="Times New Roman"/>
          <w:sz w:val="18"/>
          <w:szCs w:val="18"/>
          <w:color w:val="auto"/>
        </w:rPr>
      </w:pPr>
    </w:p>
    <w:p>
      <w:pPr>
        <w:ind w:left="1120" w:right="120" w:hanging="448"/>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Company or any other guarantor as a guarantor of the notes other than as provided in the indenture or modify the guarantee in any manner adverse to the holders of the notes.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modifications and amendments of the indenture with respect to the notes will be permitted to be made by us and the trustee without the consent of any holder of the notes for any of the following purposes:</w:t>
      </w:r>
    </w:p>
    <w:p>
      <w:pPr>
        <w:spacing w:after="0" w:line="67" w:lineRule="exact"/>
        <w:rPr>
          <w:sz w:val="20"/>
          <w:szCs w:val="20"/>
          <w:color w:val="auto"/>
        </w:rPr>
      </w:pPr>
    </w:p>
    <w:p>
      <w:pPr>
        <w:ind w:left="1120" w:right="140" w:hanging="448"/>
        <w:spacing w:after="0" w:line="282"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provided that this action shall not adversely affect the interests of holders of the notes in any material respect;</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covenants in the indenture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with respect to the notes or secure the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successor to us as obligor or any guarantor as guarantor under the indenture with respect to the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any notes;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the holders of any notes then outstanding in any material respect;</w:t>
      </w:r>
    </w:p>
    <w:p>
      <w:pPr>
        <w:spacing w:after="0" w:line="130" w:lineRule="exact"/>
        <w:rPr>
          <w:rFonts w:ascii="Times New Roman" w:cs="Times New Roman" w:eastAsia="Times New Roman" w:hAnsi="Times New Roman"/>
          <w:sz w:val="18"/>
          <w:szCs w:val="18"/>
          <w:color w:val="auto"/>
        </w:rPr>
      </w:pPr>
    </w:p>
    <w:p>
      <w:pPr>
        <w:ind w:left="1120" w:right="40" w:hanging="448"/>
        <w:spacing w:after="0" w:line="312" w:lineRule="auto"/>
        <w:tabs>
          <w:tab w:leader="none" w:pos="1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additional notes in accordance with the limitations set forth in the indenture, or change any of the provisions of the indenture as may be necessary to provide for or facilitate the administration of the trusts hereunder by a successor trustee;</w:t>
      </w:r>
    </w:p>
    <w:p>
      <w:pPr>
        <w:spacing w:after="0" w:line="45" w:lineRule="exact"/>
        <w:rPr>
          <w:rFonts w:ascii="Times New Roman" w:cs="Times New Roman" w:eastAsia="Times New Roman" w:hAnsi="Times New Roman"/>
          <w:sz w:val="17"/>
          <w:szCs w:val="17"/>
          <w:color w:val="auto"/>
        </w:rPr>
      </w:pPr>
    </w:p>
    <w:p>
      <w:pPr>
        <w:ind w:left="1120" w:right="160" w:hanging="448"/>
        <w:spacing w:after="0" w:line="282"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notes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any guarantor, as guarantor, in accordance with the provisions of the indenture; or</w:t>
      </w:r>
    </w:p>
    <w:p>
      <w:pPr>
        <w:spacing w:after="0" w:line="130" w:lineRule="exact"/>
        <w:rPr>
          <w:rFonts w:ascii="Times New Roman" w:cs="Times New Roman" w:eastAsia="Times New Roman" w:hAnsi="Times New Roman"/>
          <w:sz w:val="18"/>
          <w:szCs w:val="18"/>
          <w:color w:val="auto"/>
        </w:rPr>
      </w:pPr>
    </w:p>
    <w:p>
      <w:pPr>
        <w:ind w:left="1120" w:right="340" w:hanging="448"/>
        <w:spacing w:after="0" w:line="266"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any guarantee or the notes to any provision of this “Description of Notes” to the extent that such provision in this “Description of Notes” was intended to be a verbatim recitation of a provision of the indenture, such guarantee or the notes (as certified in an officer’s certificate).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without the consent of any holder of the notes, the Company, or a subsidiary thereof, may directly assume the due and punctual payment of the principal of, any premium and interest on all the notes and the performance of every covenant of the indenture on our part to be performed or observed. Upon any assumption, the Company or such subsidiary shall succeed us, and be substituted for and may exercise every right and power of ours, under the indenture with the same effect as if the Company or such subsidiary had been the issuer of the notes, and the operating partnership shall be released from all obligations and covenants with respect to the notes. No assumption shall be permitted unless the Company has delivered to the trustee (1) 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20" w:h="16838" w:orient="portrait"/>
          <w:cols w:equalWidth="0" w:num="1">
            <w:col w:w="11100"/>
          </w:cols>
          <w:pgMar w:left="340" w:top="666" w:right="478"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officer’s certificate and an opinion of counsel, stating, among other things, that the guarantee and all other covenants of the Company in the indenture remain in full force and effect and (2) an opinion of independent counsel that the holders of the notes shall have no materially adverse U.S. federal tax consequences as a result of the assumption, and that, if any notes are then listed on the New York Stock Exchange, that the notes shall not be delisted as a result of the assumption.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notes have given any request, demand, authorization, direction, notice, consent or waiver thereunder or whether a quorum is present at a meeting of holders of notes, the indenture provides that notes owned by us, any guarantor or any other obligor upon the notes or any affiliate of ours, such guarantor or any of the other obligors known to a responsible officer of the trustee shall be disregarded.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indenture will contain provisions for convening meetings of the holders of notes. A meeting will be permitted to be called at any time by the trustee, and also, upon request, by us or the Company or the holders of at least 10% in principal amount of the outstanding notes, in any case upon notice given as provided in the indenture. Except for any consent that must be given by the holder of each note affected by certain modifications and amendments of the indenture, any resolution presented at a meeting or adjourned meeting duly reconvened at which a quorum is present will be permitted to be adopted only by the affirmative vote of the holders of a majority in principal amount of the outstanding notes;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notes may be adopted at a meeting or an adjourned meeting duly reconvened and at which a quorum is present by the affirmative vote of the holders of the specified percentage in principal amount of the outstanding notes. Any resolution passed or decision taken at any meeting of holders of notes duly held in accordance with the indenture will be binding on all holders of the notes. The quorum at any meeting called to adopt a resolution, and at any reconvened meeting, will be holders holding or representing a majority in principal amount of the outstanding notes; provided, however, that if any action is to be taken at the meeting with respect to a consent or waiver which may be given by the holders of not less than a specified percentage in principal amount of the outstanding notes, holders holding or representing the specified percentage in principal amount of the outstanding notes will constitute a quorum.</w:t>
      </w:r>
    </w:p>
    <w:p>
      <w:pPr>
        <w:spacing w:after="0" w:line="187"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any action to be taken at a meeting of holders of the notes with respect to any action that the indenture expressly provides may be taken by the holders of a specified percentage which is less than a majority in principal amount of the outstanding notes may be taken at a meeting at which a quorum is present by the affirmative vote of holders of the specified percentage in principal amount of the outstanding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will initially act as the trustee, registrar and paying agent for the notes, subject to replacement at the operating partnership’s option as provided in the indenture. Computershare Trust Company, N.A. (as successor to Wells Fargo Bank, National Association), in each of its capacities, including without limitation as trustee, registrar and paying agent for the notes, assumes no responsibility for the accuracy and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The trustee or its affiliates may from time to time in the future provide banking and other services to us in the ordinary course of their business.</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would exercise or use under the circumstances in the conduct of its own affairs. The trustee will become obligated to exercise any of its powers under the indenture at the written request of any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20" w:h="16838" w:orient="portrait"/>
          <w:cols w:equalWidth="0" w:num="1">
            <w:col w:w="11140"/>
          </w:cols>
          <w:pgMar w:left="340" w:top="666" w:right="438"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holders of the required percentage under the indenture of holders of the notes only after those holders have offered, and, if requested, provided the trustee indemnity or security satisfactory to it.</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trustee becomes one of our creditors, it will be subject to limitations on its rights to obtain payment of claims or to realize on some property received for any such claim, as security or otherwise. The trustee is permitted to engage in other transactions with the operating partnership. If, however, it acquires any conflicting interest, it must eliminate that conflict or resign.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Notices to holders of the notes will be given pursuant to the procedures in the base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“Description of Notes,” the following defined terms have the meanings indicated: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“Acquired Debt” means Debt of a person:</w:t>
      </w:r>
    </w:p>
    <w:p>
      <w:pPr>
        <w:spacing w:after="0" w:line="131" w:lineRule="exact"/>
        <w:rPr>
          <w:sz w:val="20"/>
          <w:szCs w:val="20"/>
          <w:color w:val="auto"/>
        </w:rPr>
      </w:pPr>
    </w:p>
    <w:p>
      <w:pPr>
        <w:ind w:left="1120" w:right="300" w:hanging="44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such person is merged or consolidated with or into the operating partnership or any of its Subsidiaries or becomes a Subsidiary of the operating partnership; or</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by the operating partnership or any of its Subsidiaries in connection with the acquisition of assets from such person.</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Acquired Debt shall be deemed to be incurred on the date the acquired person is merged or consolidated with or into the operating partnership or any of its Subsidiaries or becomes a Subsidiary of the operating partnership or the date of the related acquisition, as the case may be.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“Capitalized Property Value” means, with respect to any person, (a) Property EBITDA of such person for the four (4) consecutive fiscal quarters ended on the last day of the then most recently ended fiscal quarter covered in the Company’s annual or quarterly report most recently furnished to holders of the notes or filed with the SEC, as the case may be, divided by (b) 6.75%.</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“Capitalized Tenant Insurance Value” means (a) cash distributions and cash royalties received by the operating partnership or any of its Subsidiaries (other than any Captive Insurance Subsidiary) with respect to Tenant Insurance Contracts for the four (4) consecutive fiscal quarters ended on the last day of the then most recently ended fiscal quarter covered in the Company’s annual or quarterly report most recently furnished to holders of the notes or filed with the SEC, as the case may be (excluding cash distributions and cash royalties in respect of properties that are 100% owned in fee simple by the operating partnership or any of its Subsidiaries) divided by (b) 12.5%.</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“Captive Insurance Subsidiary” means any wholly owned Subsidiary of the operating partnership that (a) has no Subsidiaries other than Captive Insurance Subsidiaries, (b) is a captive insurance company established for the primary purpose of entering into tenant insurance contracts and (c) is subject to regulation as an insurance company.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“Customary Recourse Exceptions” means, with respect to any Debt, personal recourse that is limited to fraud, misrepresentation, misapplication of cash, waste, environmental claims and liabilities, prohibited transfers, violations of single-purpose entity covenants, voluntary insolvency proceedings and other circumstances customarily excluded by institutional lenders from exculpation provisions and/or included in separate guaranty or indemnification agreements in non-recourse financing of real property.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20" w:h="16838" w:orient="portrait"/>
          <w:cols w:equalWidth="0" w:num="1">
            <w:col w:w="11140"/>
          </w:cols>
          <w:pgMar w:left="340" w:top="666" w:right="438"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“Debt” means, without duplication, with respect to any person, such person’s Pro Rata Share of the aggregate principal amount of indebtedness in respect of:</w:t>
      </w:r>
    </w:p>
    <w:p>
      <w:pPr>
        <w:spacing w:after="0" w:line="67" w:lineRule="exact"/>
        <w:rPr>
          <w:sz w:val="20"/>
          <w:szCs w:val="20"/>
          <w:color w:val="auto"/>
        </w:rPr>
      </w:pPr>
    </w:p>
    <w:p>
      <w:pPr>
        <w:ind w:left="1120" w:hanging="55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money evidenced by bonds, notes, debentures or similar instruments, as determined in accordance with GAAP,</w:t>
      </w:r>
    </w:p>
    <w:p>
      <w:pPr>
        <w:spacing w:after="0" w:line="130" w:lineRule="exact"/>
        <w:rPr>
          <w:rFonts w:ascii="Times New Roman" w:cs="Times New Roman" w:eastAsia="Times New Roman" w:hAnsi="Times New Roman"/>
          <w:sz w:val="18"/>
          <w:szCs w:val="18"/>
          <w:color w:val="auto"/>
        </w:rPr>
      </w:pPr>
    </w:p>
    <w:p>
      <w:pPr>
        <w:ind w:left="1120" w:right="140" w:hanging="558"/>
        <w:spacing w:after="0" w:line="266"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any mortgage, pledge, lien, charge, encumbrance or any security interest existing on Property or other assets owned by such person or any of its Subsidiaries directly, or indirectly through unconsolidated joint ventures, as determined in accordance with GAAP,</w:t>
      </w:r>
    </w:p>
    <w:p>
      <w:pPr>
        <w:spacing w:after="0" w:line="81"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in connection with any letters of credit actually issued and called, and</w:t>
      </w:r>
    </w:p>
    <w:p>
      <w:pPr>
        <w:spacing w:after="0" w:line="130"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of property by such person or any of its Subsidiaries as lessee which is reflected in such person’s balance sheet as a finance lease, in accordance with GAAP;</w:t>
      </w:r>
    </w:p>
    <w:p>
      <w:pPr>
        <w:spacing w:after="0" w:line="160"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Debt also includes, to the extent not otherwise included, any obligation by such person or any of its Subsidiaries to be liable for, or to pay,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obligor, guarantor or otherwise, items of indebtedness of another person (other than the operating partnership or any Subsidiary) described in clauses</w:t>
      </w:r>
    </w:p>
    <w:p>
      <w:pPr>
        <w:spacing w:after="0" w:line="1" w:lineRule="exact"/>
        <w:rPr>
          <w:sz w:val="20"/>
          <w:szCs w:val="20"/>
          <w:color w:val="auto"/>
        </w:rPr>
      </w:pPr>
    </w:p>
    <w:p>
      <w:pPr>
        <w:ind w:left="120" w:right="20" w:firstLine="1"/>
        <w:spacing w:after="0" w:line="253"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(iv) above (or, in the case of any such obligation made jointly with another person other than obligations to be liable for the Debt of another person solely as a result of Customary Recourse Exceptions (it being understood that Debt shall be deemed to be incurred by such person whenever such person shall create, assume, guarantee or otherwise become liable in respect thereof), such person’s or its Subsidiary’s allocable portion of such obligation based on its ownership interest in the related real estate assets or such other applicable assets);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Debt excludes Intercompany Debt and operating lease liabilities reflected in such person’s balance sheet in accordance with GAAP.</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“Development Property” means a Property currently under development on which the improvements have not been completed, or a Property where development has been completed as evidenced by a certificate of occupancy for the entire Property for the 36 month period following the issuance of such certificate of occupancy (provided that the operating partnership may at its option elect to remove a Property from the category of Development Properties prior to the completion of the 36-month period, but any such Property may not be reclassified as a Development Property). The term “Development Property” shall include real property of the type described in the immediately preceding sentence to be (but not yet) acquired by the operating partnership, any Subsidiary or any joint venture of the operating partnership upon completion of construction pursuant to a contract in which the seller of such real property is required to develop or renovate prior to, and as a condition precedent to, such acquisition.</w:t>
      </w:r>
    </w:p>
    <w:p>
      <w:pPr>
        <w:spacing w:after="0" w:line="18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“EBITDA” means, with respect to any person, for any period and without duplication, net earnings (loss) of such person for such period (including Tenant Insurance Operating Income in respect of properties that are 100% owned in fee simple by the operating partnership or any of its Subsidiaries) excluding the impact of the following amounts with respect to any person (but only to the extent included in determining net earnings (loss) for such period):</w:t>
      </w:r>
    </w:p>
    <w:p>
      <w:pPr>
        <w:spacing w:after="0" w:line="85" w:lineRule="exact"/>
        <w:rPr>
          <w:sz w:val="20"/>
          <w:szCs w:val="20"/>
          <w:color w:val="auto"/>
        </w:rPr>
      </w:pPr>
    </w:p>
    <w:p>
      <w:pPr>
        <w:ind w:left="1120" w:hanging="55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and other non-cash charges of such person for such period;</w:t>
      </w:r>
    </w:p>
    <w:p>
      <w:pPr>
        <w:spacing w:after="0" w:line="130"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of such person for such period;</w:t>
      </w:r>
    </w:p>
    <w:p>
      <w:pPr>
        <w:spacing w:after="0" w:line="130"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of such person in respect of such period;</w:t>
      </w:r>
    </w:p>
    <w:p>
      <w:pPr>
        <w:spacing w:after="0" w:line="130" w:lineRule="exact"/>
        <w:rPr>
          <w:rFonts w:ascii="Times New Roman" w:cs="Times New Roman" w:eastAsia="Times New Roman" w:hAnsi="Times New Roman"/>
          <w:sz w:val="18"/>
          <w:szCs w:val="18"/>
          <w:color w:val="auto"/>
        </w:rPr>
      </w:pPr>
    </w:p>
    <w:p>
      <w:pPr>
        <w:ind w:left="1120" w:hanging="55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and nonrecurring gains and losses of such person for such period, including without limitation, gains and losses from the sale of assets, write-offs and forgiveness of debt, foreign currency translation gains or losses; and</w:t>
      </w:r>
    </w:p>
    <w:p>
      <w:pPr>
        <w:spacing w:after="0" w:line="67" w:lineRule="exact"/>
        <w:rPr>
          <w:rFonts w:ascii="Times New Roman" w:cs="Times New Roman" w:eastAsia="Times New Roman" w:hAnsi="Times New Roman"/>
          <w:sz w:val="18"/>
          <w:szCs w:val="18"/>
          <w:color w:val="auto"/>
        </w:rPr>
      </w:pPr>
    </w:p>
    <w:p>
      <w:pPr>
        <w:ind w:left="1120" w:hanging="55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net income of non-controlling interests.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“Equity Interests” means, with respect to any person, any share of capital stock of (or other ownership or profit interests in) such person, any warrant, option or other right for the purchase or other acquisition from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20" w:h="16838" w:orient="portrait"/>
          <w:cols w:equalWidth="0" w:num="1">
            <w:col w:w="11140"/>
          </w:cols>
          <w:pgMar w:left="340" w:top="666" w:right="438"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“Fair Market Value” means, (a) with respect to a security listed (or an unlisted convertible security that is convertible into a security listed) on Nasdaq or that has trading privileges on the New York Stock Exchange, the NYSE American, or another recognized national United States securities exchange, the London Stock Exchange, Euronext or another recognized European securities exchange, the price of such security as reported on such exchange or market by any widely recognized reporting method customarily relied upon by financial institutions, and (b) with respect to any other asset, book value (determined in accordance with GAAP).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“GAAP” means accounting principles generally accepted in the United States of America, consistently applied, as in effect from time to time.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“Intercompany Debt” means, as of any date, Debt to which the only parties are the operating partnership and any of its Subsidiaries, but only so long as that Debt is held solely by any of the operating partnership and any of its Subsidiaries as of that date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Debt owed by the operating partnership to any Subsidiary, the Debt is subordinated in right of payment to the holders of the notes.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means, with respect to any person, for any period, such person’s Pro Rata Share of interest expense for such period, with other adjustments as are necessary to exclude: (i) the effect of items classified as extraordinary items, in accordance with GAAP; (ii) amortization of debt issuance costs; (iii) prepayment penalties and (iv) non-cash swap ineffectiveness charges.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“Lien” means any mortgage, deed of trust, lien, charge, pledge, security interest, security agreement, or other encumbrance of any kind, provided that in no event shall an operating lease in and of itself be deemed to constitute a Lien.</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“Marketable Securities” means: (a) common or preferred Equity Interests which are listed on Nasdaq or have trading privileges on the New York Stock Exchange, the NYSE American, or another recognized national United States securities exchange, the London Stock Exchange, Euronext or another recognized European securities exchange; (b) convertible securities which can be converted at any time into common or preferred Equity Interests of the type described in the immediately preceding clause (a); and (c) securities evidencing indebtedness issued by persons which have an investment grade credit rating by a nationally recognized statistical rating 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Marketable Securities shall not include any securities that are considered cash equivalents.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“Non-Recourse Debt” means Debt of a Subsidiary of the operating partnership (or an entity in which the operating partnership is the general partner or managing member) that is directly or indirectly secured by real estate assets or other real estate-related assets (including equity interests) of a Subsidiary of the operating partnership (or entity in which the operating partnership is the general partner or managing member) that is the borrower and is non-recourse to the operating partnership or any Subsidiary of the operating partnership (other than pursuant to a Permitted Non-Recourse Guarantee and other than with respect to the Subsidiary of the operating partnership (or entity in which the operating partnership is the general partner or managing member) that is the borrower); provided, further, that, if any such Debt is partially recourse to the operating partnership or any Subsidiary of the operating partnership (other than pursuant to a Permitted Non-Recourse Guarantee and other than with respect to the Subsidiary of the operating partnership (or entity in which the operating partnership is the general partner or managing member) that is the borrower) and therefore does not meet the criteria set forth above, only the portion of such Debt that does meet the criteria set forth above shall constitute “Non-Recourse Debt.”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20" w:h="16838" w:orient="portrait"/>
          <w:cols w:equalWidth="0" w:num="1">
            <w:col w:w="11120"/>
          </w:cols>
          <w:pgMar w:left="340" w:top="666" w:right="458"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“Permitted Non-Recourse Guarantees” means customary completion or budget guarantees or indemnities (including by means of separate indemnification agreements and carve-out guarantees) provided under Non-Recourse Debt in the ordinary course of business by the operating partnership or any Subsidiary of the operating partnership in financing transactions that are directly or indirectly secured by real estate assets or other real estate-related assets (including equity interests) of a Subsidiary of the operating partnership (or entity in which the operating partnership is the general partner or managing member), in each case that is the borrower in such financing, but is non-recourse to the operating partnership or any of the operating partnership’s other Subsidiaries, except for customary completion or budget guarantees or indemnities (including by means of separate indemnification agreements or carve-out guarantees) as are consistent with customary industry practice (such as environmental indemnities and recourse triggers based on violation of transfer restrictions and other customary exceptions to nonrecourse liability).</w:t>
      </w:r>
    </w:p>
    <w:p>
      <w:pPr>
        <w:spacing w:after="0" w:line="19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 Rata Share” means, with respect to any person, any applicable figure or measure of such person and its Subsidiaries on a consolidated basis, less any portion attributable to non-controlling interests, plus such person’s or its Subsidiaries’ allocable portion of such figure or measure, based on their ownership interest, of unconsolidated joint ventures.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means a parcel (or group of related parcels) of real property.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“Property EBITDA” means, with respect to any person, for any period, such person’s Pro Rata Share of EBITDA for such period adjusted to add back the impact of corporate level general and administrative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Subsidiary” of any specified person means any Subsidiary in which such person has invested at least $100.0 million in capital.</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“Subsidiary” means, for any person (as defined in the indenture, but excluding an individual, government or any agency or political subdivision thereof),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“Tenant Insurance Contract” means an insurance or reinsurance contract or agreement under which any Captive Insurance Subsidiary provides insurance or reinsurance in respect of tenant insurance related to a self-storage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“Tenant Insurance Operating Income” means, for any period, an amount equal to (a) the Tenant Insurance Revenue for such period minus</w:t>
      </w:r>
    </w:p>
    <w:p>
      <w:pPr>
        <w:spacing w:after="0" w:line="27" w:lineRule="exact"/>
        <w:rPr>
          <w:sz w:val="20"/>
          <w:szCs w:val="20"/>
          <w:color w:val="auto"/>
        </w:rPr>
      </w:pPr>
    </w:p>
    <w:p>
      <w:pPr>
        <w:ind w:left="120" w:right="240" w:firstLine="1"/>
        <w:spacing w:after="0" w:line="260"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attributable tenant insurance and reinsurance expenses (excluding royalty expenses paid to the operating partnership or any of its wholly owned Subsidiaries) of the applicable Captive Insurance Subsidiaries pursuant to Tenant Insurance Contracts for such period.</w:t>
      </w:r>
    </w:p>
    <w:p>
      <w:pPr>
        <w:spacing w:after="0" w:line="18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“Tenant Insurance Revenue” means, for any period, the aggregate revenues for such period earned by the Captive Insurance Subsidiaries from providing tenant insurance or reinsurance services under Tenant Insurance Contracts.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20" w:h="16838" w:orient="portrait"/>
          <w:cols w:equalWidth="0" w:num="1">
            <w:col w:w="11100"/>
          </w:cols>
          <w:pgMar w:left="340" w:top="666" w:right="478"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Assets” means, with respect to any person, as of any date, the sum (without duplication) of:</w:t>
      </w:r>
    </w:p>
    <w:p>
      <w:pPr>
        <w:spacing w:after="0" w:line="131" w:lineRule="exact"/>
        <w:rPr>
          <w:sz w:val="20"/>
          <w:szCs w:val="20"/>
          <w:color w:val="auto"/>
        </w:rPr>
      </w:pPr>
    </w:p>
    <w:p>
      <w:pPr>
        <w:ind w:left="1120" w:right="20" w:hanging="558"/>
        <w:spacing w:after="0" w:line="312" w:lineRule="auto"/>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Capitalized Property Value of such person and its Subsidiaries, excluding Capitalized Property Value attributable to Properties acquired or disposed of by such person or Subsidiary during the four consecutive quarters ending on such date and Development Properties;</w:t>
      </w:r>
    </w:p>
    <w:p>
      <w:pPr>
        <w:spacing w:after="0" w:line="45" w:lineRule="exact"/>
        <w:rPr>
          <w:rFonts w:ascii="Times New Roman" w:cs="Times New Roman" w:eastAsia="Times New Roman" w:hAnsi="Times New Roman"/>
          <w:sz w:val="17"/>
          <w:szCs w:val="17"/>
          <w:color w:val="auto"/>
        </w:rPr>
      </w:pPr>
    </w:p>
    <w:p>
      <w:pPr>
        <w:ind w:left="1120" w:hanging="55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Tenant Insurance Value of such person and its Subsidiaries;</w:t>
      </w:r>
    </w:p>
    <w:p>
      <w:pPr>
        <w:spacing w:after="0" w:line="130" w:lineRule="exact"/>
        <w:rPr>
          <w:rFonts w:ascii="Times New Roman" w:cs="Times New Roman" w:eastAsia="Times New Roman" w:hAnsi="Times New Roman"/>
          <w:sz w:val="18"/>
          <w:szCs w:val="18"/>
          <w:color w:val="auto"/>
        </w:rPr>
      </w:pPr>
    </w:p>
    <w:p>
      <w:pPr>
        <w:ind w:left="1120" w:right="100" w:hanging="55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(excluding tenant deposits and other cash and cash equivalents the disposition of which is restricted) of such person and its Subsidiaries at such time;</w:t>
      </w:r>
    </w:p>
    <w:p>
      <w:pPr>
        <w:spacing w:after="0" w:line="67" w:lineRule="exact"/>
        <w:rPr>
          <w:rFonts w:ascii="Times New Roman" w:cs="Times New Roman" w:eastAsia="Times New Roman" w:hAnsi="Times New Roman"/>
          <w:sz w:val="18"/>
          <w:szCs w:val="18"/>
          <w:color w:val="auto"/>
        </w:rPr>
      </w:pPr>
    </w:p>
    <w:p>
      <w:pPr>
        <w:ind w:left="1120" w:right="400" w:hanging="55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Share of such person or its Subsidiaries of the current undepreciated book value of Development Properties held by such person or Subsidiary and all land held for development by such person or Subsidiary;</w:t>
      </w:r>
    </w:p>
    <w:p>
      <w:pPr>
        <w:spacing w:after="0" w:line="67" w:lineRule="exact"/>
        <w:rPr>
          <w:rFonts w:ascii="Times New Roman" w:cs="Times New Roman" w:eastAsia="Times New Roman" w:hAnsi="Times New Roman"/>
          <w:sz w:val="18"/>
          <w:szCs w:val="18"/>
          <w:color w:val="auto"/>
        </w:rPr>
      </w:pPr>
    </w:p>
    <w:p>
      <w:pPr>
        <w:ind w:left="1120" w:right="240" w:hanging="558"/>
        <w:spacing w:after="0" w:line="258"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Share of the purchase price paid by such person or any of its Subsidiaries (less the Pro Rata Share of any amounts paid to such person or such Subsidiary as a purchase price adjustment, held in escrow, retained as a contingency reserve, or in connection with other similar arrangements, and without regard to allocations of property purchase prices pursuant to Statement of Financial Accounting Standards No. 141 or other provisions of GAAP) for any Property or business acquired by the operating partnership or such Subsidiary during the four consecutive quarters ending on such date;</w:t>
      </w:r>
    </w:p>
    <w:p>
      <w:pPr>
        <w:spacing w:after="0" w:line="88" w:lineRule="exact"/>
        <w:rPr>
          <w:rFonts w:ascii="Times New Roman" w:cs="Times New Roman" w:eastAsia="Times New Roman" w:hAnsi="Times New Roman"/>
          <w:sz w:val="18"/>
          <w:szCs w:val="18"/>
          <w:color w:val="auto"/>
        </w:rPr>
      </w:pPr>
    </w:p>
    <w:p>
      <w:pPr>
        <w:ind w:left="1120" w:right="200" w:hanging="558"/>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purchase price of Properties of such person and its Subsidiaries subject to purchase obligations, repurchase obligations, forward commitments and unfunded obligations to the extent such obligations and commitments are included in determinations of Debt; and</w:t>
      </w:r>
    </w:p>
    <w:p>
      <w:pPr>
        <w:spacing w:after="0" w:line="81" w:lineRule="exact"/>
        <w:rPr>
          <w:rFonts w:ascii="Times New Roman" w:cs="Times New Roman" w:eastAsia="Times New Roman" w:hAnsi="Times New Roman"/>
          <w:sz w:val="18"/>
          <w:szCs w:val="18"/>
          <w:color w:val="auto"/>
        </w:rPr>
      </w:pPr>
    </w:p>
    <w:p>
      <w:pPr>
        <w:ind w:left="1120" w:right="40" w:hanging="558"/>
        <w:spacing w:after="0" w:line="261"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all Marketable Securities owned by such person or any of its Subsidiaries, plus all other assets of such person and its Subsidiaries (the value of which is determined in accordance with GAAP but excluding assets classified as intangible under GAAP), provided, however, that such other assets shall not include the right of use assets associated with an operating lease in accordance with GAAP.</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In determining the Total Assets of the operating partnership, the operating partnership shall have the option to include Capitalized Property Value under clause (a) above from any such Properties that are otherwise subject to valuation under clause (d) or (e)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such election is made, any value attributable to such Properties under clause (d) or (e) above shall be excluded from the determination of the amount under clause (d) or (e).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“Total Unencumbered Assets” means, as of any date, those assets within Total Assets that are not subject to a Lien, less the value attributable to Capitalized Tenant Insurance Value; provided that in determining Total Unencumbered Assets, all investments in unconsolidated entities shall be excluded.</w:t>
      </w:r>
    </w:p>
    <w:p>
      <w:pPr>
        <w:spacing w:after="0" w:line="176" w:lineRule="exact"/>
        <w:rPr>
          <w:sz w:val="20"/>
          <w:szCs w:val="20"/>
          <w:color w:val="auto"/>
        </w:rPr>
      </w:pPr>
    </w:p>
    <w:p>
      <w:pPr>
        <w:jc w:val="center"/>
        <w:ind w:left="380" w:right="520"/>
        <w:spacing w:after="0" w:line="454" w:lineRule="auto"/>
        <w:rPr>
          <w:sz w:val="20"/>
          <w:szCs w:val="20"/>
          <w:color w:val="auto"/>
        </w:rPr>
      </w:pPr>
      <w:r>
        <w:rPr>
          <w:rFonts w:ascii="Times New Roman" w:cs="Times New Roman" w:eastAsia="Times New Roman" w:hAnsi="Times New Roman"/>
          <w:sz w:val="18"/>
          <w:szCs w:val="18"/>
          <w:color w:val="auto"/>
        </w:rPr>
        <w:t>“Unsecured Debt” means Debt that is not secured by a Lien on any property or assets of the operating partnership or any of its Subsidiaries. S-33</w:t>
      </w:r>
    </w:p>
    <w:p>
      <w:pPr>
        <w:sectPr>
          <w:pgSz w:w="11920" w:h="16838" w:orient="portrait"/>
          <w:cols w:equalWidth="0" w:num="1">
            <w:col w:w="11140"/>
          </w:cols>
          <w:pgMar w:left="340" w:top="666" w:right="438"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Wells Fargo Securities, LLC, J.P. Morgan Securities LLC and Truist Securities,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operating partnership and the Company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 Sales of notes made outside of the United States may be made by affiliates of the underwriters.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 set forth on the cover page of this prospectus supplement and may offer notes to dealers at that price less a concession not in excess of 0.350% of the principal amount of the notes. The underwriters may allow, and the dealers may reallow, a discount not in excess of 0.250% of the principal amount of the notes to other dealers. After the initial public offering, the public offering price, concession and discount may be changed.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S-34</w:t>
      </w:r>
    </w:p>
    <w:p>
      <w:pPr>
        <w:sectPr>
          <w:pgSz w:w="11920" w:h="16838" w:orient="portrait"/>
          <w:cols w:equalWidth="0" w:num="1">
            <w:col w:w="11080"/>
          </w:cols>
          <w:pgMar w:left="340" w:top="666" w:right="498"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 payable by us.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0.600%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$600,000 and are payable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securities exchange or for inclusion of the notes on any automated quotation system. We have been advised by the underwriters that they presently intend to make a market in the notes after completion of the offering. However, they are under no obligation to do so and may discontinue any market-making activities at any time without any notice.</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the notes will develop or as to the liquidity of any trading market that may develop. If an active trading market for the notes does not develop, the market price and liquidity of the notes may be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purchases on the open market to cover positions created by short sales and stabilizing transactions. Short sales involve the sale by the underwriters of a greater number of the notes than they are required to purchase in the offering. Stabilizing transactions consist of various bids for or purchases of the notes made by the underwriters in the open market prior to the completion of the offering.</w:t>
      </w:r>
    </w:p>
    <w:p>
      <w:pPr>
        <w:spacing w:after="0" w:line="180"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 The underwriters may conduct these transactions in the over-the-counter market or otherwise.</w:t>
      </w:r>
    </w:p>
    <w:p>
      <w:pPr>
        <w:spacing w:after="0" w:line="15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Settlement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delivery of the notes will be made against payment therefor on or about the settlement date specified on the cover page of this prospectus supplement, which will be the seventh business day following the date of pricing of the notes (such settlement cycle being referred to herein as “T+7 ”).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T+7, to specify an alternate settlement cycle at the time of any such trade to prevent a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this prospectus supplement and the accompanying prospectus by electronic means, such as e-mail.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S-35</w:t>
      </w:r>
    </w:p>
    <w:p>
      <w:pPr>
        <w:sectPr>
          <w:pgSz w:w="11920" w:h="16838" w:orient="portrait"/>
          <w:cols w:equalWidth="0" w:num="1">
            <w:col w:w="11080"/>
          </w:cols>
          <w:pgMar w:left="340" w:top="666" w:right="498"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and/or their respective affiliates are lenders under, or holders of, our indebtedness. As described in this prospectus supplement under “Use of Proceeds,” to the extent that we use any of the net proceeds from this offering to repay indebtedness, such underwriters and/or their affiliates will receive their proportionate share of any amount of the outstanding borrowings that is repaid with the net proceeds from this offering. In such event, the aggregate amount received by the underwriters or their affiliates, as applicable, from the repayment of borrowings may exceed 5% of the proceeds from this offering (not including the underwriting discount). Associated Investment Services, Inc. (AIS), a Financial Industry Regulatory Authority member, an indirect, wholly owned subsidiary of Associated Banc-Corp, is being paid a referral fee by Samuel A. Ramirez &amp; Company, Inc.</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such underwriters and their affiliates would hedge exposure by entering into transactions which consist of either the purchase of credit default swaps or the creation of short position in our securities, including potentially the notes offered hereby. Any such credit default swaps or short positions could adversely affect future trading prices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4" w:lineRule="exact"/>
        <w:rPr>
          <w:sz w:val="20"/>
          <w:szCs w:val="20"/>
          <w:color w:val="auto"/>
        </w:rPr>
      </w:pPr>
    </w:p>
    <w:p>
      <w:pPr>
        <w:jc w:val="both"/>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3"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European Economic Area</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PROHIBITION OF SALES TO EEA RETAIL INVESTORS—The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 or (iii) not a qualified investor as defined in Regulation (EU) 2017/1129 (as amended, the “Prospectus Regulation”). Consequently, no key information document required by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20" w:h="16838" w:orient="portrait"/>
          <w:cols w:equalWidth="0" w:num="1">
            <w:col w:w="11140"/>
          </w:cols>
          <w:pgMar w:left="340" w:top="666" w:right="438"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has been approved by an authorized person in the United Kingdom and is for distribution only to persons who (i) are outside the United Kingdom, (ii) have professional experience in matters relating to investments (being investment professionals falling within Article 19(5) of the Financial Services and Markets Act 2000 (Financial Promotion) Order 2005, as amended (the “Financial Promotion Order”)), (iii) are persons falling within Article 43(2) of the Financial Promotion Order, (iv) are persons falling within Article 49(2)(a) to (d) (among others, high net worth companies or unincorporated associations) of the Financial Promotion Order, or (v) are persons to whom an invitation or inducement to engage in investment activity within the meaning of section 21 of the Financial Services and Markets Act 2000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prospectus supplement and the accompanying prospectus relate is available only to relevant persons and will be engaged in only with relevant persons. No part of this prospectus supplement or the accompanying prospectus should be published, reproduced, distributed or otherwise made available in whole or in part to any other person.</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PROHIBITION OF SALES TO UK RETAIL INVESTORS—The notes are not intended to be offered, sold or otherwise made available to and should not be offered, sold or otherwise made available to any retail investor in the United Kingdom (“UK”). For these purposes, a retail investor means a person who is not a professional client, as defined in point (8) of Article 2(1) of UK MiFIR.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the securities in the UK will be made pursuant to an exemption under The Public Offers and Admissions to Trading Regulations 2024 (“POATR”) from a requirement to publish a prospectus for offers of securities. This prospectus supplement and the accompanying prospectus are not a prospectus for the purpose of the POATR and the Prospectus Rules: Admissions to Trading on a Regulated Market sourcebook (the “PRM Rules”). No prospectus is required in accordance with the POATR and the PRM Rules for this issue of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are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20" w:h="16838" w:orient="portrait"/>
          <w:cols w:equalWidth="0" w:num="1">
            <w:col w:w="11120"/>
          </w:cols>
          <w:pgMar w:left="340" w:top="666" w:right="458"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31" w:lineRule="exact"/>
        <w:rPr>
          <w:sz w:val="20"/>
          <w:szCs w:val="20"/>
          <w:color w:val="auto"/>
        </w:rPr>
      </w:pPr>
    </w:p>
    <w:p>
      <w:pPr>
        <w:ind w:left="1120" w:hanging="448"/>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disclosure documents or prospectuses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ind w:left="1120" w:right="40" w:hanging="448"/>
        <w:spacing w:after="0" w:line="266"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(“ASIC”), as a disclosure document for the purposes of the Corporations Act and do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120" w:right="340" w:hanging="448"/>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notes may not be directly or indirectly offered for subscription or purchased or sold, and no invitations to subscribe for or buy the notes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notes, you represent and warrant to us that you are an Exempt Investor.</w:t>
      </w:r>
    </w:p>
    <w:p>
      <w:pPr>
        <w:spacing w:after="0" w:line="16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any offer of notes under this document will be made without disclosure in Australia under Chapter 6D.2 of the Corporations Act, the offer of those notes for resale in Australia within 12 months may, under section 707 of the Corporations Act, require disclosure to investors under Chapter 6D.2 if none of the exemptions in section 708 applies to that resale. By applying for the notes you undertake to us that you will not, for a period of 12 months from the date of issue of the notes, offer, transfer, assign or otherwise alienate those notes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20" w:h="16838" w:orient="portrait"/>
          <w:cols w:equalWidth="0" w:num="1">
            <w:col w:w="11120"/>
          </w:cols>
          <w:pgMar w:left="340" w:top="666" w:right="458"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legal matters with respect to the validity of the notes will be passed upon for us by Latham &amp; Watkins LLP. Fried, Frank, Harris, Shriver &amp; Jacobson LLP will act as counsel and pass on certain legal matters for the underwriters. Venable LLP will issue an opinion to us regarding certain matters of Maryland law. Verrill Dana LLP will issue an opinion to us regarding certain matters of Massachusetts law. Latham &amp; Watkins LLP may rely upon the opinions of Venable LLP and Verrill Dana LLP. Ballard Spahr LLP will issue an opinion to the underwriters regarding certain matters of Maryland law. Fried, Frank, Harris, Shriver &amp; Jacobson LLP may rely upon the opinion of Ballard Spahr LLP.</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Extra Space Storage Inc. appearing in Extra Space Storage Inc.’s Annual Report (Form 10-K) for the year ended December 31, 2025, and the effectiveness of Extra Space Storage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into this prospectus supplement and the accompanying prospectus, which means that we can disclose important information to you by referring you to those documents. The information incorporated by reference herein is an important part of this prospectus supplement and the accompanying prospectus. The incorporated documents contain significant information about us, our business and our finances. Any information contained in this prospectus supplement, the accompanying prospectus or in any document incorporated or deemed to be incorporated by reference in this prospectus supplement and the accompanying prospectus will be deemed to have been modified or superseded to the extent that a statement contained in this prospectus supplement, the accompanying prospectus or in any other document we subsequently file with the SEC that also is incorporated or deemed to be incorporated by reference herein modifies or supersedes the original statement. Any statement so modified or superseded will not be deemed, except as so modified or superseded, to be a part of this prospectus supplement or the accompanying prospectus. We incorporate by reference the following documents we filed with the SEC:</w:t>
      </w:r>
    </w:p>
    <w:p>
      <w:pPr>
        <w:spacing w:after="0" w:line="94" w:lineRule="exact"/>
        <w:rPr>
          <w:sz w:val="20"/>
          <w:szCs w:val="20"/>
          <w:color w:val="auto"/>
        </w:rPr>
      </w:pPr>
    </w:p>
    <w:p>
      <w:pPr>
        <w:ind w:left="1120" w:hanging="448"/>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20, 2026;</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 2026;</w:t>
      </w:r>
    </w:p>
    <w:p>
      <w:pPr>
        <w:spacing w:after="0" w:line="130"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information in Item 7.01 and Exhibit 99.1 furnished therein) and </w:t>
      </w:r>
      <w:hyperlink r:id="rId60">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20" w:right="420" w:hanging="448"/>
        <w:spacing w:after="0" w:line="282" w:lineRule="auto"/>
        <w:tabs>
          <w:tab w:leader="none" w:pos="1120" w:val="left"/>
        </w:tabs>
        <w:numPr>
          <w:ilvl w:val="0"/>
          <w:numId w:val="3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6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April 1, 2026; and</w:t>
      </w:r>
    </w:p>
    <w:p>
      <w:pPr>
        <w:spacing w:after="0" w:line="67" w:lineRule="exact"/>
        <w:rPr>
          <w:rFonts w:ascii="Times New Roman" w:cs="Times New Roman" w:eastAsia="Times New Roman" w:hAnsi="Times New Roman"/>
          <w:sz w:val="18"/>
          <w:szCs w:val="18"/>
          <w:color w:val="0000EE"/>
        </w:rPr>
      </w:pPr>
    </w:p>
    <w:p>
      <w:pPr>
        <w:ind w:left="1120" w:right="600" w:hanging="448"/>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6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4, 2004 (File No. 001-32269),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on or after the date of this prospectus supplement and prior to the termination of the offering of any securities made under this prospectus supplement (excluding any portions of such documents that are deemed “furnished”</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20" w:h="16838" w:orient="portrait"/>
          <w:cols w:equalWidth="0" w:num="1">
            <w:col w:w="11120"/>
          </w:cols>
          <w:pgMar w:left="340" w:top="666" w:right="458"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the SEC pursuant to applicable rules and regulations) will also be considered to be incorporated by reference in this prospectus supplement and will automatically update and supersede the information in this prospectus supplement and any previously filed documents.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Extra Space Storage Inc., 2795 East Cottonwood Parkway, Suite 300, Salt Lake City, Utah 84121, Attn: Investor Relations, telephone: (801) 365-4600.</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S-40</w:t>
      </w:r>
    </w:p>
    <w:p>
      <w:pPr>
        <w:sectPr>
          <w:pgSz w:w="11920" w:h="16838" w:orient="portrait"/>
          <w:cols w:equalWidth="0" w:num="1">
            <w:col w:w="10940"/>
          </w:cols>
          <w:pgMar w:left="340" w:top="666" w:right="638"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97155</wp:posOffset>
            </wp:positionV>
            <wp:extent cx="1654175" cy="745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65417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148590</wp:posOffset>
            </wp:positionV>
            <wp:extent cx="1466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Extra Space Storage LP</w:t>
      </w:r>
    </w:p>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170180</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6" w:lineRule="exact"/>
        <w:rPr>
          <w:sz w:val="20"/>
          <w:szCs w:val="20"/>
          <w:color w:val="auto"/>
        </w:rPr>
      </w:pPr>
    </w:p>
    <w:p>
      <w:pPr>
        <w:ind w:left="120" w:right="54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the securities identified above from time to time in one or more offerings. Extra Space Storage LP may offer from time to time debt securities in one or more series. This prospectus provides you with a general description of the securities.</w:t>
      </w:r>
    </w:p>
    <w:p>
      <w:pPr>
        <w:spacing w:after="0" w:line="5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and may include limitations on actual or constructive ownership and restrictions on transfer of the securities, in each case as may be appropriate to preserve the status of Extra Space Storage Inc. as a real estate investment trust (“REIT”) for U.S. federal income tax purposes. The applicable prospectus supplement may also contain information, where applicable, about certain U.S. federal income tax consequences relating to, and any listing on a securities exchange of, the securities covered by such prospectus supplement. You should carefully read this prospectus and the applicable prospectus supplement before you invest in any of our securities.</w:t>
      </w:r>
    </w:p>
    <w:p>
      <w:pPr>
        <w:spacing w:after="0" w:line="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6"/>
          <w:szCs w:val="16"/>
          <w:color w:val="auto"/>
        </w:rPr>
        <w:t>We or Extra Space Storage LP may offer and sell the securities described in this prospectus and any prospectus supplement to or through one or more underwriters, dealers and agents, or directly to purchasers, or through a combination of these methods. In addition, the selling security 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64" w:lineRule="exact"/>
        <w:rPr>
          <w:sz w:val="20"/>
          <w:szCs w:val="20"/>
          <w:color w:val="auto"/>
        </w:rPr>
      </w:pPr>
    </w:p>
    <w:p>
      <w:pPr>
        <w:ind w:left="120" w:right="820" w:firstLine="551"/>
        <w:spacing w:after="0" w:line="276" w:lineRule="auto"/>
        <w:rPr>
          <w:sz w:val="20"/>
          <w:szCs w:val="20"/>
          <w:color w:val="auto"/>
        </w:rPr>
      </w:pPr>
      <w:r>
        <w:rPr>
          <w:rFonts w:ascii="Times New Roman" w:cs="Times New Roman" w:eastAsia="Times New Roman" w:hAnsi="Times New Roman"/>
          <w:sz w:val="19"/>
          <w:szCs w:val="19"/>
          <w:b w:val="1"/>
          <w:bCs w:val="1"/>
          <w:color w:val="auto"/>
        </w:rPr>
        <w:t>INVESTING IN OUR SECURITIES INVOLVES RISKS. SEE THE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ON PAGE 3 OF THIS PROSPECTUS AND ANY SIMILAR SECTION CONTAINED IN THE APPLICABLE PROSPECTUS SUPPLEMENT CONCERNING FACTORS YOU SHOULD CONSIDER BEFORE INVESTING IN OUR SECURITIES.</w:t>
      </w:r>
    </w:p>
    <w:p>
      <w:pPr>
        <w:spacing w:after="0" w:line="56"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Our common stock currently trades on the New York Stock Exchange (“NYSE”) under the symbol “EXR.” On April 12, 2024, the last reported sales price of our common stock on the NYSE was $140.69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121285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120015</wp:posOffset>
            </wp:positionV>
            <wp:extent cx="14662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15, 2024</w:t>
      </w:r>
    </w:p>
    <w:p>
      <w:pPr>
        <w:sectPr>
          <w:pgSz w:w="11920" w:h="16838" w:orient="portrait"/>
          <w:cols w:equalWidth="0" w:num="1">
            <w:col w:w="11080"/>
          </w:cols>
          <w:pgMar w:left="340" w:top="666" w:right="498"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Extra Space Storage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80" w:type="dxa"/>
            <w:vAlign w:val="bottom"/>
            <w:gridSpan w:val="24"/>
            <w:vMerge w:val="continue"/>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Guarantor Disclosures</w:t>
            </w:r>
          </w:p>
        </w:tc>
        <w:tc>
          <w:tcPr>
            <w:tcW w:w="90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90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78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7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Forward-Looking Statements</w:t>
            </w:r>
          </w:p>
        </w:tc>
        <w:tc>
          <w:tcPr>
            <w:tcW w:w="85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50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84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Depositary Shares</w:t>
            </w:r>
          </w:p>
        </w:tc>
        <w:tc>
          <w:tcPr>
            <w:tcW w:w="82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160" w:type="dxa"/>
            <w:vAlign w:val="bottom"/>
            <w:tcBorders>
              <w:top w:val="single" w:sz="8" w:color="0000EE"/>
            </w:tcBorders>
            <w:gridSpan w:val="3"/>
          </w:tcPr>
          <w:p>
            <w:pPr>
              <w:spacing w:after="0"/>
              <w:rPr>
                <w:sz w:val="17"/>
                <w:szCs w:val="17"/>
                <w:color w:val="auto"/>
              </w:rPr>
            </w:pPr>
          </w:p>
        </w:tc>
        <w:tc>
          <w:tcPr>
            <w:tcW w:w="89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92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73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Restrictions on Ownership and Transfer</w:t>
            </w:r>
          </w:p>
        </w:tc>
        <w:tc>
          <w:tcPr>
            <w:tcW w:w="780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Partnership Agreement of Extra Space Storage LP</w:t>
            </w:r>
          </w:p>
        </w:tc>
        <w:tc>
          <w:tcPr>
            <w:tcW w:w="5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Provisions of Maryland Law and of Our Charter and Bylaws</w:t>
            </w:r>
          </w:p>
        </w:tc>
        <w:tc>
          <w:tcPr>
            <w:tcW w:w="57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Income Tax Consequences</w:t>
            </w:r>
          </w:p>
        </w:tc>
        <w:tc>
          <w:tcPr>
            <w:tcW w:w="780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 Holders</w:t>
            </w:r>
          </w:p>
        </w:tc>
        <w:tc>
          <w:tcPr>
            <w:tcW w:w="89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924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440" w:type="dxa"/>
            <w:vAlign w:val="bottom"/>
            <w:tcBorders>
              <w:top w:val="single" w:sz="8" w:color="0000EE"/>
            </w:tcBorders>
            <w:gridSpan w:val="2"/>
          </w:tcPr>
          <w:p>
            <w:pPr>
              <w:spacing w:after="0"/>
              <w:rPr>
                <w:sz w:val="17"/>
                <w:szCs w:val="17"/>
                <w:color w:val="auto"/>
              </w:rPr>
            </w:pPr>
          </w:p>
        </w:tc>
        <w:tc>
          <w:tcPr>
            <w:tcW w:w="968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Unless the context indicates otherwise, references in this prospectus to “Extra Space Storage Inc.,” “we,” “our,” “us” and “our company” refer to Extra Space Storage Inc., a Maryland corporation, and its consolidated subsidiaries, including Extra Space Storage LP, except in statements regarding qualification as a REIT, in which case such terms refer solely to Extra Space Storage Inc. Extra Space Storage LP is a Delaware limited partnership of which we are the indirect general partner and to which we refer in this prospectus as our operating partnership. References to “OP units” include common operating partnership units and preferred operating partnership units of Extra Space Storage LP. References in this prospectus to the “Guarantors” refer to our wholly-owned subsidiaries that are listed as guarantor registrants in the registration statement of which this prospectus forms a part.</w:t>
      </w:r>
    </w:p>
    <w:p>
      <w:pPr>
        <w:spacing w:after="0" w:line="183"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in an accompanying prospectus supplement or incorporated by reference herein or therein. We have not authorized anyone to provide you with different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the prospectus and such prospectus supplement or supplements, as applicable, even though this prospectus and such prospectus supplement or supplements are delivered or shares are sold pursuant to the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20" w:h="16838" w:orient="portrait"/>
          <w:cols w:equalWidth="0" w:num="1">
            <w:col w:w="11100"/>
          </w:cols>
          <w:pgMar w:left="340" w:top="666" w:right="478"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EXTRA SPACE STORAGE</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REIT formed as a Maryland corporation on April 30, 2004, to own, operate, manage, acquire, develop and redevelop self-storage properties (“stores”). We closed our initial public offering on August 17, 2004. We were formed to continue the business of Extra Space Storage LLC and its subsidiaries, which had engaged in the self-storage business since 1977.</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(“UPREIT”). We have elected to be taxed as a REIT under the Internal Revenue Code of 1986, as amended (the “Code”). To the extent we continue to qualify as a REIT we will not be subject to U.S. federal tax, with certain exceptions, on our REIT taxable income that is distributed to our stockholders.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offices are located at 2795 East Cottonwood Parkway, Suite 300, Salt Lake City, Utah 84121, telephone number (801) 365-4600.</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internet address is www.extraspace.com. 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the Investor Relations section of our website. The information included on our website is not, and should not be considered, a part of this prospectus or any accompanying prospectus supplement.</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w:t>
      </w:r>
    </w:p>
    <w:p>
      <w:pPr>
        <w:spacing w:after="0" w:line="176"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own, operate, manage, provide lending to, acquire, develop and redevelop stores. We operate and manage our business by evaluating the operating performance of the properties for our entire portfolio which includes wholly-owned stores, stores in which we have a partial ownership interest and managed stores. Stores offer month-to-month rental of storage space for personal or business use.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owned and/or operated 3,714 stores in 42 states, and Washington, D.C., comprising approximately 283 million square feet of net rentable space in approximately 2.6 million units.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Our tenant reinsurance activities include the reinsurance of risks relating to the loss of goods stored by tenants in our stores. Our customers have the option of purchasing insurance from a non-affiliated insurance company to cover certain losses to their goods stored at our facilities, as well as those we manage for third parties. A wholly-owned, consolidated subsidiary fully reinsures such policies and thereby assumes all risk of losses under these policies and receives reinsurance premiums substantially equal to the premiums collected from our tenants, from the non-affiliated insurance company.</w:t>
      </w:r>
    </w:p>
    <w:p>
      <w:pPr>
        <w:spacing w:after="0" w:line="16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we managed 1,337 stores for third party owners. 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our management business is a potential future acquisition pipeline.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a bridge lending program, under which we provide financing to third party self-storage owners for operating properties that we manage. This program helps us increase our management business, create additional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20" w:h="16838" w:orient="portrait"/>
          <w:cols w:equalWidth="0" w:num="1">
            <w:col w:w="11080"/>
          </w:cols>
          <w:pgMar w:left="340" w:top="666" w:right="498"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potential future acquisition opportunities, and strengthen our relationships with partners, all while generating interest and fee income. We generally originate mortgage loans and mezzanine loans, with the intent to sell a portion of the mortgage loans to third parties, while retaining our interests in the mezzanine loans. As of December 31, 2023, the total balance of bridge loans receivable was $594.7 million.</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made investments in preferred stock of other self-storage companies. These investments benefit us by providing dividend income, increasing our management business, and creating additional potential future acquisition opportunities through relationships with the companies in which we invest.</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20" w:h="16838" w:orient="portrait"/>
          <w:cols w:equalWidth="0" w:num="1">
            <w:col w:w="11000"/>
          </w:cols>
          <w:pgMar w:left="340" w:top="666" w:right="57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Securities Exchange Act of 1934, as amended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Please also refer to the section below entitled “Forward-Looking Statements.”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GUARANTOR DISCLOSURES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Extra Space Storage Inc. and the Guarantors may guarantee debt securities of the Operating Partnership as described in “Description of Debt Securities and Related Guarantees.” Any such guarantees by Extra Space Storage Inc. and the Guarantors will be full, irrevocable, unconditional and absolute joint and several guarantees to the holders of each series of such outstanding guaranteed debt securities. Extra Space Storage Inc. owns all of its assets and conducts all of its operations through the Operating Partnership and the Operating Partnership is consolidated into Extra Space Storage Inc.’s financial statements.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as a “well-known seasoned issuer” as defined in Rule 405 under the Securities Act of 1933, as amended (the “Securities Act”), using a “shelf” registration process. By using a shelf registration statement, we may sell common stock, preferred stock, depositary shares, warrants, rights and units, and the Operating Partnership may sell debt securities (including related guarantees by Extra Space Storage Inc. and the Guarantors), in each case in one or more offerings from time to time. In addition, selling security holders to be named in a prospectus supplement may sell certain of our securities from time to time. This prospectus provides you with a general description of the securities we, the Operating Partnership or any selling security holder may offer. Each time we, the Operating Partnership or any selling security holder sells securities, we, the Operating Partnership or the selling security holder will provide a prospectus supplement containing specific information about the terms of the applicable offering. Such prospectus supplement may add, update or change information contained in this prospectus. If there is any inconsistency between the information in this prospectus and the applicable prospectus supplement, you should rely on the prospectus supplement. You should read this prospectus and the applicable prospectus supplement together with additional information described below under the heading “Where You Can Find More Information” before you decide whether to invest in our securities.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or the Operating Partnership may offer and sell the securities described in this prospectus and any prospectus supplement to or through one or more underwriters, dealers and agents, or directly to purchasers, or through a combination of these methods. In addition, the selling security 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 entitled “Plan of Distribution” for more information on this topic. No securities may be sold without delivery of this prospectus and the applicable prospectus supplement describing the method and terms of the offering of such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20" w:h="16838" w:orient="portrait"/>
          <w:cols w:equalWidth="0" w:num="1">
            <w:col w:w="11120"/>
          </w:cols>
          <w:pgMar w:left="340" w:top="666" w:right="458"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the SEC’s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can also inspect reports and other information we file at the offices of the NYSE, 20 Broad Street, New York, New York 10005. In addition, we maintain a website that contains information about us at </w:t>
      </w:r>
      <w:r>
        <w:rPr>
          <w:rFonts w:ascii="Times New Roman" w:cs="Times New Roman" w:eastAsia="Times New Roman" w:hAnsi="Times New Roman"/>
          <w:sz w:val="18"/>
          <w:szCs w:val="18"/>
          <w:i w:val="1"/>
          <w:iCs w:val="1"/>
          <w:color w:val="auto"/>
        </w:rPr>
        <w:t>www.extraspace.com</w:t>
      </w:r>
      <w:r>
        <w:rPr>
          <w:rFonts w:ascii="Times New Roman" w:cs="Times New Roman" w:eastAsia="Times New Roman" w:hAnsi="Times New Roman"/>
          <w:sz w:val="18"/>
          <w:szCs w:val="18"/>
          <w:color w:val="auto"/>
        </w:rPr>
        <w:t>. The information included on our website is not, and should not be considered, a part of this prospectus or any accompanying prospectus supplement.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of which this prospectus is a part, including exhibits, schedules and amendments filed with, or incorporated by reference in, this registration statement, under the Securities Act with respect to the securities registered hereby. This prospectus and any accompanying prospectus supplement do not contain all of the information set forth in the registration statement and exhibits and schedules to the registration statement. For further information with respect to our company and the securities registered hereby, reference is made to the registration statement, including the exhibits to the registration statement. Statements contained in this prospectus and any accompanying prospectus supplement as to the contents of any contract or other document referred to in, or incorporated by reference in, this prospectus and any accompanying prospectus supplement are not necessarily complete and, where that contract is an exhibit to the registration statement, each statement is qualified in all respects by the exhibit to which the reference relates.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which means that we can disclose important information to you by referring to those documents. The information incorporated by reference herein is an important part of this prospectus. The incorporated documents contain significant information about us, our business and our finances. Any information contained in this prospectus or in any document incorporated or deemed to be incorporated by reference in this prospectus will be deemed to have been modified or superseded to the extent that a statement contained in this prospectus, in any other document we subsequently file with the SEC that also is incorporated or deemed to be incorporated by reference in this prospectus or in any applicable prospectus supplement modifies or supersedes the original statement. Any statement so modified or superseded will not be deemed, except as so modified or superseded, to be a part of this prospectus. We incorporate by reference the following documents we filed with the SEC (excluding any portions of such documents that are deemed “furnished” to the SEC pursuant to applicable rules and regulations):</w:t>
      </w:r>
    </w:p>
    <w:p>
      <w:pPr>
        <w:spacing w:after="0" w:line="94" w:lineRule="exact"/>
        <w:rPr>
          <w:sz w:val="20"/>
          <w:szCs w:val="20"/>
          <w:color w:val="auto"/>
        </w:rPr>
      </w:pPr>
    </w:p>
    <w:p>
      <w:pPr>
        <w:ind w:left="1120" w:hanging="448"/>
        <w:spacing w:after="0"/>
        <w:tabs>
          <w:tab w:leader="none" w:pos="1120" w:val="left"/>
        </w:tabs>
        <w:numPr>
          <w:ilvl w:val="0"/>
          <w:numId w:val="35"/>
        </w:numPr>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our Annual Report on Form 10-K for the year ended December 31, 2023, filed with the SEC on February 29, 2024;</w:t>
        </w:r>
      </w:hyperlink>
    </w:p>
    <w:p>
      <w:pPr>
        <w:spacing w:after="0" w:line="130" w:lineRule="exact"/>
        <w:rPr>
          <w:rFonts w:ascii="Times New Roman" w:cs="Times New Roman" w:eastAsia="Times New Roman" w:hAnsi="Times New Roman"/>
          <w:sz w:val="18"/>
          <w:szCs w:val="18"/>
          <w:u w:val="single" w:color="auto"/>
          <w:color w:val="0000EE"/>
        </w:rPr>
      </w:pPr>
    </w:p>
    <w:p>
      <w:pPr>
        <w:ind w:left="1120" w:right="500" w:hanging="448"/>
        <w:spacing w:after="0" w:line="282" w:lineRule="auto"/>
        <w:tabs>
          <w:tab w:leader="none" w:pos="112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6">
        <w:r>
          <w:rPr>
            <w:rFonts w:ascii="Times New Roman" w:cs="Times New Roman" w:eastAsia="Times New Roman" w:hAnsi="Times New Roman"/>
            <w:sz w:val="18"/>
            <w:szCs w:val="18"/>
            <w:u w:val="single" w:color="auto"/>
            <w:color w:val="0000EE"/>
          </w:rPr>
          <w:t>June 12,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Exhibits 99.2 and 99.3 thereto), </w:t>
      </w:r>
      <w:hyperlink r:id="rId77">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January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 xml:space="preserve">January 19,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0">
        <w:r>
          <w:rPr>
            <w:rFonts w:ascii="Times New Roman" w:cs="Times New Roman" w:eastAsia="Times New Roman" w:hAnsi="Times New Roman"/>
            <w:sz w:val="18"/>
            <w:szCs w:val="18"/>
            <w:u w:val="single" w:color="auto"/>
            <w:color w:val="0000EE"/>
          </w:rPr>
          <w:t>April 5, 2024</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120" w:right="440" w:hanging="448"/>
        <w:spacing w:after="0" w:line="282" w:lineRule="auto"/>
        <w:tabs>
          <w:tab w:leader="none" w:pos="112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8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3, 2024; and</w:t>
      </w:r>
    </w:p>
    <w:p>
      <w:pPr>
        <w:spacing w:after="0" w:line="67" w:lineRule="exact"/>
        <w:rPr>
          <w:rFonts w:ascii="Times New Roman" w:cs="Times New Roman" w:eastAsia="Times New Roman" w:hAnsi="Times New Roman"/>
          <w:sz w:val="18"/>
          <w:szCs w:val="18"/>
          <w:color w:val="0000EE"/>
        </w:rPr>
      </w:pPr>
    </w:p>
    <w:p>
      <w:pPr>
        <w:ind w:left="1120" w:right="240" w:hanging="44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4, 2004 (File No. 001-32269),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on or after the date of this prospectus and prior to the termination of the offering of any securities made under this prospectus (excluding any portions of such documents that are deemed “furnished” to the SEC pursuant to applicable rules and regulations) will also be considered to be incorporated by reference in this prospectus and will automatically update and supersede the information in this prospectus and any previously filed documents.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20" w:h="16838" w:orient="portrait"/>
          <w:cols w:equalWidth="0" w:num="1">
            <w:col w:w="11140"/>
          </w:cols>
          <w:pgMar w:left="340" w:top="666" w:right="438"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Extra Space Storage Inc., 2795 East Cottonwood Parkway, Suite 300, Salt Lake City, Utah 84121, Attn: Investor Relations, telephone: (801) 365-4600.</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w:t>
      </w:r>
    </w:p>
    <w:p>
      <w:pPr>
        <w:sectPr>
          <w:pgSz w:w="11920" w:h="16838" w:orient="portrait"/>
          <w:cols w:equalWidth="0" w:num="1">
            <w:col w:w="10760"/>
          </w:cols>
          <w:pgMar w:left="340" w:top="666" w:right="818"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that we incorporate herein by reference contain “forward-looking statements” within the meaning of the Private Securities Litigation Reform Act of 1995 (set forth in Section 27A of the Securities Act and Section 21E of the Exchange Act). Also, documents we subsequently file with the SEC and incorporate by reference will contain forward-looking statements. In particular, statements pertaining to our capital resources, portfolio performance and results of operations contain forward-looking statements. Likewise, our pro forma information and our statements regarding anticipated growth in our funds from operations and anticipated market conditions, demographics and results of operations are forward-looking statements. Forward-looking statements involve numerous risks and uncertainties and you should not rely on them as predictions of future events. Forward-looking statements depend on assumptions, data or methods that may be incorrect or imprecise, and we may not be able to realize them. We do not guarantee that the transactions and events described will happen as described (or that they will happen at all). You can identify forward-looking statements by the use of forward-looking terminology such as “believes,” “expects,” “may,” “will,” “should,” “seeks,” “approximately,” “intends,” “plans,” “pro forma,” “estimates” or “anticipates” or the negative of these words and phrases or similar words or phrases. You can also identify forward-looking statements by discussions of strategy, plans or intentions. The following factors, among others, could cause actual results and future events to differ materially from those set forth or contemplated in the forward-looking statements:</w:t>
      </w:r>
    </w:p>
    <w:p>
      <w:pPr>
        <w:spacing w:after="0" w:line="95" w:lineRule="exact"/>
        <w:rPr>
          <w:sz w:val="20"/>
          <w:szCs w:val="20"/>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in the markets in which we operate;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130" w:lineRule="exact"/>
        <w:rPr>
          <w:rFonts w:ascii="Times New Roman" w:cs="Times New Roman" w:eastAsia="Times New Roman" w:hAnsi="Times New Roman"/>
          <w:sz w:val="18"/>
          <w:szCs w:val="18"/>
          <w:color w:val="auto"/>
        </w:rPr>
      </w:pPr>
    </w:p>
    <w:p>
      <w:pPr>
        <w:ind w:left="1120" w:right="28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Life Storage, Inc.’s (“Life Storage”) business will not be fully integrated successfully or that such integration may be more difficult, time-consuming or costly than expected;</w:t>
      </w:r>
    </w:p>
    <w:p>
      <w:pPr>
        <w:spacing w:after="0" w:line="67" w:lineRule="exact"/>
        <w:rPr>
          <w:rFonts w:ascii="Times New Roman" w:cs="Times New Roman" w:eastAsia="Times New Roman" w:hAnsi="Times New Roman"/>
          <w:sz w:val="18"/>
          <w:szCs w:val="18"/>
          <w:color w:val="auto"/>
        </w:rPr>
      </w:pPr>
    </w:p>
    <w:p>
      <w:pPr>
        <w:ind w:left="1120" w:right="22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expected future financial performance and results of the combined company following completion of the Life Storage merger;</w:t>
      </w:r>
    </w:p>
    <w:p>
      <w:pPr>
        <w:spacing w:after="0" w:line="67" w:lineRule="exact"/>
        <w:rPr>
          <w:rFonts w:ascii="Times New Roman" w:cs="Times New Roman" w:eastAsia="Times New Roman" w:hAnsi="Times New Roman"/>
          <w:sz w:val="18"/>
          <w:szCs w:val="18"/>
          <w:color w:val="auto"/>
        </w:rPr>
      </w:pPr>
    </w:p>
    <w:p>
      <w:pPr>
        <w:ind w:left="1120" w:right="56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which could cause rents and occupancy rates to decline;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130" w:lineRule="exact"/>
        <w:rPr>
          <w:rFonts w:ascii="Times New Roman" w:cs="Times New Roman" w:eastAsia="Times New Roman" w:hAnsi="Times New Roman"/>
          <w:sz w:val="18"/>
          <w:szCs w:val="18"/>
          <w:color w:val="auto"/>
        </w:rPr>
      </w:pPr>
    </w:p>
    <w:p>
      <w:pPr>
        <w:ind w:left="1120" w:right="42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as well as national, state, and local laws and regulations including, without limitation, those governing REITs, tenant reinsurance and other aspects of our business, which could adversely affect our results;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130"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increased interest rates;</w:t>
      </w:r>
    </w:p>
    <w:p>
      <w:pPr>
        <w:spacing w:after="0" w:line="130" w:lineRule="exact"/>
        <w:rPr>
          <w:rFonts w:ascii="Times New Roman" w:cs="Times New Roman" w:eastAsia="Times New Roman" w:hAnsi="Times New Roman"/>
          <w:sz w:val="18"/>
          <w:szCs w:val="18"/>
          <w:color w:val="auto"/>
        </w:rPr>
      </w:pPr>
    </w:p>
    <w:p>
      <w:pPr>
        <w:ind w:left="1120" w:right="30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130" w:lineRule="exact"/>
        <w:rPr>
          <w:rFonts w:ascii="Times New Roman" w:cs="Times New Roman" w:eastAsia="Times New Roman" w:hAnsi="Times New Roman"/>
          <w:sz w:val="18"/>
          <w:szCs w:val="18"/>
          <w:color w:val="auto"/>
        </w:rPr>
      </w:pPr>
    </w:p>
    <w:p>
      <w:pPr>
        <w:ind w:left="1120" w:right="400" w:hanging="448"/>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20" w:h="16838" w:orient="portrait"/>
          <w:cols w:equalWidth="0" w:num="1">
            <w:col w:w="11120"/>
          </w:cols>
          <w:pgMar w:left="340" w:top="666" w:right="458"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decreases in occupancy and rental rates and staffing levels, which could adversely affect our results; and</w:t>
      </w:r>
    </w:p>
    <w:p>
      <w:pPr>
        <w:spacing w:after="0" w:line="131" w:lineRule="exact"/>
        <w:rPr>
          <w:sz w:val="20"/>
          <w:szCs w:val="20"/>
          <w:color w:val="auto"/>
        </w:rPr>
      </w:pPr>
    </w:p>
    <w:p>
      <w:pPr>
        <w:ind w:left="1120" w:hanging="448"/>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our good-faith beliefs, they are not guarantees of future performance. We disclaim any obligation to update or revise any forward-looking statements, whether as a result of new information, future events or otherwise. For a further discussion of these and other factors that could impact our future results, performance or transactions, see the section above entitled “Risk Factors,” including the risks incorporated therein from our most recent Annual Report on Form 10-K and any subsequent Quarterly Reports on Form 10-Q, as updated by our subsequent filings under the Exchange Act.</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20" w:h="16838" w:orient="portrait"/>
          <w:cols w:equalWidth="0" w:num="1">
            <w:col w:w="10840"/>
          </w:cols>
          <w:pgMar w:left="340" w:top="666" w:right="738"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intend to contribute the net proceeds from any sale of the securities pursuant to this prospectus to our Operating Partnership in exchange for Operating Partnership units (“OP units”). Our Operating Partnership intends to use the net proceeds received from us or from any sale of offered securities by it as set forth in the applicable prospectus supplement. Pending application of cash proceeds, we will invest the net proceeds in interest-bearing accounts and short-term, interest-bearing securities which are consistent with our intention to continue to qualify as a REIT for U.S. federal income tax purposes.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prospectus supplement includes an offering by selling security holders, we will not receive any proceeds from such sales.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20" w:h="16838" w:orient="portrait"/>
          <w:cols w:equalWidth="0" w:num="1">
            <w:col w:w="11060"/>
          </w:cols>
          <w:pgMar w:left="340" w:top="666" w:right="518"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terms of our common stock. The following description is not complete and may not contain all of the information you should consider before investing in our common stock. For a more detailed description of these securities, you should read the applicable provisions of the Maryland General Corporation Law (“MGCL”) and our charter and bylaws, as amended and supplemented from time to time. This description is subject to, and qualified in its entirety by reference to, our charter and bylaws and the MGCL. Copies of our existing charter and bylaws are filed with the SEC and are incorporated herein by reference as exhibits to the registration statement of which this prospectus is a part. See “Where You Can Find More Information” and “Incorporation of Certain Documents by Reference.”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 we offer to sell shares of a particular class or series of stock, we will describe the specific terms of the series in a prospectus supplement. Accordingly, for a description of the terms of any class or series of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charter provides that we may issue up to 500,000,000 shares of our common stock, par value $0.01 per share. Our charter authorizes our board of directors, with the approval of a majority of our board of directors and without stockholder approval, to amend our charter from time to time to increase or decrease the aggregate number of authorized shares of stock or the number of authorized shares of stock of any class or series. As of December 31, 2023, 211,278,803 shares of our common stock were issued and outstanding.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shares of our common stock offered hereby will be duly authorized, fully paid and nonassessable. Subject to the preferential rights of any other class or series of stock and to the provisions of our charter regarding the restrictions on ownership and transfer of stock, holders of shares of our common stock are entitled to receive dividends on such stock if, as and when authorized by our board of directors out of assets legally available therefor and declared by us and to share ratably in the assets of our company legally available for distribution to our stockholders in the event of our liquidation, dissolution or winding up after payment of or adequate provision for all known debts and liabilities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our charter regarding the restrictions on ownership and transfer of stock, and except as may otherwise be specified in the terms of any class or series of our common stock, each outstanding share of our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our board of directors, which means that the holders of a majority of the outstanding shares of our common stock can elect all of the directors then standing for election and the holders of the remaining shares will not be able to elect any directors.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have no preference, conversion, exchange, sinking fund, redemption or appraisal rights and have no preemptive rights to subscribe for any of our securities. Subject to the provisions of our charter regarding the restrictions on ownership and transfer of stock, shares of our common stock will have equal dividend, liquidation and other rights.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MGCL, a Maryland corporation generally cannot dissolve, amend its charter, merge, sell all or substantially all of its assets, convert into another entity, engage in a statutory share exchange or engage in similar transactions outside the ordinary course of business unless declared advisable by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20" w:h="16838" w:orient="portrait"/>
          <w:cols w:equalWidth="0" w:num="1">
            <w:col w:w="11140"/>
          </w:cols>
          <w:pgMar w:left="340" w:top="666" w:right="438"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and approved by its stockholders by the affirmative vote of two-thirds of the votes entitled to be cast on the matter, unless a lesser percentage (but not less than a majority of all of the votes entitled to be cast on the matter) is set forth in the corporation’s charter. Except for certain charter amendments, our charter provides that any such action shall be effective if approved by the affirmative vote of stockholders entitled to cast a majority of all of the votes entitled to be cast on the matter. However, our operating assets may be held by our subsidiaries and these subsidiaries may be able to transfer all of their assets without any vote of our stockholders.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authorizes our board of directors to reclassify any unissued shares of our common stock into other classes or series of stock, and to establish the number of shares in each class or series, and to set the preferences, conversion and other rights, voting powers, restrictions, limitations as to dividends or other distributions, qualifications and terms and conditions of redemption for each such class or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Increase Authorized Stock and Issue Additional Shares of Our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power of our board of directors to (1) amend our charter to increase the number of authorized shares of stock or the number of authorized shares of stock of any class or series, (2) cause us to issue additional authorized but unissued shares of our common stock and (3) classify or reclassify unissued shares of our common stock and thereafter to cause us to issue such classified or reclassified shares of stock will provide us with increased flexibility in structuring possible future financings and acquisitions and in meeting other needs which might arise. The additional classes or series, as well as the common stock, will be available for issuance without further action by our stockholders, unless stockholder consent is required by applicable law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our stockholders or otherwise be in their best interests.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REITs, we have adopted certain restrictions relating to the ownership and transfer of our common stock. See “Restrictions on Ownership and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20" w:h="16838" w:orient="portrait"/>
          <w:cols w:equalWidth="0" w:num="1">
            <w:col w:w="11120"/>
          </w:cols>
          <w:pgMar w:left="340" w:top="666" w:right="458"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This prospectus describes the general terms of our preferred stock. The following description is not complete and may not contain all of the information you should consider before investing in our preferred stock. For a more detailed description of these securities, you should read the applicable provisions of the MGCL and our charter, including the applicable articles supplementary, and bylaws, as amended and supplemented from time to time. Copies of our existing charter and bylaws are filed with the SEC and are incorporated herein by reference as exhibits to the registration statement of which this prospectus is a part. See “Where You Can Find More Information” and “Incorporation of Certain Documents by Reference.”</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we offer to sell a particular class or series of stock, we will describe the specific terms of the class or series in a prospectus supplement. Accordingly, for a description of the terms of any class or series of stock, you must refer to both the prospectus supplement relating to that class or series and the description of stock in this prospectus. To the extent the information contained in the prospectus supplement differs from this summary description, you should rely on the information in the prospectus supplement.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charter provides that we may issue up to 50,000,000 shares of preferred stock, par value $0.01 per share. Our charter authorizes our board of directors to amend our charter from time to time to increase or decrease the number of authorized shares of stock of any class or series without stockholder approval. As of December 31, 2023, no shares of preferred stock were issued and outstanding.</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any unissued shares of preferred stock and to reclassify any previously classified but unissued shares of stock of any class or series. Prior to issuance of shares of each class or series, our board of directors is required by the MGCL and our charter to set the preferences, conversion or other rights, voting powers, restrictions, including without limitation, restrictions on transferability, limitations as to dividends or other distributions, qualifications and terms and conditions of redemption for each such class or series. The issuance of preferred stock could adversely affect the voting power, dividend rights and other rights of holders of our common stock. Our board of directors could authorize the issuance of shares of preferred stock with terms and conditions which could have the effect of delaying, deferring or preventing a transaction or a change of control of our company that might involve a premium price for holders of our stock or otherwise be in their best interests. Management believes that the availability of preferred stock provides the company with increased flexibility in structuring possible future financings and acquisitions and in meeting other needs that might arise.</w:t>
      </w:r>
    </w:p>
    <w:p>
      <w:pPr>
        <w:spacing w:after="0" w:line="18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we issue. The preferences and other terms of the preferred stock of each class or series will be fixed by the articles supplementary relating to such class or series. The description of preferred stock set forth below and the description of the terms of a particular class or series of preferred stock set forth in the applicable prospectus supplement do not purport to be complete and are qualified in their entirety by reference to our charter, including the articles supplementary relating to that class or series, our bylaws and the MGCL.</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each class or series of preferred stock that we may offer or sell, will specify the terms of the preferred stock as follows:</w:t>
      </w:r>
    </w:p>
    <w:p>
      <w:pPr>
        <w:spacing w:after="0" w:line="67" w:lineRule="exact"/>
        <w:rPr>
          <w:sz w:val="20"/>
          <w:szCs w:val="20"/>
          <w:color w:val="auto"/>
        </w:rPr>
      </w:pPr>
    </w:p>
    <w:p>
      <w:pPr>
        <w:ind w:left="1120" w:hanging="448"/>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of the preferred stock;</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preferred stock offered, the liquidation preference per share and the offering price of the preferred stock;</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preferred stock;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20" w:h="16838" w:orient="portrait"/>
          <w:cols w:equalWidth="0" w:num="1">
            <w:col w:w="11120"/>
          </w:cols>
          <w:pgMar w:left="340" w:top="666" w:right="458"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38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dividends on the preferred stock are cumulative or not and, if cumulative, the date from which dividends on the preferred stock will accumulate;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preferred stock;</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stock;</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120" w:right="4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converted into our common stock, including the conversion price (or manner of calculation thereof);</w:t>
      </w:r>
    </w:p>
    <w:p>
      <w:pPr>
        <w:spacing w:after="0" w:line="67" w:lineRule="exact"/>
        <w:rPr>
          <w:rFonts w:ascii="Times New Roman" w:cs="Times New Roman" w:eastAsia="Times New Roman" w:hAnsi="Times New Roman"/>
          <w:sz w:val="18"/>
          <w:szCs w:val="18"/>
          <w:color w:val="auto"/>
        </w:rPr>
      </w:pPr>
    </w:p>
    <w:p>
      <w:pPr>
        <w:ind w:left="1120" w:right="28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preferred stock (to the extent not otherwise covered in this prospectus);</w:t>
      </w:r>
    </w:p>
    <w:p>
      <w:pPr>
        <w:spacing w:after="0" w:line="67"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actual and constructive ownership and restrictions on transfer, in each case as may be appropriate to preserve our status as a REIT;</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our company;</w:t>
      </w:r>
    </w:p>
    <w:p>
      <w:pPr>
        <w:spacing w:after="0" w:line="67"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such class or series of preferred stock as to dividend rights and rights upon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Unless otherwise specified in the applicable prospectus supplement, the preferred stock will, with respect to dividend rights and rights upon liquidation, dissolution or winding up of our company, rank: (1) senior to all classes or series of our common stock, and to any other class or series of our stock expressly designated as ranking junior to the preferred stock; (2) on parity with any class or series of our stock expressly designated as ranking on parity with the preferred stock; and (3) junior to any other class or series of our stock expressly designated as ranking senior to the preferred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so provided in the applicable prospectus supplement, the preferred stock will be subject to mandatory redemption or redemption at our option, as a whole or in part, in each case upon the terms, at the times and at the redemption prices set forth in the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any shares of any class or series of preferred stock are convertible into shares of our common stock will be set forth in the applicable prospectus supplement. The terms will include the number of shares of our common stock into which the shares of preferred stock are convertible, the conversion price, or manner of calculation thereof, the conversion period, provisions as to whether conversion will be at the option of the holders of such class or series of preferred stock or us, the events requiring an adjustment of the conversion price and provisions affecting conversion in the event of the redemption of such class or series of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Increase Authorized Stock and Issue Additional Shares of Our Preferred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without stockholder approval, to amend our charter from time to time to increase the number of authorized shares of stock or the number of authorized shares of stock of any class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20" w:h="16838" w:orient="portrait"/>
          <w:cols w:equalWidth="0" w:num="1">
            <w:col w:w="11100"/>
          </w:cols>
          <w:pgMar w:left="340" w:top="666" w:right="478"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series, to cause us to issue additional authorized but unissued shares of our preferred stock and to classify or reclassify unissued shares of our preferred stock and thereafter to cause us to issue such classified or reclassified shares of stock. The additional classes or series will be available for issuance without further action by our stockholders, unless stockholder consent is required by applicable law or the rules of any stock exchange or automated quotation system on which our securities may be listed or traded. Although our board of directors does not currently intend to do so, it could authorize us to issue a class or series that could, depending upon the terms of the particular class or series, delay, defer or prevent a transaction or a change of control of our company that might involve a premium price for our stockholders or otherwise be in their best interests.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 assist us in complying with certain U.S. federal income tax requirements applicable to REITs, we have adopted certain restrictions relating to the ownership and transfer of our common stock. We expect to adopt similar restrictions with respect to any class or series of preferred stock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20" w:h="16838" w:orient="portrait"/>
          <w:cols w:equalWidth="0" w:num="1">
            <w:col w:w="11140"/>
          </w:cols>
          <w:pgMar w:left="340" w:top="666" w:right="438"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at our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us, the depositary and the holders of the certificates evidencing depositary shares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summary of the terms of the depositary shares contained in this prospectus does not purport to be complete and is subject to, and qualified in its entirety by, the provisions of the deposit agreement, our charter and the form of articles supplementary that are, or will be, filed with the SEC for the applicable class or series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us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6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us)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No distribution will be made in respect of any depositary share to the extent that it represents any preferred stock transferred to a trust for the benefit of one or more charitable beneficiaries. See “Restrictions on Ownership and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the affairs of our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series of preferred stock represented by the applicable series of depositary shares is redeemable, such depositary shares will be redeemed from the proceeds received by the depositary resulting from the redemption, in whole or in part, of the preferred stock held by the depositary. Whenever we redeem any preferred stock held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20" w:h="16838" w:orient="portrait"/>
          <w:cols w:equalWidth="0" w:num="1">
            <w:col w:w="11100"/>
          </w:cols>
          <w:pgMar w:left="340" w:top="666" w:right="478"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the depositary, the depositary will redeem as of the same redemption date the number of depositary shares representing the shares of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Deposit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and from time to time be amended by agreement between us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will be permitted to be terminated by us upon not less than 30 days’ prior written notice to the applicable depositary if</w:t>
      </w:r>
    </w:p>
    <w:p>
      <w:pPr>
        <w:spacing w:after="0" w:line="27" w:lineRule="exact"/>
        <w:rPr>
          <w:sz w:val="20"/>
          <w:szCs w:val="20"/>
          <w:color w:val="auto"/>
        </w:rPr>
      </w:pPr>
    </w:p>
    <w:p>
      <w:pPr>
        <w:ind w:left="120" w:right="140" w:firstLine="1"/>
        <w:spacing w:after="0" w:line="251"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is necessary to preserve our status as a REIT or (2)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We will agree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(a) all outstanding depositary shares thereunder shall have been redeemed, (b) there shall have been a final distribution in respect of the related preferred stock in connection with</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20" w:h="16838" w:orient="portrait"/>
          <w:cols w:equalWidth="0" w:num="1">
            <w:col w:w="11120"/>
          </w:cols>
          <w:pgMar w:left="340" w:top="666" w:right="458"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liquidation, dissolution or winding-up of our company and such distribution shall have been distributed to the holders of depositary receipts evidencing the depositary shares representing such preferred stock or (c) each share of the related preferred stock shall have been converted into stock of our company not so represented by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notices, reports and proxy soliciting material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us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our company assumes any obligation, or will be subject to any liability under the deposit agreement, to holders of depositary receipts other than for its negligence or willful misconduct. Neither the depositary nor our company will be liable if it is prevented or delayed by law or any circumstance beyond its control in performing its obligations under the deposit agreement. The obligations of our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Our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us, on the other hand, the depositary shall be entitled to act on such claims, requests or instructions received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20" w:h="16838" w:orient="portrait"/>
          <w:cols w:equalWidth="0" w:num="1">
            <w:col w:w="11120"/>
          </w:cols>
          <w:pgMar w:left="340" w:top="666" w:right="458"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preferred stock, depositary shares or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of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120" w:right="160" w:hanging="448"/>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or preferred stock or depositary shares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120" w:right="120" w:hanging="448"/>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 or depositary shares;</w:t>
      </w:r>
    </w:p>
    <w:p>
      <w:pPr>
        <w:spacing w:after="0" w:line="67" w:lineRule="exact"/>
        <w:rPr>
          <w:rFonts w:ascii="Times New Roman" w:cs="Times New Roman" w:eastAsia="Times New Roman" w:hAnsi="Times New Roman"/>
          <w:sz w:val="18"/>
          <w:szCs w:val="18"/>
          <w:color w:val="auto"/>
        </w:rPr>
      </w:pPr>
    </w:p>
    <w:p>
      <w:pPr>
        <w:ind w:left="1120" w:right="420" w:hanging="448"/>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120" w:right="40" w:hanging="448"/>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common stock, preferred stock or depositary shares will be separately transferable;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warrants; and</w:t>
      </w:r>
    </w:p>
    <w:p>
      <w:pPr>
        <w:spacing w:after="0" w:line="130" w:lineRule="exact"/>
        <w:rPr>
          <w:rFonts w:ascii="Times New Roman" w:cs="Times New Roman" w:eastAsia="Times New Roman" w:hAnsi="Times New Roman"/>
          <w:sz w:val="18"/>
          <w:szCs w:val="18"/>
          <w:color w:val="auto"/>
        </w:rPr>
      </w:pPr>
    </w:p>
    <w:p>
      <w:pPr>
        <w:ind w:left="1120" w:right="180" w:hanging="448"/>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120" w:hanging="448"/>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Each warrant will entitle its holder to purchase the principal amount of debt securities or the number of shares of our common stock or preferred stock or depositary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20" w:h="16838" w:orient="portrait"/>
          <w:cols w:equalWidth="0" w:num="1">
            <w:col w:w="11100"/>
          </w:cols>
          <w:pgMar w:left="340" w:top="666" w:right="478"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 office indicated in the applicable prospectus supplement. Until any warrants to purchase debt securities are exercised, the holders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shares of our common stock or preferred stock or depositary shares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20" w:h="16838" w:orient="portrait"/>
          <w:cols w:equalWidth="0" w:num="1">
            <w:col w:w="11080"/>
          </w:cols>
          <w:pgMar w:left="340" w:top="666" w:right="498"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shares of our common stock or preferred stock. Each series of rights will be issued under a separate rights agreement to be entered into between us and a bank or trust company, as rights agent. The statements made in this section relating to the rights are summaries only. These summaries are not complete. This prospectus and any accompanying prospectus supplement will contain the material terms and conditions for each right. To the extent the information contained in the applicable prospectus supplement differs from this summary description, you should rely on the information in the prospectus supplement. For more detail, we refer you to the applicable rights agreement itself, which we will file as an exhibit to, or incorporate by reference in, the registration statement of which this prospectus is a part.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we offer any series of rights, certain terms of that series of rights will be described in the applicable prospectus supplement, including, without limitation, the following:</w:t>
      </w:r>
    </w:p>
    <w:p>
      <w:pPr>
        <w:spacing w:after="0" w:line="67" w:lineRule="exact"/>
        <w:rPr>
          <w:sz w:val="20"/>
          <w:szCs w:val="20"/>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shares of our common stock or preferred stock purchasable upon exercise of the rights;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rights;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Each right will entitle the holder of rights to purchase for cash the principal amount of shares of our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our common stock or preferred stock purchasable upon exercise of the rights. If less than all of the rights issued in any rights offering are exercised, we may offer any unsubscribed securities directly, to or through agents, underwriters or dealers, or through a combination of such methods, including pursuant to standby underwriting arrangements, as described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20" w:h="16838" w:orient="portrait"/>
          <w:cols w:equalWidth="0" w:num="1">
            <w:col w:w="11120"/>
          </w:cols>
          <w:pgMar w:left="340" w:top="666" w:right="458"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the applicable prospectus supplement and any free writing prospectus that we may authorize to be provided to you relating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an investment in the units;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20" w:h="16838" w:orient="portrait"/>
          <w:cols w:equalWidth="0" w:num="1">
            <w:col w:w="11080"/>
          </w:cols>
          <w:pgMar w:left="340" w:top="666" w:right="498"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only, “the operating partnership,” “we,” “our” or “us” refer to Extra Space Storage LP excluding our subsidiaries,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the trustees of ESS Holdings Business Trust I and set forth or determined in the manner provided in such resolution,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120" w:hanging="448"/>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120" w:right="120" w:hanging="448"/>
        <w:spacing w:after="0" w:line="261"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120" w:right="60" w:hanging="448"/>
        <w:spacing w:after="0" w:line="266"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20" w:h="16838" w:orient="portrait"/>
          <w:cols w:equalWidth="0" w:num="1">
            <w:col w:w="11140"/>
          </w:cols>
          <w:pgMar w:left="340" w:top="666" w:right="438"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660" w:hanging="448"/>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120" w:hanging="448"/>
        <w:spacing w:after="0" w:line="266"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120" w:right="300" w:hanging="448"/>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120" w:right="540" w:hanging="448"/>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120" w:right="820" w:hanging="448"/>
        <w:spacing w:after="0" w:line="312" w:lineRule="auto"/>
        <w:tabs>
          <w:tab w:leader="none" w:pos="11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45" w:lineRule="exact"/>
        <w:rPr>
          <w:rFonts w:ascii="Times New Roman" w:cs="Times New Roman" w:eastAsia="Times New Roman" w:hAnsi="Times New Roman"/>
          <w:sz w:val="17"/>
          <w:szCs w:val="17"/>
          <w:color w:val="auto"/>
        </w:rPr>
      </w:pPr>
    </w:p>
    <w:p>
      <w:pPr>
        <w:ind w:left="1120" w:right="460" w:hanging="448"/>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120" w:right="40" w:hanging="448"/>
        <w:spacing w:after="0" w:line="266"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ind w:left="1120" w:right="100" w:hanging="448"/>
        <w:spacing w:after="0" w:line="266"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120" w:right="80" w:hanging="448"/>
        <w:spacing w:after="0" w:line="312" w:lineRule="auto"/>
        <w:tabs>
          <w:tab w:leader="none" w:pos="11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5" w:lineRule="exact"/>
        <w:rPr>
          <w:rFonts w:ascii="Times New Roman" w:cs="Times New Roman" w:eastAsia="Times New Roman" w:hAnsi="Times New Roman"/>
          <w:sz w:val="17"/>
          <w:szCs w:val="17"/>
          <w:color w:val="auto"/>
        </w:rPr>
      </w:pPr>
    </w:p>
    <w:p>
      <w:pPr>
        <w:ind w:left="1120" w:hanging="448"/>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120" w:right="120" w:hanging="448"/>
        <w:spacing w:after="0" w:line="266"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120" w:right="180" w:hanging="448"/>
        <w:spacing w:after="0" w:line="266"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120" w:right="200" w:hanging="448"/>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20" w:h="16838" w:orient="portrait"/>
          <w:cols w:equalWidth="0" w:num="1">
            <w:col w:w="11100"/>
          </w:cols>
          <w:pgMar w:left="340" w:top="666" w:right="478"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2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Certificated Debt Securities</w:t>
      </w:r>
      <w:r>
        <w:rPr>
          <w:rFonts w:ascii="Times New Roman" w:cs="Times New Roman" w:eastAsia="Times New Roman" w:hAnsi="Times New Roman"/>
          <w:sz w:val="17"/>
          <w:szCs w:val="17"/>
          <w:color w:val="auto"/>
        </w:rPr>
        <w:t>. You may transfer or exchange certificated debt securities at any office we maintain for this purpose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5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120" w:right="380" w:hanging="448"/>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the operating partnership) is a corporation, partnership, trust or other entity organized and validly existing under the laws of any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20" w:h="16838" w:orient="portrait"/>
          <w:cols w:equalWidth="0" w:num="1">
            <w:col w:w="11100"/>
          </w:cols>
          <w:pgMar w:left="340" w:top="666" w:right="478"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domestic jurisdiction and expressly assumes our obligations on the debt securities and under the indenture;</w:t>
      </w:r>
    </w:p>
    <w:p>
      <w:pPr>
        <w:spacing w:after="0" w:line="131" w:lineRule="exact"/>
        <w:rPr>
          <w:sz w:val="20"/>
          <w:szCs w:val="20"/>
          <w:color w:val="auto"/>
        </w:rPr>
      </w:pPr>
    </w:p>
    <w:p>
      <w:pPr>
        <w:ind w:left="1120" w:hanging="448"/>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120" w:right="260" w:hanging="448"/>
        <w:spacing w:after="0" w:line="266"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successor person, then each guarantor, unless it has become the successor person, shall confirm that its guarantee shall continue to apply to the obligations under the debt securities and the indenture to the same extent as prior to such merger, conveyance, transfer or lease, as applicable.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issued by the operating partnership will be fully and unconditionally guaranteed by Extra Space Storage Inc. and the Guarantors. These guarantees will be joint and several obligations of the guarantors. If a series of debt securities is so guaranteed, an indenture, or a supplemental indenture thereto, will be executed by the guarantors. The obligations of the guarantors under the guarantee will be limited as necessary to prevent that guarantee from constituting a fraudulent conveyance under applicable law. The terms of the guarantees will be set forth in the applicable prospectus supplement.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120" w:right="100" w:hanging="448"/>
        <w:spacing w:after="0" w:line="266"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120" w:right="140" w:hanging="448"/>
        <w:spacing w:after="0" w:line="258"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the operating partnership and the trustee receive written notice from the holders of not less than a majority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the operating partnership or any guarantor; or</w:t>
      </w:r>
    </w:p>
    <w:p>
      <w:pPr>
        <w:spacing w:after="0" w:line="130"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20" w:h="16838" w:orient="portrait"/>
          <w:cols w:equalWidth="0" w:num="1">
            <w:col w:w="11100"/>
          </w:cols>
          <w:pgMar w:left="340" w:top="666" w:right="478"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120" w:right="100" w:hanging="448"/>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120" w:hanging="448"/>
        <w:spacing w:after="0" w:line="261"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the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20" w:h="16838" w:orient="portrait"/>
          <w:cols w:equalWidth="0" w:num="1">
            <w:col w:w="11120"/>
          </w:cols>
          <w:pgMar w:left="340" w:top="666" w:right="458"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debt securities of any series as permitted by the indenture;</w:t>
      </w:r>
    </w:p>
    <w:p>
      <w:pPr>
        <w:spacing w:after="0" w:line="142" w:lineRule="exact"/>
        <w:rPr>
          <w:rFonts w:ascii="Times New Roman" w:cs="Times New Roman" w:eastAsia="Times New Roman" w:hAnsi="Times New Roman"/>
          <w:sz w:val="17"/>
          <w:szCs w:val="17"/>
          <w:color w:val="auto"/>
        </w:rPr>
      </w:pPr>
    </w:p>
    <w:p>
      <w:pPr>
        <w:ind w:left="1120" w:right="740" w:hanging="448"/>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any guarantor in accordance with Article XII of the indenture;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with respect to any or all of the securities or to secure any or all of the securities or the guarantees (Section 9.1)</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120" w:hanging="448"/>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120" w:hanging="448"/>
        <w:spacing w:after="0" w:line="28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120" w:right="180" w:hanging="448"/>
        <w:spacing w:after="0" w:line="26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120" w:right="320" w:hanging="448"/>
        <w:spacing w:after="0" w:line="26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20" w:h="16838" w:orient="portrait"/>
          <w:cols w:equalWidth="0" w:num="1">
            <w:col w:w="11120"/>
          </w:cols>
          <w:pgMar w:left="340" w:top="666" w:right="458"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hanging="448"/>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or</w:t>
      </w:r>
    </w:p>
    <w:p>
      <w:pPr>
        <w:spacing w:after="0" w:line="130" w:lineRule="exact"/>
        <w:rPr>
          <w:rFonts w:ascii="Times New Roman" w:cs="Times New Roman" w:eastAsia="Times New Roman" w:hAnsi="Times New Roman"/>
          <w:sz w:val="18"/>
          <w:szCs w:val="18"/>
          <w:color w:val="auto"/>
        </w:rPr>
      </w:pPr>
    </w:p>
    <w:p>
      <w:pPr>
        <w:ind w:left="1120" w:right="140" w:hanging="448"/>
        <w:spacing w:after="0" w:line="28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entitled to the benefit of a guarantee, release any guarantor of such series other than as provided in the indenture or modify the guarantee in any manner adverse to the holders. (Section 9.3)</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the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(“IRS”)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compliance with certain conditions:</w:t>
      </w:r>
    </w:p>
    <w:p>
      <w:pPr>
        <w:spacing w:after="0" w:line="66" w:lineRule="exact"/>
        <w:rPr>
          <w:sz w:val="20"/>
          <w:szCs w:val="20"/>
          <w:color w:val="auto"/>
        </w:rPr>
      </w:pPr>
    </w:p>
    <w:p>
      <w:pPr>
        <w:ind w:left="1120" w:right="120" w:hanging="448"/>
        <w:spacing w:after="0" w:line="26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120" w:hanging="448"/>
        <w:spacing w:after="0" w:line="282"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120" w:right="20" w:hanging="448"/>
        <w:spacing w:after="0" w:line="289" w:lineRule="auto"/>
        <w:tabs>
          <w:tab w:leader="none" w:pos="11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20" w:h="16838" w:orient="portrait"/>
          <w:cols w:equalWidth="0" w:num="1">
            <w:col w:w="11060"/>
          </w:cols>
          <w:pgMar w:left="340" w:top="666" w:right="518"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80"/>
        <w:spacing w:after="0" w:line="266" w:lineRule="auto"/>
        <w:rPr>
          <w:sz w:val="20"/>
          <w:szCs w:val="20"/>
          <w:color w:val="auto"/>
        </w:rPr>
      </w:pPr>
      <w:r>
        <w:rPr>
          <w:rFonts w:ascii="Times New Roman" w:cs="Times New Roman" w:eastAsia="Times New Roman" w:hAnsi="Times New Roman"/>
          <w:sz w:val="18"/>
          <w:szCs w:val="18"/>
          <w:color w:val="auto"/>
        </w:rPr>
        <w:t>recognized firm of independent public accountants or investment bank to pay and discharge each installment of the principal of, and the premium and interest on, and any mandatory sinking fund payments in respect of the debt securities of that series on the stated maturity of those payments in accordance with the terms of the indenture and those debt securities; and</w:t>
      </w:r>
    </w:p>
    <w:p>
      <w:pPr>
        <w:spacing w:after="0" w:line="81" w:lineRule="exact"/>
        <w:rPr>
          <w:sz w:val="20"/>
          <w:szCs w:val="20"/>
          <w:color w:val="auto"/>
        </w:rPr>
      </w:pPr>
    </w:p>
    <w:p>
      <w:pPr>
        <w:ind w:left="1120" w:right="200" w:hanging="448"/>
        <w:spacing w:after="0" w:line="261" w:lineRule="auto"/>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indenture will be discharged and will cease to be of further effect (except as to surviving rights or registration of transfer or exchange of the debt securities, as expressly provided for in the indenture) as to all outstanding debt securities when:</w:t>
      </w:r>
    </w:p>
    <w:p>
      <w:pPr>
        <w:spacing w:after="0" w:line="67" w:lineRule="exact"/>
        <w:rPr>
          <w:sz w:val="20"/>
          <w:szCs w:val="20"/>
          <w:color w:val="auto"/>
        </w:rPr>
      </w:pPr>
    </w:p>
    <w:p>
      <w:pPr>
        <w:ind w:left="1120" w:hanging="448"/>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60" w:right="540" w:hanging="337"/>
        <w:spacing w:after="0" w:line="282" w:lineRule="auto"/>
        <w:tabs>
          <w:tab w:leader="none" w:pos="15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theretofore authenticated and delivered (except lost, stolen or destroyed debt securities which have been replaced or paid) have been delivered to the trustee for cancellation; or</w:t>
      </w:r>
    </w:p>
    <w:p>
      <w:pPr>
        <w:spacing w:after="0" w:line="67" w:lineRule="exact"/>
        <w:rPr>
          <w:rFonts w:ascii="Times New Roman" w:cs="Times New Roman" w:eastAsia="Times New Roman" w:hAnsi="Times New Roman"/>
          <w:sz w:val="18"/>
          <w:szCs w:val="18"/>
          <w:color w:val="auto"/>
        </w:rPr>
      </w:pPr>
    </w:p>
    <w:p>
      <w:pPr>
        <w:ind w:left="1560" w:hanging="337"/>
        <w:spacing w:after="0" w:line="255" w:lineRule="auto"/>
        <w:tabs>
          <w:tab w:leader="none" w:pos="15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not theretofore delivered to the trustee for cancellation have become due and payable by reason of sending a notice of redemption, will become due and payable at their maturity within one year, have been called for redemption or are to be called for redemption within one year, or are deemed paid and discharged pursuant to the legal defeasance provisions of the indenture, and our operating partnership has irrevocably deposited or caused to be irrevocably deposited with the trustee as trust funds in trust cash or noncallable U.S. government obligations in an amount sufficient to pay and discharge each installment of principal (including mandatory sinking fund or analogous payments) of and interest on all such debt securities on the dates such installments of principal or interest are due;</w:t>
      </w:r>
    </w:p>
    <w:p>
      <w:pPr>
        <w:spacing w:after="0" w:line="94"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partnership has paid or caused to be paid all other sums payable under the indenture by our operating partnership; and</w:t>
      </w:r>
    </w:p>
    <w:p>
      <w:pPr>
        <w:spacing w:after="0" w:line="130" w:lineRule="exact"/>
        <w:rPr>
          <w:rFonts w:ascii="Times New Roman" w:cs="Times New Roman" w:eastAsia="Times New Roman" w:hAnsi="Times New Roman"/>
          <w:sz w:val="18"/>
          <w:szCs w:val="18"/>
          <w:color w:val="auto"/>
        </w:rPr>
      </w:pPr>
    </w:p>
    <w:p>
      <w:pPr>
        <w:ind w:left="1120" w:right="420" w:hanging="448"/>
        <w:spacing w:after="0" w:line="312" w:lineRule="auto"/>
        <w:tabs>
          <w:tab w:leader="none" w:pos="11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partnership has delivered to the trustee an officer’s certificate and an opinion of counsel, each stating that all conditions precedent provided for in the indenture relating to the satisfaction and discharge of the indenture have been complied with.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 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 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20" w:h="16838" w:orient="portrait"/>
          <w:cols w:equalWidth="0" w:num="1">
            <w:col w:w="11140"/>
          </w:cols>
          <w:pgMar w:left="340" w:top="666" w:right="438"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ectPr>
          <w:pgSz w:w="11920" w:h="16838" w:orient="portrait"/>
          <w:cols w:equalWidth="0" w:num="1">
            <w:col w:w="11060"/>
          </w:cols>
          <w:pgMar w:left="340" w:top="666" w:right="518"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(collectively, “global securities”). The global securities will be deposited with, or on behalf of, the Depositary and registered in the name of Cede &amp; Co., the nominee of the Depositary.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has advised us that it is:</w:t>
      </w:r>
    </w:p>
    <w:p>
      <w:pPr>
        <w:spacing w:after="0" w:line="131" w:lineRule="exact"/>
        <w:rPr>
          <w:sz w:val="20"/>
          <w:szCs w:val="20"/>
          <w:color w:val="auto"/>
        </w:rPr>
      </w:pPr>
    </w:p>
    <w:p>
      <w:pPr>
        <w:ind w:left="1120" w:hanging="44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Depositary holds securities that its participants deposit with the Depositary. The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the Depositary include securities brokers and dealers, including underwriters, banks, trust companies, clearing corporations and other organizations. The Depositary is a wholly-owned subsidiary of The Depository Trust &amp; Clearing Corporation (“DTCC”). DTCC is the holding company for the Depositary, National Securities Clearing Corporation and Fixed Income Clearing Corporation, all of which are registered clearing agencies. DTCC is owned by the users of its regulated subsidiaries. Access to the Depositary system is also available to others, which we sometimes refer to as indirect participants, that clear through or maintain a custodial relationship with a direct participant, either directly or indirectly. The rules applicable to the Depositary and its participants are on file with the SEC.</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Depositary system must be made by or through direct participants, which will receive a credit for the securities on the Depositary’s records. The ownership interest of the actual purchaser of a security, which we sometimes refer to as a beneficial owner, is in turn recorded on the direct and indirect participants’ records. Beneficial owners of securities will not receive written confirmation from the Depositary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the Depositary will be registered in the name of the Depositary’s partnership nominee, Cede &amp; Co., or such other name as may be requested by an authorized representative of the Depositary. The deposit of securities with the Depositary and their registration in the name of Cede &amp; Co. or such other nominee will not change the beneficial ownership of the securities. The Depositary has no knowledge of the actual beneficial owners of the securities. The Depositary’s records reflect only the identity of the direct participants to whose accounts the securities are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20" w:h="16838" w:orient="portrait"/>
          <w:cols w:equalWidth="0" w:num="1">
            <w:col w:w="11080"/>
          </w:cols>
          <w:pgMar w:left="340" w:top="666" w:right="498"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credited, which may or may not be the beneficial owners. The participants are responsible for keeping account of their holdings on behalf of their customers.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the Depositary. If less than all of the securities of a particular series are being redeemed, the Depositary’s practice is to determine by lot the amount of the interest of each direct participant in the securities of such series to be redeemed.</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(or such other nominee of the Depositary) will consent or vote with respect to the securities. Under its usual procedures, the Depositary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the Depositary. The Depositary’s practice is to credit direct participants’ accounts upon the Depositary’s receipt of funds and corresponding detail information from us on the payment date in accordance with their respective holdings shown on the Depositary’s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the Depositary or us, subject to any statutory or regulatory requirements in effect from time to time. Payment of redemption proceeds, distributions and dividend payments to Cede &amp; Co., or such other nominee as may be requested by an authorized representative of the Depositary, is our responsibility, disbursement of payments to direct participants is the responsibility of the Depositary, and disbursement of payments to the beneficial owners is the responsibility of direct and indirect participants.</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the Depositary and its participants to exercise any rights under the securities and the indenture.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20" w:h="16838" w:orient="portrait"/>
          <w:cols w:equalWidth="0" w:num="1">
            <w:col w:w="11140"/>
          </w:cols>
          <w:pgMar w:left="340" w:top="666" w:right="438"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120" w:hanging="448"/>
        <w:spacing w:after="0" w:line="261" w:lineRule="auto"/>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us that it is unwilling or unable to continue as a depositary for the global security or securities representing such series of securities or if the Depositary ceases to be a clearing agency registered under the Exchange Act at a time when it is required to be registered and a successor depositary is not appointed within 90 days of the notification to us or of our becoming aware of the Depositary’s ceasing to be so registered, as the case may be,</w:t>
      </w:r>
    </w:p>
    <w:p>
      <w:pPr>
        <w:spacing w:after="0" w:line="85"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the Depositary’s books.</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the one hand, and other participants in the Depositary, on the other hand, are also subject to the Depositary’s rules and procedures.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the Depositary, on the one hand, and participants in Euroclear or Clearstream, on the other hand, will be effected through the Depositary in accordance with the Depositary’s rules on behalf of Euroclear or Clearstream, as the case may be, by their respective U.S. depositaries; however, such cross-market transactions will require delivery of instructions to Euroclear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20" w:h="16838" w:orient="portrait"/>
          <w:cols w:equalWidth="0" w:num="1">
            <w:col w:w="11120"/>
          </w:cols>
          <w:pgMar w:left="340" w:top="666" w:right="458"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the Depositary,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the Depositary will be credited, and any such crediting will be reported to the relevant participant in Euroclear or Clearstream, during the securities settlement processing day (which must be a business day for Euroclear or Clearstream) immediately following the settlement date of the Depositary. Cash received in Euroclear or Clearstream as a result of sales of interests in a global security by or through a participant in Euroclear or Clearstream to a direct participant in the Depositary will be received with value on the settlement date of the Depositary but will be available in the relevant Euroclear or Clearstream cash account only as of the business day for Euroclear or Clearstream following the Depositary’s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the prospectus concerning the Depositary, Clearstream, Euroclear and their respective book-entry systems has been obtained from sources that we believe to be reliable, but we do not take responsibility for this information. This information has been provided solely as a matter of convenience. The rules and procedures of the Depositary,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the Depositary, Clearstream and Euroclear or their respective participants directly to discuss those matters. In addition, although we expect that the Depositary,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the Depositary,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20" w:h="16838" w:orient="portrait"/>
          <w:cols w:equalWidth="0" w:num="1">
            <w:col w:w="11100"/>
          </w:cols>
          <w:pgMar w:left="340" w:top="666" w:right="478"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22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general terms and provisions of our charter regarding restrictions on the ownership and transfer of our stock. This summary does not purport to be complete and is subject to and qualified in its entirety by reference to our charter. A copy of our charter is filed with the SEC and is incorporated by reference herein. See “Where You Can Find More Information” and “Incorporation of Certain Documents by Reference.”</w:t>
      </w:r>
    </w:p>
    <w:p>
      <w:pPr>
        <w:spacing w:after="0" w:line="18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us to qualify as a REIT under the Code, our stock must be beneficially owned by 100 or more persons during at least 335 days of a taxable year of twelve months (other than the first year for which an election to be a REIT has been made) or during a proportionate part of a shorter taxable year. Also, not more than 50% of the value of our outstanding shares of stock may be owned, directly or indirectly, by five or fewer individuals (for this purpose, the term “individual” includes a supplemental unemployment compensation benefit plan, a private foundation or a portion of a trust permanently set aside or used exclusively for charitable purposes, but generally does not include a qualified pension plan or profit sharing trust) during the last half of a taxable year (other than the first year for which an election to be a REIT has been made).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charter contains restrictions on the ownership and transfer of our common stock and outstanding capital stock which are intended to assist us in complying with these requirements and continuing to qualify as a REIT, among other purposes. The relevant sections of our charter provide that, subject to the exceptions described below, no person or entity (other than a designated investment entity) may beneficially own, or be deemed to own by virtue of the applicable constructive ownership provisions of the Code, more than 7.0% (by value or by number of shares, whichever is more restrictive) of our outstanding common stock (the common stock ownership limit) or 7.0% (by value or by number of shares, whichever is more restrictive) of our outstanding capital stock (the aggregate stock ownership limit). No designated investment entity (as defined in our charter) may beneficially own, or be deemed to own by virtue of the applicable constructive ownership provisions of the Code, more than 9.8% (by value or by number of shares, whichever is more restrictive) of our outstanding common stock or 9.8% (by value or by number of shares, whichever is more restrictive) of our outstanding capital stock. We refer to these restrictions as the “ownership limits.” In addition, different excepted holder ownership limits apply to the family of Kenneth M. Woolley, our Chairman, and certain of his affiliates, family members and estates and trusts formed for the benefit of the foregoing, and Spencer F. Kirk, a director and our former Chief Executive Officer, and certain of his affiliates, family members and estates and trusts formed for the benefit of the foregoing. A person or entity that becomes subject to the ownership limit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our common stock, or is referred to as a “purported record transferee” if, had the violative transfer been effective, the person or entity would have been solely a record owner of our common stock.</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defines a “designated investment entity” as:</w:t>
      </w:r>
    </w:p>
    <w:p>
      <w:pPr>
        <w:spacing w:after="0" w:line="131" w:lineRule="exact"/>
        <w:rPr>
          <w:sz w:val="20"/>
          <w:szCs w:val="20"/>
          <w:color w:val="auto"/>
        </w:rPr>
      </w:pPr>
    </w:p>
    <w:p>
      <w:pPr>
        <w:ind w:left="1120" w:hanging="448"/>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is a pension trust that qualifies for look-through treatment under Section 856(h) of the Code;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qualifies as a regulated investment company under Section 851 of the Code; or</w:t>
      </w:r>
    </w:p>
    <w:p>
      <w:pPr>
        <w:spacing w:after="0" w:line="130" w:lineRule="exact"/>
        <w:rPr>
          <w:rFonts w:ascii="Times New Roman" w:cs="Times New Roman" w:eastAsia="Times New Roman" w:hAnsi="Times New Roman"/>
          <w:sz w:val="18"/>
          <w:szCs w:val="18"/>
          <w:color w:val="auto"/>
        </w:rPr>
      </w:pPr>
    </w:p>
    <w:p>
      <w:pPr>
        <w:ind w:left="1120" w:right="100" w:hanging="448"/>
        <w:spacing w:after="0" w:line="256" w:lineRule="auto"/>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(a) for compensation engages in the business of advising others as to the value of securities or as to the advisability of investing in, purchasing, or selling securities; (b) purchases securities in the ordinary course of its business and not with the purpose or effect of changing or influencing control of us, nor in connection with or as a participant in any transaction having such purpose or effect, including any transaction subject to Rule 13d-3(b) of the Exchange Act; and (c) has or shares voting power and investment power within the meaning of Rule 13d-3(a) under the Exchange Act, so long as such beneficial owner of such entity, or in the case of an investment management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20" w:h="16838" w:orient="portrait"/>
          <w:cols w:equalWidth="0" w:num="1">
            <w:col w:w="11120"/>
          </w:cols>
          <w:pgMar w:left="340" w:top="666" w:right="458"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20"/>
        <w:spacing w:after="0" w:line="282" w:lineRule="auto"/>
        <w:rPr>
          <w:sz w:val="20"/>
          <w:szCs w:val="20"/>
          <w:color w:val="auto"/>
        </w:rPr>
      </w:pPr>
      <w:r>
        <w:rPr>
          <w:rFonts w:ascii="Times New Roman" w:cs="Times New Roman" w:eastAsia="Times New Roman" w:hAnsi="Times New Roman"/>
          <w:sz w:val="18"/>
          <w:szCs w:val="18"/>
          <w:color w:val="auto"/>
        </w:rPr>
        <w:t>company, the individual account holders of the accounts managed by such entity, would satisfy the 7.0% ownership limit if such beneficial owner or account holder owned directly its proportionate share of the shares held by the entity.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7.0% (by value or by number of shares, whichever is more restrictive) of our outstanding common stock or 7.0% (by value or by number of shares, whichever is more restrictive) of our outstanding capital stock (or the acquisition of an interest in an entity that owns, actually or constructively, our capital stock by an individual or entity), could, nevertheless, cause that individual or entity, or another individual or entity, to own constructively in excess of 7.0% (by value or by number of shares, whichever is more restrictive) of our outstanding common stock or 7.0% (by value or by number of shares, whichever is more restrictive) of our outstanding capital stock, and thereby violate one or more of the applicable ownership limits.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sole discretion, waive (prospectively or retroactively) the applicable ownership limit with respect to a particular stockholder if:</w:t>
      </w:r>
    </w:p>
    <w:p>
      <w:pPr>
        <w:spacing w:after="0" w:line="67" w:lineRule="exact"/>
        <w:rPr>
          <w:sz w:val="20"/>
          <w:szCs w:val="20"/>
          <w:color w:val="auto"/>
        </w:rPr>
      </w:pPr>
    </w:p>
    <w:p>
      <w:pPr>
        <w:ind w:left="1120" w:hanging="448"/>
        <w:spacing w:after="0" w:line="266"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obtains such representations and undertakings from such stockholder as are reasonably necessary to ascertain that no person’s beneficial or constructive ownership of our stock will result in our being “closely held” under Section 856(h) of the Code or otherwise failing to qualify as a REIT;</w:t>
      </w:r>
    </w:p>
    <w:p>
      <w:pPr>
        <w:spacing w:after="0" w:line="81" w:lineRule="exact"/>
        <w:rPr>
          <w:rFonts w:ascii="Times New Roman" w:cs="Times New Roman" w:eastAsia="Times New Roman" w:hAnsi="Times New Roman"/>
          <w:sz w:val="18"/>
          <w:szCs w:val="18"/>
          <w:color w:val="auto"/>
        </w:rPr>
      </w:pPr>
    </w:p>
    <w:p>
      <w:pPr>
        <w:ind w:left="1120" w:hanging="448"/>
        <w:spacing w:after="0" w:line="258"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determines that such stockholder does not own, and will not own, actually or constructively, an interest in a tenant of ours (or a tenant of any entity owned in whole or in part by us) that would cause us to own, actually or constructively, more than a 9.9% interest (as set forth in Section 856(d)(2)(B) of the Code) in such tenant (or our board of directors determines that revenue derived from such tenant will not affect our ability to qualify as a REIT) and our board of directors obtains such representations and undertakings from such stockholder as are reasonably necessary to ascertain this fact; and</w:t>
      </w:r>
    </w:p>
    <w:p>
      <w:pPr>
        <w:spacing w:after="0" w:line="88" w:lineRule="exact"/>
        <w:rPr>
          <w:rFonts w:ascii="Times New Roman" w:cs="Times New Roman" w:eastAsia="Times New Roman" w:hAnsi="Times New Roman"/>
          <w:sz w:val="18"/>
          <w:szCs w:val="18"/>
          <w:color w:val="auto"/>
        </w:rPr>
      </w:pPr>
    </w:p>
    <w:p>
      <w:pPr>
        <w:ind w:left="1120" w:right="40" w:hanging="448"/>
        <w:spacing w:after="0" w:line="282"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agrees that any violation or attempted violation of such representations or undertakings, or other action which is contrary to the restrictions described herein, will result in such shares of stock being automatically transferred to a charitable trust.</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 condition of our waiver, our board of directors may require an opinion of counsel or an IRS ruling satisfactory to our board of directors with respect to our REIT qualification. Notwithstanding the receipt of any such opinion or ruling, our board of directors may impose such conditions or restrictions as it deems appropriate in connection with granting such waiver.</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waiver of an ownership limit or at any other time, our board of directors may from time to time increase or decrease the ownership limit for all other persons and entities; provided, however, that any decrease may be made only prospectively as to subsequent holders (other than a decrease as a result of a retroactive change in existing law, in which case the decrease shall be effective immediately); and the ownership limit may not be increased if, after giving effect to such increase, five persons (other than a designated investment entity) could beneficially own or constructively own in the aggregate, more than 49.9% of the value of our shares of capital stock then outstanding. A reduced ownership limit will not apply to any person or entity whose percentage ownership in our common stock or capital stock, as applicable, is in excess of such decreased ownership limit until such time as such person or entity’s percentage of our common stock or our capital stock, as applicable, equals or falls below the decreased ownership limit, but any further acquisition of our common stock or capital stock, as applicable, in excess of such percentage ownership of our common stock or capital stock will be in violation of the ownership limit.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20" w:h="16838" w:orient="portrait"/>
          <w:cols w:equalWidth="0" w:num="1">
            <w:col w:w="11120"/>
          </w:cols>
          <w:pgMar w:left="340" w:top="666" w:right="458"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further prohibits:</w:t>
      </w:r>
    </w:p>
    <w:p>
      <w:pPr>
        <w:spacing w:after="0" w:line="131" w:lineRule="exact"/>
        <w:rPr>
          <w:sz w:val="20"/>
          <w:szCs w:val="20"/>
          <w:color w:val="auto"/>
        </w:rPr>
      </w:pPr>
    </w:p>
    <w:p>
      <w:pPr>
        <w:ind w:left="1120" w:right="980" w:hanging="448"/>
        <w:spacing w:after="0" w:line="282" w:lineRule="auto"/>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beneficially or constructively owning shares of our stock that would result in our being “closely held” under Section 856(h) of the Code or otherwise cause us to fail to qualify as a REIT; and</w:t>
      </w:r>
    </w:p>
    <w:p>
      <w:pPr>
        <w:spacing w:after="0" w:line="67" w:lineRule="exact"/>
        <w:rPr>
          <w:rFonts w:ascii="Times New Roman" w:cs="Times New Roman" w:eastAsia="Times New Roman" w:hAnsi="Times New Roman"/>
          <w:sz w:val="18"/>
          <w:szCs w:val="18"/>
          <w:color w:val="auto"/>
        </w:rPr>
      </w:pPr>
    </w:p>
    <w:p>
      <w:pPr>
        <w:ind w:left="1120" w:right="180" w:hanging="448"/>
        <w:spacing w:after="0" w:line="282" w:lineRule="auto"/>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transferring shares of our common stock if such transfer would result in shares of our common stock being beneficially owned by fewer than 100 persons (determined without reference to any rules of attribution).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person who acquires or attempts to acquire beneficial or constructive ownership of shares of our capital stock that will, or may, violate any of the foregoing restrictions on transferability and ownership, will be required to give written notice immediately to us and provide us with such other information as we may request in order to determine the effect of such transfer or attempted transfer on our qualification as a REIT. The foregoing provisions on transferability and ownership will not apply if our board of directors determines that it is no longer in our best interests to attempt to qualify, or to continue to qualify, as a REIT.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our charter, if any transfer of common stock would result in such shares being beneficially owned by fewer than 100 persons, such transfer will be null and void and the intended transferee will acquire no rights in such shares. In addition, if any purported transfer of our capital stock, or any other event would otherwise result in any person violating the ownership limits, or such other limit as established by our board of directors, or in our being “closely held” under Section 856(h) of the Code, or otherwise failing to qualify as a REIT, then that number of shares (rounded up to the nearest whole share) that would cause us to violate such restrictions will be automatically transferred to, and held by, a trust for the exclusive benefit of one or more charitable organizations selected by us and the intended transferees will acquire no rights in such shares. The trustee of the trust will have all of the voting rights and rights to dividends or other distributions with respect to shares held in the trust. These rights will be exercised for the exclusive benefit of the charitable beneficiary. The automatic transfer will be effective as of the close of business on the business day prior to the date of the violative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of the trust. If the transfer to the trust as described above is not automatically effective, for any reason, to prevent the violation, then our charter provides that the transfer of the shares will be null and void and the intended transferee will acquire no rights in such shares.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our capital stock transferred to the trustee are deemed offered for sale to us, or our designee, at a price per share equal to the lesser of</w:t>
      </w:r>
    </w:p>
    <w:p>
      <w:pPr>
        <w:spacing w:after="0" w:line="27" w:lineRule="exact"/>
        <w:rPr>
          <w:sz w:val="20"/>
          <w:szCs w:val="20"/>
          <w:color w:val="auto"/>
        </w:rPr>
      </w:pPr>
    </w:p>
    <w:p>
      <w:pPr>
        <w:ind w:left="120" w:firstLine="1"/>
        <w:spacing w:after="0" w:line="252" w:lineRule="auto"/>
        <w:tabs>
          <w:tab w:leader="none" w:pos="3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by the purported record transferee for the shares (or, if the event which resulted in the transfer to the trust did not involve a purchase of such shares of our stock at market price, the last reported sales price on the trading day immediately preceding the day of the event which resulted in the transfer of such shares of our stock to the trust) and (2) the market price on the date we accept, or our designee accepts, such offer. We have the right to accept such offer until the trustee has sold the shares of our capital stock held in the trust pursuant to the clauses discussed below. Upon a sale to us, the interest of the charitable beneficiary in the shares sold terminates and the trustee must distribute the net proceeds of the sale to the purported record transferee and any dividends or other distributions held by the trustee with respect to such capital stock will be paid to the charitable beneficiary.</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we do not buy the shares, the trustee must, within 20 days of receiving notice from us of the transfer of shares to the trust, sell the shares to a person or entity designated by the trustee who could own the shares without violating the ownership limits.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trading day immediately preceding the relevant date) and (2) the sales proceeds (net of commissions and other expenses of sale) received by the trust for the shares. The purported beneficial transferee or purported record transferee has no rights in the shares held by the trustee.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20" w:h="16838" w:orient="portrait"/>
          <w:cols w:equalWidth="0" w:num="1">
            <w:col w:w="11100"/>
          </w:cols>
          <w:pgMar w:left="340" w:top="666" w:right="478"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be designated by us and shall be unaffiliated with us and with any purported record transferee or purported beneficial transferee. Prior to the sale of any shares by the trust, the trustee will receive, in trust for the beneficiary, all dividends and other distributions paid by us with respect to the shares, and may also exercise all voting rights with respect to the shares.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Subject to Maryland law, effective as of the date that the shares have been transferred to the trust, the trustee shall have the authority, at the trustee’s sole discretion:</w:t>
      </w:r>
    </w:p>
    <w:p>
      <w:pPr>
        <w:spacing w:after="0" w:line="67" w:lineRule="exact"/>
        <w:rPr>
          <w:sz w:val="20"/>
          <w:szCs w:val="20"/>
          <w:color w:val="auto"/>
        </w:rPr>
      </w:pPr>
    </w:p>
    <w:p>
      <w:pPr>
        <w:ind w:left="1120" w:right="220" w:hanging="448"/>
        <w:spacing w:after="0" w:line="282" w:lineRule="auto"/>
        <w:tabs>
          <w:tab w:leader="none" w:pos="1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rescind as void any vote cast by a purported record transferee prior to our discovery that the shares have been transferred to the trust; and</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recast such vote in accordance with the desires of the trustee acting for the benefit of the beneficiary of the trust.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have already taken irreversible corporate action, then the trustee may not rescind and recast the vote.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beneficial owner or constructive owner of shares of our capital stock and any person or entity (including the stockholder of record) who is holding shares of our capital stock for a beneficial owner must, within 30 days after the end of each taxable year, provide us with a completed questionnaire containing the information regarding their ownership of such shares, as set forth in the applicable Treasury Regulations (as defined below). In addition, any person or entity that is a beneficial owner or constructive owner of shares of our capital stock and any person or entity (including the stockholder of record) who is holding shares of our capital stock for a beneficial owner or constructive owner shall, on request, be required to disclose to us in writing such information as we may request in order to determine the effect, if any, of such stockholder’s actual and constructive ownership of shares of our capital stock on our qualification as a REIT and to ensure compliance with the ownership limits, or as otherwise permitted by our board of directors.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certificates, if any, representing shares of our capital stock bear a legend referring to the restrictions described above.</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ownership limits could delay, defer or prevent a transaction or a change of control of our company that might involve a premium price for our stock or otherwise be in the best interests of our stockholders.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20" w:h="16838" w:orient="portrait"/>
          <w:cols w:equalWidth="0" w:num="1">
            <w:col w:w="11080"/>
          </w:cols>
          <w:pgMar w:left="340" w:top="666" w:right="498"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PARTNERSHIP AGREEMENT OF EXTRA SPACE STORAGE LP</w:t>
      </w:r>
    </w:p>
    <w:p>
      <w:pPr>
        <w:spacing w:after="0" w:line="20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in the partnership agreement of our Operating Partnership. For more detail, you should refer to the partnership agreement itself, a copy of which is filed as an exhibit to the registration statement of which this prospectus is a part. See “Where You Can Find More Information.” For purposes of this section, references to “we,” “our,” “us,” and “our company” refer to Extra Space Storage Inc.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Management</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Operating Partnership was formed on May 5, 2004. As of December 31, 2023, our Operating Partnership had outstanding 7,970,487 common OP units, zero Series A Participating Redeemable Preferred Units (“Series A units”), 1,342,727 Series B Redeemable Preferred Units (“Series B units”), zero Series C Convertible Redeemable Preferred Units (“Series C units”), and 7,551,735 Series D Redeemable Preferred Units (“Series D units”). We collectively refer to the Series A units, Series B units, Series C units and Series D units as “preferred OP units”, and we collectively refer to the common OP units and preferred OP units as “OP units.” We held 95.2% of all outstanding OP units as of December 31, 2023 through two wholly-owned Massachusetts business trusts, one of which is the sole general partner of the Operating Partnership and the other is a limited partner. The remaining</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4.8% of the partnership interests were held by other limited partners. Pursuant to the partnership agreement, through our ownership of the Operating Partnership’s sole general partner, we have, subject to certain protective rights of limited partners described below, full, exclusive and complete responsibility and discretion in the management and control of the Operating Partnership, including the ability to cause the operating partnership to enter into certain major transactions, including a merger of the Operating Partnership or a sale of substantially all of its assets.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Operating Partnership’s limited partners expressly acknowledged that, as the sole owner of the general partner interests through a wholly-owned Massachusetts business trust, we are acting for the benefit of the Operating Partnership, the limited partners and our stockholders collectively. We are under no obligation to give priority to the separate interests of the limited partners or our stockholders in deciding whether to cause the Operating Partnership to take, or decline to take, any 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Liability and Indemnification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general partner and its trustees and officers are not liable to the Operating Partnership for losses sustained, liabilities incurred or benefits not derived as a result of errors in judgment or mistakes of fact or law or of any act or omission, so long as it acted in good faith. The partnership agreement provides for indemnification of us, any of our directors, and both our Operating Partnership’s and our officers or employees and other persons as the general partner may designate from and against all losses, claims, damages, liabilities, expenses, judgments, fines, settlements and other amounts incurred in connection with any actions relating to our Operating Partnership’s operations, as set forth in the partnership agreement (subject to the exceptions described below under “—Fiduciary Responsibilities”).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Fiduciary Responsibilities</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directors and officers have duties under applicable Maryland law to our company. At the same time, our Operating Partnership’s general partner has fiduciary duties under applicable Delaware law to the Operating Partnership and its limited partners. Our duties, through the general partner, to our Operating Partnership and its limited partners, therefore, may come into conflict with the duties of our directors and officers to our company.</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partnership agreement expressly limits our liability and that of the general partner by providing that we and our officers and directors and the general partner and its officers and trustees are not liable or accountable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20" w:h="16838" w:orient="portrait"/>
          <w:cols w:equalWidth="0" w:num="1">
            <w:col w:w="11140"/>
          </w:cols>
          <w:pgMar w:left="340" w:top="666" w:right="438"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damages to the Operating Partnership, its limited partners or assignees for errors in judgment or mistakes of fact or law or of any act or omission if we or our director or officer acted in good faith. In addition, our Operating Partnership is required to indemnify us, the general partner, a trustee of the general partner, our directors, officers and employees and the directors, officers and employees of our Operating Partnership to the maximum extent permitted by applicable law, against any and all losses, claims, damages, liabilities, expenses, judgments, fines and other actions incurred by our Operating Partnership or the other persons in connection with any actions relating to our Operating Partnership’s operations, provided that our Operating Partnership will not indemnify for willful misconduct or a knowing violation of the law, for any transaction for which the person received an improper personal benefit in violation or breach of any provision of the partnership agreement or, in the case of any criminal proceeding, if the person had reasonable cause to believe that the act or omission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partnership agreement provides that holders of OP units are entitled to receive quarterly distributions of available cash as follows:</w:t>
      </w:r>
    </w:p>
    <w:p>
      <w:pPr>
        <w:spacing w:after="0" w:line="225" w:lineRule="exact"/>
        <w:rPr>
          <w:sz w:val="20"/>
          <w:szCs w:val="20"/>
          <w:color w:val="auto"/>
        </w:rPr>
      </w:pPr>
    </w:p>
    <w:p>
      <w:pPr>
        <w:jc w:val="both"/>
        <w:ind w:left="120" w:right="20" w:firstLine="442"/>
        <w:spacing w:after="0" w:line="272" w:lineRule="auto"/>
        <w:tabs>
          <w:tab w:leader="none" w:pos="81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holders of Series A units (a) pro rata in proportion to their respective percentage interests, an amount equal to a fixed priority return of 2.3% on a stated amount of $101.7 million, and (b) the distributions that holders of Series A units would be entitled to receive if the Series A units were treated as part of a single class of units with common OP units and the Series A units shared in distribution with the common OP units pursuant to clause</w:t>
      </w:r>
    </w:p>
    <w:p>
      <w:pPr>
        <w:spacing w:after="0" w:line="1" w:lineRule="exact"/>
        <w:rPr>
          <w:rFonts w:ascii="Times New Roman" w:cs="Times New Roman" w:eastAsia="Times New Roman" w:hAnsi="Times New Roman"/>
          <w:sz w:val="17"/>
          <w:szCs w:val="17"/>
          <w:color w:val="auto"/>
        </w:rPr>
      </w:pPr>
    </w:p>
    <w:p>
      <w:pPr>
        <w:ind w:left="380" w:hanging="259"/>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proportionately based on the total aggregate number of outstanding Series A units and common OP units;</w:t>
      </w:r>
    </w:p>
    <w:p>
      <w:pPr>
        <w:spacing w:after="0" w:line="206" w:lineRule="exact"/>
        <w:rPr>
          <w:rFonts w:ascii="Times New Roman" w:cs="Times New Roman" w:eastAsia="Times New Roman" w:hAnsi="Times New Roman"/>
          <w:sz w:val="18"/>
          <w:szCs w:val="18"/>
          <w:color w:val="auto"/>
        </w:rPr>
      </w:pPr>
    </w:p>
    <w:p>
      <w:pPr>
        <w:ind w:left="120" w:right="40" w:firstLine="442"/>
        <w:spacing w:after="0" w:line="256" w:lineRule="auto"/>
        <w:tabs>
          <w:tab w:leader="none" w:pos="8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 to holders of Series B units pro rata in proportion to their respective percentage interests, an amount equal to a fixed priority return of 6.0% on a stated amount of $25.00 per Series B unit, (b) to holders of Series C units pro rata in proportion to their respective percentage interests, a priority quarterly return per unit equal to the average quarterly distribution payable in respect of such Series C units during the four consecutive fiscal quarters prior to the fifth anniversary of the date of issuance of such units, and (c) to holders of Series D units pro rata in proportion to their respective percentage interests, an amount equal to a fixed priority return, the rate of which will be established by the operating partnership and the holders of such Series D units upon issuance thereof;</w:t>
      </w:r>
    </w:p>
    <w:p>
      <w:pPr>
        <w:spacing w:after="0" w:line="187" w:lineRule="exact"/>
        <w:rPr>
          <w:rFonts w:ascii="Times New Roman" w:cs="Times New Roman" w:eastAsia="Times New Roman" w:hAnsi="Times New Roman"/>
          <w:sz w:val="18"/>
          <w:szCs w:val="18"/>
          <w:color w:val="auto"/>
        </w:rPr>
      </w:pPr>
    </w:p>
    <w:p>
      <w:pPr>
        <w:ind w:left="120" w:right="340" w:firstLine="442"/>
        <w:spacing w:after="0" w:line="282" w:lineRule="auto"/>
        <w:tabs>
          <w:tab w:leader="none" w:pos="8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with respect to any OP units that are entitled to any preference, other than the preferred OP units, in accordance with their respective percentage interests; and</w:t>
      </w:r>
    </w:p>
    <w:p>
      <w:pPr>
        <w:spacing w:after="0" w:line="161" w:lineRule="exact"/>
        <w:rPr>
          <w:rFonts w:ascii="Times New Roman" w:cs="Times New Roman" w:eastAsia="Times New Roman" w:hAnsi="Times New Roman"/>
          <w:sz w:val="18"/>
          <w:szCs w:val="18"/>
          <w:color w:val="auto"/>
        </w:rPr>
      </w:pPr>
    </w:p>
    <w:p>
      <w:pPr>
        <w:ind w:left="120" w:right="40" w:firstLine="442"/>
        <w:spacing w:after="0" w:line="282" w:lineRule="auto"/>
        <w:tabs>
          <w:tab w:leader="none" w:pos="8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with respect to any OP units that are not entitled to any preference in distribution, in accordance with the rights of such class of OP unit (and, within such class, pro rata in accordance with their respective percentage interests).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Allocations of Net Income and Net Loss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Net income and net loss of our Operating Partnership are determined and allocated with respect to each fiscal year of our Operating Partnership as of the end of the year. Except as otherwise provided in the partnership agreement, an allocation of a share of net income or net loss is treated as an allocation of the same share of each item of income, gain, loss or deduction that is taken into account in computing net income or net loss. Please see “U.S. Federal Income Tax Consequences—Taxation of Our Company—Tax Aspects of Our Operating Partnership, the Subsidiary Partnerships and the Limited Liability Companies—Allocations of Items of Income, Gain, Loss and Deduction” for a summary of certain provisions in the partnership agreement relating to allocations of partnership income and loss. Except as otherwise provided in the partnership agreement, for U.S. federal income tax purposes under the Code and the Treasury Regulations, each Operating Partnership item of income, gain, loss and deduction is allocated among the Operating Partnership’s limited partners in the same manner as its correlative item of book income, gain, loss or deduction is allocated pursuant to the partnership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20" w:h="16838" w:orient="portrait"/>
          <w:cols w:equalWidth="0" w:num="1">
            <w:col w:w="11120"/>
          </w:cols>
          <w:pgMar w:left="340" w:top="666" w:right="458"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After the first anniversary of becoming a holder of common OP units, each of the limited partners of our Operating Partnership has the right, subject to the terms and conditions set forth in the partnership agreement, to require our Operating Partnership to redeem all or a portion of the common OP units held by the party in exchange for a cash amount equal to the value of its common OP units, unless the terms of such common OP units or a separate agreement entered into between our Operating Partnership and the holder of such OP units provide that they are not entitled to a right of redemption. On or before the close of business on (1) the tenth business day with respect to redemptions effected by any limited partner who was a limited partner as of September 30, 2013, with respect to the OP units held by such limited partner as of September 30, 2013 or redemptions that qualify as a “private transfer” (including a “block transfer”) under Treasury Regulations Section 1.7704-1(e), as determined by us in our sole discretion or</w:t>
      </w:r>
    </w:p>
    <w:p>
      <w:pPr>
        <w:spacing w:after="0" w:line="2" w:lineRule="exact"/>
        <w:rPr>
          <w:sz w:val="20"/>
          <w:szCs w:val="20"/>
          <w:color w:val="auto"/>
        </w:rPr>
      </w:pPr>
    </w:p>
    <w:p>
      <w:pPr>
        <w:ind w:left="120" w:right="60" w:firstLine="1"/>
        <w:spacing w:after="0" w:line="253" w:lineRule="auto"/>
        <w:tabs>
          <w:tab w:leader="none" w:pos="3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sixty-first day with respect to all other redemptions, after our Operating Partnership receives a notice of redemption, we may, in our sole and absolute discretion, but subject to the restrictions on the ownership of our common stock imposed under our charter and the transfer restrictions and other limitations thereof, elect to acquire some or all of the tendered common OP units from the tendering holder in exchange for shares of our common stock, based on an exchange ratio of one share of our common stock for each common OP unit (subject to antidilution adjustments provided in the partnership agreement).</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holder of Series A units has the right, subject to the terms and conditions set forth in the partnership agreement or in any separate agreement that provides otherwise, to require our Operating Partnership to redeem all or a portion of its Series A units in exchange for a cash amount equal to, per Series A unit, the sum of (1) $101.7 million divided by the total number of Series A units outstanding, (2) any unpaid distributions with respect to such Series A unit and (3) the average closing price of our common stock on the NYSE for the ten consecutive trading days prior to the date of determination, multiplied by a factor that is adjusted for stock dividends, splits (reverse or otherwise) or subdivisions, which sum we refer to as the Series A unit redemption amount. We may, in our sole and absolute discretion, but subject to the restrictions on the ownership of our common stock imposed under our charter and the transfer restrictions and other limitations thereof, elect to acquire some or all of the tendered Series A units from the tendering holder in exchange for the number of shares of our common stock equal to the Series A unit redemption amount divided by the average closing price of our common stock on the NYSE for the ten consecutive trading days prior to the date of determination.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first anniversary of the date of issuance, each holder of Series B units, Series C units or Series D units has the right, subject to the terms and conditions set forth in the partnership agreement or in any separate agreement that provides otherwise, to require our Operating Partnership to redeem all or a portion of such units in exchange for a cash redemption amount equal to: (1) for each Series B unit, the sum of (a) $25.00 and (b) any unpaid distributions with respect to such Series B unit; (2) for each Series C unit, the sum of (a) $42.10 and (b) any unpaid distributions with respect to such Series C unit; and (3) for each Series D unit, the sum of (a) $25.00 and (b) any unpaid distributions with respect to such Series D unit. We may, in our sole and absolute discretion, but subject to the restrictions on the ownership of our common stock imposed under our charter and the transfer restrictions and other limitations thereof, elect to acquire some or all of the tendered Series B units, Series C units or Series D units from the tendering holder in exchange for the number of shares of our common stock equal to the applicable redemption amount divided by the average closing price of our common stock on the NYSE for the ten consecutive trading days prior to the date of determination.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OP Units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general, the general partner may not voluntarily withdraw from our Operating Partnership or transfer all or a portion of its interest in our Operating Partnership unless the holders of limited partnership interests entitled to vote consent by approval of a majority in interest or immediately after a merger of us into another entity or the sale of all or substantially all of our assets. With certain limited exceptions, the limited partners may not transfer their interests, in whole or in part, without the written consent of the general partner, which consent may be withheld in the general partner’s sole discretion.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20" w:h="16838" w:orient="portrait"/>
          <w:cols w:equalWidth="0" w:num="1">
            <w:col w:w="11120"/>
          </w:cols>
          <w:pgMar w:left="340" w:top="666" w:right="458"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OP Units or Our Stock</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through our ownership of our Operating Partnership’s sole general partner, have the ability to cause our Operating Partnership to issue additional partnership interests in the form of OP units. These additional OP units may include preference terms with provisions and rights that are preferential to those of common OP units. However, so long as any preferred OP units remain issued and outstanding, our Operating Partnership may not</w:t>
      </w:r>
    </w:p>
    <w:p>
      <w:pPr>
        <w:spacing w:after="0" w:line="2" w:lineRule="exact"/>
        <w:rPr>
          <w:sz w:val="20"/>
          <w:szCs w:val="20"/>
          <w:color w:val="auto"/>
        </w:rPr>
      </w:pPr>
    </w:p>
    <w:p>
      <w:pPr>
        <w:ind w:left="120" w:right="60" w:firstLine="1"/>
        <w:spacing w:after="0" w:line="252" w:lineRule="auto"/>
        <w:tabs>
          <w:tab w:leader="none" w:pos="3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authorize or issue any securities, (b) reclassify any OP units into interests or (c) authorize or issue any debt convertible into or exchangeable for OP units, in the case of Series A units, having any preference as to or on parity with the dividend or redemption rights, liquidation preferences, conversion rights, voting rights or any other rights or privileges of the Series A units, and in the case of Series B units, Series C units and Series D units, having any preference as to the dividend or redemption rights, liquidation preferences, conversion rights, voting rights or any other rights or privileges of such units (other than additional Series A units in accordance with the partnership agreement), or (2) amend or repeal any provision of, or add any provision to the partnership agreement if such actions would alter or change the preferences, rights, privileges or restrictions provided for the benefit of the preferred OP units that remain issued and outstanding.</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upon the issuance of our stock other than in connection with a redemption of OP units, we will generally be obligated to contribute or cause to be contributed the cash proceeds or other consideration received from the issuance to our Operating Partnership in exchange for, in the case of common stock, OP units, or in the case of an issuance of preferred stock, preferred OP units with designations, preferences and other rights, terms and provisions that are substantially the same as the designations, preferences and other rights, terms and provisions of the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partnership agreement, the general partner is the Operating Partnership’s tax matters partner. Accordingly, through our role as the owner of the general partner, we have the authority to handle or cause to be handled tax audits and to make or cause to be made tax elections under the Code on the Operating Partnership’s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of the Operating Partnership commenced on May 5, 2004 and will continue until December 31, 2104, unless one of the following events takes place:</w:t>
      </w:r>
    </w:p>
    <w:p>
      <w:pPr>
        <w:spacing w:after="0" w:line="67" w:lineRule="exact"/>
        <w:rPr>
          <w:sz w:val="20"/>
          <w:szCs w:val="20"/>
          <w:color w:val="auto"/>
        </w:rPr>
      </w:pPr>
    </w:p>
    <w:p>
      <w:pPr>
        <w:ind w:left="1120" w:right="280" w:hanging="448"/>
        <w:spacing w:after="0" w:line="266" w:lineRule="auto"/>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partner’s bankruptcy, judicial dissolution or withdrawal (unless, in the case of a bankruptcy or withdrawal, a majority-in-interest of the remaining limited partners agree to continue the Operating Partnership and to the appointment of a successor general partner);</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Operating Partnership’s assets;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acquisition by the general partner) of all OP units other than OP units held by the general partner or us;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by the general partner in its capacity as the Operating Partnership’s sole general partner;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entry of decree of judicial dissolution of the Operating Partnership pursuant to Delaware law; or</w:t>
      </w:r>
    </w:p>
    <w:p>
      <w:pPr>
        <w:spacing w:after="0" w:line="130" w:lineRule="exact"/>
        <w:rPr>
          <w:rFonts w:ascii="Times New Roman" w:cs="Times New Roman" w:eastAsia="Times New Roman" w:hAnsi="Times New Roman"/>
          <w:sz w:val="18"/>
          <w:szCs w:val="18"/>
          <w:color w:val="auto"/>
        </w:rPr>
      </w:pPr>
    </w:p>
    <w:p>
      <w:pPr>
        <w:ind w:left="1120" w:right="140" w:hanging="448"/>
        <w:spacing w:after="0" w:line="282" w:lineRule="auto"/>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incapacity of the general partner, unless all of the remaining partners agree in writing to continue the Operating Partnership and to the appointment of a substitute general partner.</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any of the foregoing events, and subject to the terms of the partnership agreement regarding the payment of liabilities, after any appropriate allocation of net income and net loss, distributions to the partners of our Operating Partnership will be made (1) first to the holders of Series A units (and proportionately among those holders) in an amount equal to the Series A unit redemption amount for each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20" w:h="16838" w:orient="portrait"/>
          <w:cols w:equalWidth="0" w:num="1">
            <w:col w:w="11140"/>
          </w:cols>
          <w:pgMar w:left="340" w:top="666" w:right="438"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unit, (2) second to the holders of Series B units, Series C units and Series D units (and proportionately among those holders) in an amount equal to the applicable redemption amount for each such unit and (3) thereafter to the holders of other OP units. However, the voluntary sale, conveyance, lease, exchange or transfer (for cash, shares of stock, securities or other consideration) of all or substantially all of the property or assets of the Operating Partnership to, or the consolidation or merger or other business combination of the Operating Partnership with or into, any corporation, trust or other entity (or of any corporation, trust or other entity with or into the Operating Partnership) will not be deemed to constitute a liquidation, dissolution or winding-up of the Operating Partnership for these purposes.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20" w:h="16838" w:orient="portrait"/>
          <w:cols w:equalWidth="0" w:num="1">
            <w:col w:w="11100"/>
          </w:cols>
          <w:pgMar w:left="340" w:top="666" w:right="478"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OF OUR CHARTER AND BYLAWS</w:t>
      </w:r>
    </w:p>
    <w:p>
      <w:pPr>
        <w:spacing w:after="0" w:line="227"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provisions of Maryland law and of our charter and bylaws is subject to and qualified in its entirety by reference to Maryland law and to our charter and bylaws, copies of which are filed as exhibits to the registration statement of which this prospectus is a part. See “Where You Can Find More Information.”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charter and bylaws provide that the number of directors of our company may be established by our board of directors but may not be fewer than the minimum number permitted under the MGCL nor more than 15. Except as may be provided by our board of directors in setting the terms of any class or series of preferred stock, any vacancy may be filled, at any regular meeting or at any special meeting called for that purpose, only by a majority of the remaining directors, even if the remaining directors do not constitute a quorum, and the director elected to fill the vacancy will serve for the remainder of the full term of the directorship in which the vacancy occurred and until a successor is elected and qualifies.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of our directors is elected by our common stockholders entitled to vote to serve until the next annual meeting and until their successors are duly elected and qualify. Pursuant to our bylaws, directors in uncontested elections are elected upon the affirmative vote of a majority of the total votes cast for and against such nominee at a duly called meeting of stockholders, and directors in contested elections are elected by a plurality of all of the votes cast. In both uncontested and contested elections, holders of shares of our common stock have no right to cumulative voting in the election of directors. Consequently, at each annual meeting of stockholders, the holders of a majority of the shares of our common stock entitled to vote will be able to elect all of our directors (subject to the rights of our preferred stock and any other class or series of stock to elect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of stockholders entitled to be cast generally in the election of directors. This provision, when coupled with the exclusive power of our board of directors to fill vacant directorships, precludes stockholders from removing incumbent directors except upon the existence of cause for removal and a substantial affirmative vote, and filling the vacancies created by such removal with their own nominees.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MGCL, certain “business combinations” (including a merger, consolidation, statutory share exchange or, in certain circumstances, an asset transfer or issuance or reclassification of equity securities) between a Maryland corporation and an interested stockholder (i.e.,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20" w:h="16838" w:orient="portrait"/>
          <w:cols w:equalWidth="0" w:num="1">
            <w:col w:w="11120"/>
          </w:cols>
          <w:pgMar w:left="340" w:top="666" w:right="458"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their shares and the consideration is received in cash or in the same form as previously paid by the interested stockholder for its shares. A person is not an interested stockholder under the statute if the board of directors approved in advance the transaction by which the person otherwise would have become an interested stockholder. Our board of directors may provide that its approval is subject to compliance with any terms and conditions determined by it.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Kenneth M. Woolley, his affiliates and associates and all persons acting in concert with the foregoing, and Spencer F. Kirk, his affiliates and associates and all persons acting in concert with the foregoing, from these provisions of the MGCL and, consequently, the five-year prohibition and the supermajority vote requirements will not apply to business combinations between us and any person described above. As a result, any person described above may be able to enter into business combinations with us that may not be in the best interests of our stockholders without compliance by our company with the supermajority vote requirements and the other provisions of the statute.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corporation acquired in a “control share acquisition” have no voting rights with respect to the control shares except to the extent approved at a special meeting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and undertaking to pay expenses to consider the voting rights of the shares. If no request for a meeting is made, the corporation may itself present the question at any stockholders meeting.</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20" w:h="16838" w:orient="portrait"/>
          <w:cols w:equalWidth="0" w:num="1">
            <w:col w:w="11120"/>
          </w:cols>
          <w:pgMar w:left="340" w:top="666" w:right="458"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our stock. There can be no assurance that such provision will not be amended or eliminated at any time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Takeover Defense Provisions of Maryland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Subtitle 8 of Title 3 of the MGCL permits a Maryland corporation with a class of equity securities registered under the Exchange Act and with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81" w:lineRule="exact"/>
        <w:rPr>
          <w:sz w:val="20"/>
          <w:szCs w:val="20"/>
          <w:color w:val="auto"/>
        </w:rPr>
      </w:pPr>
    </w:p>
    <w:p>
      <w:pPr>
        <w:ind w:left="1120" w:hanging="448"/>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to remove a director;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the vote of the directors;</w:t>
      </w:r>
    </w:p>
    <w:p>
      <w:pPr>
        <w:spacing w:after="0" w:line="130" w:lineRule="exact"/>
        <w:rPr>
          <w:rFonts w:ascii="Times New Roman" w:cs="Times New Roman" w:eastAsia="Times New Roman" w:hAnsi="Times New Roman"/>
          <w:sz w:val="18"/>
          <w:szCs w:val="18"/>
          <w:color w:val="auto"/>
        </w:rPr>
      </w:pPr>
    </w:p>
    <w:p>
      <w:pPr>
        <w:ind w:left="1120" w:right="540" w:hanging="448"/>
        <w:spacing w:after="0" w:line="282" w:lineRule="auto"/>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class of directors in which the vacancy occurred and until a successor is elected and qualifies; and</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stockholder-requested special meeting of stockholders.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Subtitle 8, we have elected to provide that vacancies on our board may be filled only by the remaining directors and for the remainder of the full term of the directorship in which the vacancy occurred. Through provisions in our charter and bylaws unrelated to Subtitle 8, we already</w:t>
      </w:r>
    </w:p>
    <w:p>
      <w:pPr>
        <w:ind w:left="380" w:hanging="259"/>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the stockholders entitled to cast not less than two-thirds of all of the votes entitled to be cast on the matter for the</w:t>
      </w:r>
    </w:p>
    <w:p>
      <w:pPr>
        <w:spacing w:after="0" w:line="9" w:lineRule="exact"/>
        <w:rPr>
          <w:rFonts w:ascii="Times New Roman" w:cs="Times New Roman" w:eastAsia="Times New Roman" w:hAnsi="Times New Roman"/>
          <w:sz w:val="18"/>
          <w:szCs w:val="18"/>
          <w:color w:val="auto"/>
        </w:rPr>
      </w:pPr>
    </w:p>
    <w:p>
      <w:pPr>
        <w:ind w:left="1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any director from the board, which removal is only allowed for cause and (2) require the written request of stockholders entitled to cast not less than a majority of all votes entitled to be cast at such meeting to call a special meeting of our stockholders, unless such meeting is called by our chairman of the board, our president, our chief executive officer or the board.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Our Charter and Bylaws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for amendments relating to removal of directors and the restrictions on ownership and transfer of our stock and amendments relating to the vote required to amend these provisions (which each require the affirmative vote of the stockholders entitled to cast not less than two-thirds of all the votes entitled to be cast on the matter), our charter may be amended only if declared advisable by our board of directors and approved by the affirmative vote of the stockholders entitled to cast not less than a majority of all of the votes entitled to be cast on the matter.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to adopt, alter or repeal any provision of our bylaws and to make new bylaws. Additionally, our bylaws may be amended by stockholders by the affirmative vote of a majority of the votes entitled to be cast on the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of Our Company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dissolution of our company must be declared advisable by a majority of our entire board of directors and approved by the affirmative vote of the stockholders entitled to cast not less than a majority of all of the votes entitled to be cast on the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bylaws include provisions permitting, subject to certain eligibility, procedural and disclosure requirements, qualifying stockholders, or a qualifying group of no more than 20 stockholders, who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20" w:h="16838" w:orient="portrait"/>
          <w:cols w:equalWidth="0" w:num="1">
            <w:col w:w="11120"/>
          </w:cols>
          <w:pgMar w:left="340" w:top="666" w:right="458"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maintained continuous ownership of at least 3% of our outstanding shares of common stock for at least three years to require us to include in our proxy materials for an annual meeting of stockholders a number of director nominees constituting up to 20% of the number of directors serving on our board of directors (rounded down to the nearest whole number, but not less than 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of Director Nominations and New Business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individuals for election to our board of directors and the proposal of business to be considered by stockholders may be made only (1) pursuant to our notice of the meeting, (2) by or at the direction of our board of directors or (3) by a stockholder who was a stockholder of record both at the time of giving of notice and at the time of the annual meeting, who is entitled to vote at the meeting in the election of directors or on the proposal of other business, as the case may be, and who has complied with the advance notice procedures set forth in our bylaws.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special meetings of stockholders, only the business specified in our notice of meeting may be brought before the meeting. Nominations of individuals for election to our board of directors may be made only (1) pursuant to our notice of the meeting, (2) by or at the direction of our board of directors or (3) provided that our board of directors has determined that directors shall be elected at such meeting, by a stockholder who was a stockholder of record both at the time of giving of notice and at the time of the special meeting, who is entitled to vote at the meeting and who has complied with the advance notice provisions set forth in our bylaws.</w:t>
      </w:r>
    </w:p>
    <w:p>
      <w:pPr>
        <w:spacing w:after="0" w:line="183" w:lineRule="exact"/>
        <w:rPr>
          <w:sz w:val="20"/>
          <w:szCs w:val="20"/>
          <w:color w:val="auto"/>
        </w:rPr>
      </w:pPr>
    </w:p>
    <w:p>
      <w:pPr>
        <w:ind w:left="120" w:firstLine="440"/>
        <w:spacing w:after="0" w:line="220" w:lineRule="auto"/>
        <w:rPr>
          <w:sz w:val="20"/>
          <w:szCs w:val="20"/>
          <w:color w:val="auto"/>
        </w:rPr>
      </w:pPr>
      <w:r>
        <w:rPr>
          <w:rFonts w:ascii="Times New Roman" w:cs="Times New Roman" w:eastAsia="Times New Roman" w:hAnsi="Times New Roman"/>
          <w:sz w:val="18"/>
          <w:szCs w:val="18"/>
          <w:color w:val="auto"/>
        </w:rPr>
        <w:t>Generally, under our bylaws, a stockholder seeking to nominate a director or bring other business before our annual meeting of stockholders must deliver a notice to our secretary not later than 5:00 p.m., Mountain Time,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150 </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for the prior year’s annual meeting. In addition, a stockholder seeking to nominate a director at a special meeting of stockholders must deliver notice to our secretary not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special meeting nor later than 5:00 p.m., Mountain Time, on the later of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special meeting or the tenth day following the day on which public announcement is first made of the date of the special meeting and of the nominees proposed by our board of directors to be elected at such meeting. For a stockholder seeking to nominate a candidate for our board of directors, the notice must describe various matters regarding the nominee, including name, address, occupation and number of shares held, and other specified matters. For a stockholder seeking to propose other business, the notice must include a description of the proposed business, the reasons for the proposal and other specified matters.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Charter and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charter and bylaws and Maryland law contain provisions that may delay, defer or prevent a change of control or other transaction that might involve a premium price for our stock or otherwise be in the best interests of our stockholders, including business combination provisions, supermajority vote and cause requirements for removal of directors and advance notice requirements for director nominations and stockholder proposals. Likewise, if the provision in the bylaws opting out of the control share acquisition provisions of the MGCL were rescinded, these provisions of the MGCL could have similar anti-takeover effects.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 of Directors’ and Officers’ Liability</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and which is material to the cause of action. Our charter contains such a provision which eliminates such liability to the maximum extent permitted by Maryland law.</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MGCL requires a corporation (unless its charter provides otherwise, which our company’s charter does not) to indemnify a director or officer who has been successful, on the merits or otherwise, in the defense of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20" w:h="16838" w:orient="portrait"/>
          <w:cols w:equalWidth="0" w:num="1">
            <w:col w:w="11120"/>
          </w:cols>
          <w:pgMar w:left="340" w:top="666" w:right="458"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85" w:lineRule="exact"/>
        <w:rPr>
          <w:sz w:val="20"/>
          <w:szCs w:val="20"/>
          <w:color w:val="auto"/>
        </w:rPr>
      </w:pPr>
    </w:p>
    <w:p>
      <w:pPr>
        <w:ind w:left="1120" w:hanging="448"/>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(1) was committed in bad faith or</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was the result of active and deliberate dishonesty;</w:t>
      </w:r>
    </w:p>
    <w:p>
      <w:pPr>
        <w:spacing w:after="0" w:line="112"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63" w:lineRule="exact"/>
        <w:rPr>
          <w:sz w:val="20"/>
          <w:szCs w:val="20"/>
          <w:color w:val="auto"/>
        </w:rPr>
      </w:pPr>
    </w:p>
    <w:p>
      <w:pPr>
        <w:ind w:left="1120" w:right="220" w:hanging="448"/>
        <w:spacing w:after="0" w:line="282" w:lineRule="auto"/>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1120" w:right="320" w:hanging="448"/>
        <w:spacing w:after="0" w:line="282" w:lineRule="auto"/>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him or her or on his or her behalf to repay the amount paid or reimbursed by the corporation if it is ultimately determined that the standard of conduct was not met.</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authorizes us to obligate us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81" w:lineRule="exact"/>
        <w:rPr>
          <w:sz w:val="20"/>
          <w:szCs w:val="20"/>
          <w:color w:val="auto"/>
        </w:rPr>
      </w:pPr>
    </w:p>
    <w:p>
      <w:pPr>
        <w:ind w:left="1120" w:right="40" w:hanging="448"/>
        <w:spacing w:after="0" w:line="282"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officer who is made, or threatened to be made, a party to the proceeding by reason of his or her service in that capacity; or</w:t>
      </w:r>
    </w:p>
    <w:p>
      <w:pPr>
        <w:spacing w:after="0" w:line="67" w:lineRule="exact"/>
        <w:rPr>
          <w:rFonts w:ascii="Times New Roman" w:cs="Times New Roman" w:eastAsia="Times New Roman" w:hAnsi="Times New Roman"/>
          <w:sz w:val="18"/>
          <w:szCs w:val="18"/>
          <w:color w:val="auto"/>
        </w:rPr>
      </w:pPr>
    </w:p>
    <w:p>
      <w:pPr>
        <w:ind w:left="1120" w:right="360" w:hanging="448"/>
        <w:spacing w:after="0" w:line="266"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officer of our company and at our request, serves or has served as a director, officer, partner or trustee of another corporation, REIT, partnership, joint venture, trust, employee benefit plan or other enterprise and who is made, or threatened to be made, a party to the proceeding by reason of his or her service in that capacity.</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charter and bylaws also permit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that we and our officers and directors are indemnified to the maximum extent permitted by law. See “Description of the Partnership Agreement of Extra Space Storage LP—Management Liability and Indemnification.”</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require, among other matters, that we indemnify our directors and executive officers to the maximum extent permitted by law and advance to the directors and executive officers all related expenses, subject to reimbursement if it is subsequently determined that indemnification is not permitted. Under these agreements, we must also indemnify and advance all expenses incurred by directors and executive officers seeking to enforce their rights under the indemnification agreements and may cover directors and executive officers under our directors’ and officers’ liability insurance. Although indemnification agreements offer substantially the same scope of coverage afforded under the bylaws, they provide greater assurance to directors and executive officers that indemnification will be available, because, as contracts, they cannot be modified unilaterally in the future by the board of directors to eliminate the rights they provide.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20" w:h="16838" w:orient="portrait"/>
          <w:cols w:equalWidth="0" w:num="1">
            <w:col w:w="11120"/>
          </w:cols>
          <w:pgMar w:left="340" w:top="666" w:right="458"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REIT Qualification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our board of directors may revoke or otherwise terminate our REIT election, without approval of our stockholders, if it determines that it is no longer in our best interests to continue to qualify as a REIT.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48</w:t>
      </w:r>
    </w:p>
    <w:p>
      <w:pPr>
        <w:sectPr>
          <w:pgSz w:w="11920" w:h="16838" w:orient="portrait"/>
          <w:cols w:equalWidth="0" w:num="1">
            <w:col w:w="10980"/>
          </w:cols>
          <w:pgMar w:left="340" w:top="666" w:right="598"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material U.S. federal income tax considerations relating to our qualification and taxation as a REIT and the purchase, ownership and disposition of our capital stock or our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Extra Space Storage Inc., and do not include any of its subsidiaries, except as otherwise indicated. This summary is for general information only and is not tax advice. The information in this summary is based on:</w:t>
      </w:r>
    </w:p>
    <w:p>
      <w:pPr>
        <w:spacing w:after="0" w:line="93" w:lineRule="exact"/>
        <w:rPr>
          <w:sz w:val="20"/>
          <w:szCs w:val="20"/>
          <w:color w:val="auto"/>
        </w:rPr>
      </w:pPr>
    </w:p>
    <w:p>
      <w:pPr>
        <w:ind w:left="1120" w:hanging="4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temporary and proposed Treasury regulations promulgated under the Code (the “Treasury Regulations”);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history of the Code;</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interpretations and practices of the IRS;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our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our operating partnership’s debt securities, or our election to be taxed as a REIT.</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You are urged to consult your tax advisor regarding the tax consequences to you of:</w:t>
      </w:r>
    </w:p>
    <w:p>
      <w:pPr>
        <w:spacing w:after="0" w:line="135" w:lineRule="exact"/>
        <w:rPr>
          <w:sz w:val="20"/>
          <w:szCs w:val="20"/>
          <w:color w:val="auto"/>
        </w:rPr>
      </w:pPr>
    </w:p>
    <w:p>
      <w:pPr>
        <w:ind w:left="1120" w:right="40" w:hanging="448"/>
        <w:spacing w:after="0" w:line="282" w:lineRule="auto"/>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ownership and disposition of our capital stock or our operating partnership’s debt securities, including the U.S. federal, state, local, non-U.S. and other tax consequences;</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be taxed as a REIT for U.S. federal income tax purposes;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applicable tax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elected to be taxed as a REIT under Sections 856 through 860 of the Code commencing with our taxable year ended December 31, 2004. We believe that we have been organized and have operated in a manner that has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20" w:h="16838" w:orient="portrait"/>
          <w:cols w:equalWidth="0" w:num="1">
            <w:col w:w="11140"/>
          </w:cols>
          <w:pgMar w:left="340" w:top="666" w:right="438"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2004,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89" w:lineRule="exact"/>
        <w:rPr>
          <w:sz w:val="20"/>
          <w:szCs w:val="20"/>
          <w:color w:val="auto"/>
        </w:rPr>
      </w:pPr>
    </w:p>
    <w:p>
      <w:pPr>
        <w:ind w:left="1120" w:right="800" w:hanging="448"/>
        <w:spacing w:after="0" w:line="282"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will be required to pay regular U.S. federal corporate income tax on any undistributed REIT taxable income, including undistributed capital gain.</w:t>
      </w:r>
    </w:p>
    <w:p>
      <w:pPr>
        <w:spacing w:after="0" w:line="67" w:lineRule="exact"/>
        <w:rPr>
          <w:rFonts w:ascii="Times New Roman" w:cs="Times New Roman" w:eastAsia="Times New Roman" w:hAnsi="Times New Roman"/>
          <w:sz w:val="18"/>
          <w:szCs w:val="18"/>
          <w:color w:val="auto"/>
        </w:rPr>
      </w:pPr>
    </w:p>
    <w:p>
      <w:pPr>
        <w:ind w:left="1120" w:right="160" w:hanging="448"/>
        <w:spacing w:after="0" w:line="258"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88" w:lineRule="exact"/>
        <w:rPr>
          <w:rFonts w:ascii="Times New Roman" w:cs="Times New Roman" w:eastAsia="Times New Roman" w:hAnsi="Times New Roman"/>
          <w:sz w:val="18"/>
          <w:szCs w:val="18"/>
          <w:color w:val="auto"/>
        </w:rPr>
      </w:pPr>
    </w:p>
    <w:p>
      <w:pPr>
        <w:ind w:left="1120" w:right="80" w:hanging="448"/>
        <w:spacing w:after="0" w:line="266"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81" w:lineRule="exact"/>
        <w:rPr>
          <w:rFonts w:ascii="Times New Roman" w:cs="Times New Roman" w:eastAsia="Times New Roman" w:hAnsi="Times New Roman"/>
          <w:sz w:val="18"/>
          <w:szCs w:val="18"/>
          <w:color w:val="auto"/>
        </w:rPr>
      </w:pPr>
    </w:p>
    <w:p>
      <w:pPr>
        <w:ind w:left="1120" w:hanging="448"/>
        <w:spacing w:after="0" w:line="261"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if we fail to satisfy the 75% gross income test or the 95% gross income test, as described below, but have otherwise maintained our qualification as a REIT because certain other 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20" w:h="16838" w:orient="portrait"/>
          <w:cols w:equalWidth="0" w:num="1">
            <w:col w:w="11120"/>
          </w:cols>
          <w:pgMar w:left="340" w:top="666" w:right="458"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120" w:right="100" w:hanging="448"/>
        <w:spacing w:after="0" w:line="261"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85" w:lineRule="exact"/>
        <w:rPr>
          <w:rFonts w:ascii="Times New Roman" w:cs="Times New Roman" w:eastAsia="Times New Roman" w:hAnsi="Times New Roman"/>
          <w:sz w:val="18"/>
          <w:szCs w:val="18"/>
          <w:color w:val="auto"/>
        </w:rPr>
      </w:pPr>
    </w:p>
    <w:p>
      <w:pPr>
        <w:ind w:left="1120" w:right="20" w:hanging="448"/>
        <w:spacing w:after="0" w:line="266"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81" w:lineRule="exact"/>
        <w:rPr>
          <w:rFonts w:ascii="Times New Roman" w:cs="Times New Roman" w:eastAsia="Times New Roman" w:hAnsi="Times New Roman"/>
          <w:sz w:val="18"/>
          <w:szCs w:val="18"/>
          <w:color w:val="auto"/>
        </w:rPr>
      </w:pPr>
    </w:p>
    <w:p>
      <w:pPr>
        <w:ind w:left="1120" w:right="20" w:hanging="448"/>
        <w:spacing w:after="0" w:line="266"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81" w:lineRule="exact"/>
        <w:rPr>
          <w:rFonts w:ascii="Times New Roman" w:cs="Times New Roman" w:eastAsia="Times New Roman" w:hAnsi="Times New Roman"/>
          <w:sz w:val="18"/>
          <w:szCs w:val="18"/>
          <w:color w:val="auto"/>
        </w:rPr>
      </w:pPr>
    </w:p>
    <w:p>
      <w:pPr>
        <w:ind w:left="1120" w:right="20" w:hanging="448"/>
        <w:spacing w:after="0" w:line="253"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99" w:lineRule="exact"/>
        <w:rPr>
          <w:rFonts w:ascii="Times New Roman" w:cs="Times New Roman" w:eastAsia="Times New Roman" w:hAnsi="Times New Roman"/>
          <w:sz w:val="18"/>
          <w:szCs w:val="18"/>
          <w:color w:val="auto"/>
        </w:rPr>
      </w:pPr>
    </w:p>
    <w:p>
      <w:pPr>
        <w:ind w:left="1120" w:right="700" w:hanging="448"/>
        <w:spacing w:after="0" w:line="282"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our subsidiaries that are C corporations and are not qualified REIT subsidiaries, including our “taxable REIT subsidiaries” described below, generally will be required to pay regular U.S. federal corporate income tax on their earnings.</w:t>
      </w:r>
    </w:p>
    <w:p>
      <w:pPr>
        <w:spacing w:after="0" w:line="67" w:lineRule="exact"/>
        <w:rPr>
          <w:rFonts w:ascii="Times New Roman" w:cs="Times New Roman" w:eastAsia="Times New Roman" w:hAnsi="Times New Roman"/>
          <w:sz w:val="18"/>
          <w:szCs w:val="18"/>
          <w:color w:val="auto"/>
        </w:rPr>
      </w:pPr>
    </w:p>
    <w:p>
      <w:pPr>
        <w:ind w:left="1120" w:hanging="448"/>
        <w:spacing w:after="0" w:line="256"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92" w:lineRule="exact"/>
        <w:rPr>
          <w:rFonts w:ascii="Times New Roman" w:cs="Times New Roman" w:eastAsia="Times New Roman" w:hAnsi="Times New Roman"/>
          <w:sz w:val="18"/>
          <w:szCs w:val="18"/>
          <w:color w:val="auto"/>
        </w:rPr>
      </w:pPr>
    </w:p>
    <w:p>
      <w:pPr>
        <w:ind w:left="1120" w:right="40" w:hanging="448"/>
        <w:spacing w:after="0" w:line="261"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85" w:lineRule="exact"/>
        <w:rPr>
          <w:rFonts w:ascii="Times New Roman" w:cs="Times New Roman" w:eastAsia="Times New Roman" w:hAnsi="Times New Roman"/>
          <w:sz w:val="18"/>
          <w:szCs w:val="18"/>
          <w:color w:val="auto"/>
        </w:rPr>
      </w:pPr>
    </w:p>
    <w:p>
      <w:pPr>
        <w:ind w:left="1120" w:right="200" w:hanging="448"/>
        <w:spacing w:after="0" w:line="261"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20" w:h="16838" w:orient="portrait"/>
          <w:cols w:equalWidth="0" w:num="1">
            <w:col w:w="11120"/>
          </w:cols>
          <w:pgMar w:left="340" w:top="666" w:right="458"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and our subsidiaries may be subject to a variety of taxes other than U.S. federal income tax, including payroll taxes and state and local income, property and other taxes on our assets and operations.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Requirements for Qualification as a REIT. </w:t>
      </w:r>
      <w:r>
        <w:rPr>
          <w:rFonts w:ascii="Times New Roman" w:cs="Times New Roman" w:eastAsia="Times New Roman" w:hAnsi="Times New Roman"/>
          <w:sz w:val="18"/>
          <w:szCs w:val="18"/>
          <w:color w:val="auto"/>
        </w:rPr>
        <w:t>The Code defines a REIT as a corporation, trust or association:</w:t>
      </w:r>
    </w:p>
    <w:p>
      <w:pPr>
        <w:spacing w:after="0" w:line="133" w:lineRule="exact"/>
        <w:rPr>
          <w:sz w:val="20"/>
          <w:szCs w:val="20"/>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30" w:lineRule="exact"/>
        <w:rPr>
          <w:rFonts w:ascii="Times New Roman" w:cs="Times New Roman" w:eastAsia="Times New Roman" w:hAnsi="Times New Roman"/>
          <w:sz w:val="18"/>
          <w:szCs w:val="18"/>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issues transferable shares or transferable certificates to evidence its beneficial ownership;</w:t>
      </w:r>
    </w:p>
    <w:p>
      <w:pPr>
        <w:spacing w:after="0" w:line="130" w:lineRule="exact"/>
        <w:rPr>
          <w:rFonts w:ascii="Times New Roman" w:cs="Times New Roman" w:eastAsia="Times New Roman" w:hAnsi="Times New Roman"/>
          <w:sz w:val="18"/>
          <w:szCs w:val="18"/>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financial institution or an insurance company within the meaning of certain provisions of the Code;</w:t>
      </w:r>
    </w:p>
    <w:p>
      <w:pPr>
        <w:spacing w:after="0" w:line="130" w:lineRule="exact"/>
        <w:rPr>
          <w:rFonts w:ascii="Times New Roman" w:cs="Times New Roman" w:eastAsia="Times New Roman" w:hAnsi="Times New Roman"/>
          <w:sz w:val="18"/>
          <w:szCs w:val="18"/>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by 100 or more persons;</w:t>
      </w:r>
    </w:p>
    <w:p>
      <w:pPr>
        <w:spacing w:after="0" w:line="130" w:lineRule="exact"/>
        <w:rPr>
          <w:rFonts w:ascii="Times New Roman" w:cs="Times New Roman" w:eastAsia="Times New Roman" w:hAnsi="Times New Roman"/>
          <w:sz w:val="18"/>
          <w:szCs w:val="18"/>
          <w:color w:val="auto"/>
        </w:rPr>
      </w:pPr>
    </w:p>
    <w:p>
      <w:pPr>
        <w:ind w:left="1880" w:right="80" w:hanging="547"/>
        <w:spacing w:after="0" w:line="282" w:lineRule="auto"/>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67" w:lineRule="exact"/>
        <w:rPr>
          <w:rFonts w:ascii="Times New Roman" w:cs="Times New Roman" w:eastAsia="Times New Roman" w:hAnsi="Times New Roman"/>
          <w:sz w:val="18"/>
          <w:szCs w:val="18"/>
          <w:color w:val="auto"/>
        </w:rPr>
      </w:pPr>
    </w:p>
    <w:p>
      <w:pPr>
        <w:ind w:left="1880" w:hanging="547"/>
        <w:spacing w:after="0"/>
        <w:tabs>
          <w:tab w:leader="none" w:pos="1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 and the amount of its distributions.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we have been organized and have operated in a manner that has allowed us, and will continue to allow us, to satisfy conditions</w:t>
      </w:r>
    </w:p>
    <w:p>
      <w:pPr>
        <w:spacing w:after="0" w:line="27" w:lineRule="exact"/>
        <w:rPr>
          <w:sz w:val="20"/>
          <w:szCs w:val="20"/>
          <w:color w:val="auto"/>
        </w:rPr>
      </w:pPr>
    </w:p>
    <w:p>
      <w:pPr>
        <w:ind w:left="120" w:right="40" w:firstLine="1"/>
        <w:spacing w:after="0" w:line="251" w:lineRule="auto"/>
        <w:tabs>
          <w:tab w:leader="none" w:pos="3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19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not maintain our status as a REIT unless our taxable year is the calendar year. We have and will continue to have a calendar taxable year.</w:t>
      </w:r>
    </w:p>
    <w:p>
      <w:pPr>
        <w:spacing w:after="0" w:line="16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Ownership of Interests in Partnerships, Limited Liability Companies and Qualified REIT Subsidiaries</w:t>
      </w:r>
      <w:r>
        <w:rPr>
          <w:rFonts w:ascii="Times New Roman" w:cs="Times New Roman" w:eastAsia="Times New Roman" w:hAnsi="Times New Roman"/>
          <w:sz w:val="18"/>
          <w:szCs w:val="18"/>
          <w:color w:val="auto"/>
        </w:rPr>
        <w:t>. In the case of a REIT that is a partner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20" w:h="16838" w:orient="portrait"/>
          <w:cols w:equalWidth="0" w:num="1">
            <w:col w:w="11140"/>
          </w:cols>
          <w:pgMar w:left="340" w:top="666" w:right="438"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the Subsidiary Partnerships and the Limited Liability Companies.”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control of our operating partnership and most of its subsidiary partnerships and intend to operate them in a manner consistent with the requirements for our qualification as a REIT. We are an indirect limited partner or non-managing member in some of the subsidiary partnerships. If a partnership in which we directly or indirectly own an interest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 This treatment also applies to other subsidiaries of a REIT that are treated as corporations for U.S. federal income tax purposes, such as the business trusts we own.</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Ownership of Interests in Taxable REIT Subsidiaries. </w:t>
      </w:r>
      <w:r>
        <w:rPr>
          <w:rFonts w:ascii="Times New Roman" w:cs="Times New Roman" w:eastAsia="Times New Roman" w:hAnsi="Times New Roman"/>
          <w:sz w:val="18"/>
          <w:szCs w:val="18"/>
          <w:color w:val="auto"/>
        </w:rPr>
        <w:t>We currently hold an interest in a number of taxable REIT subsidiaries, and we may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 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20" w:h="16838" w:orient="portrait"/>
          <w:cols w:equalWidth="0" w:num="1">
            <w:col w:w="11140"/>
          </w:cols>
          <w:pgMar w:left="340" w:top="666" w:right="438"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Ownership of Interests in Subsidiary REITs. </w:t>
      </w:r>
      <w:r>
        <w:rPr>
          <w:rFonts w:ascii="Times New Roman" w:cs="Times New Roman" w:eastAsia="Times New Roman" w:hAnsi="Times New Roman"/>
          <w:sz w:val="18"/>
          <w:szCs w:val="18"/>
          <w:color w:val="auto"/>
        </w:rPr>
        <w:t>We own and may acquire direct or indirect interests in one or more entities that have elected 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 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must satisfy two gross income requirements annually to maintain our qualification as a REIT. First, in each taxable year we must 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Rents we receive from a tenant will qualify as “rents from real property” for the purpose of satisfying the gross income requirements for a REIT described above only if all of the following conditions are met:</w:t>
      </w:r>
    </w:p>
    <w:p>
      <w:pPr>
        <w:spacing w:after="0" w:line="67" w:lineRule="exact"/>
        <w:rPr>
          <w:sz w:val="20"/>
          <w:szCs w:val="20"/>
          <w:color w:val="auto"/>
        </w:rPr>
      </w:pPr>
    </w:p>
    <w:p>
      <w:pPr>
        <w:ind w:left="1120" w:right="140" w:hanging="448"/>
        <w:spacing w:after="0" w:line="258" w:lineRule="auto"/>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88" w:lineRule="exact"/>
        <w:rPr>
          <w:rFonts w:ascii="Times New Roman" w:cs="Times New Roman" w:eastAsia="Times New Roman" w:hAnsi="Times New Roman"/>
          <w:sz w:val="18"/>
          <w:szCs w:val="18"/>
          <w:color w:val="auto"/>
        </w:rPr>
      </w:pPr>
    </w:p>
    <w:p>
      <w:pPr>
        <w:ind w:left="1120" w:hanging="448"/>
        <w:spacing w:after="0" w:line="253" w:lineRule="auto"/>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95" w:lineRule="exact"/>
        <w:rPr>
          <w:rFonts w:ascii="Times New Roman" w:cs="Times New Roman" w:eastAsia="Times New Roman" w:hAnsi="Times New Roman"/>
          <w:sz w:val="18"/>
          <w:szCs w:val="18"/>
          <w:color w:val="auto"/>
        </w:rPr>
      </w:pPr>
    </w:p>
    <w:p>
      <w:pPr>
        <w:ind w:left="1120" w:right="140" w:hanging="448"/>
        <w:spacing w:after="0" w:line="282" w:lineRule="auto"/>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is not greater than 15% of the total rent received under the lease. If this condition is not met, then the portion of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20" w:h="16838" w:orient="portrait"/>
          <w:cols w:equalWidth="0" w:num="1">
            <w:col w:w="11100"/>
          </w:cols>
          <w:pgMar w:left="340" w:top="666" w:right="478"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jc w:val="both"/>
        <w:ind w:left="1120" w:right="40"/>
        <w:spacing w:after="0" w:line="266" w:lineRule="auto"/>
        <w:rPr>
          <w:sz w:val="20"/>
          <w:szCs w:val="20"/>
          <w:color w:val="auto"/>
        </w:rPr>
      </w:pPr>
      <w:r>
        <w:rPr>
          <w:rFonts w:ascii="Times New Roman" w:cs="Times New Roman" w:eastAsia="Times New Roman" w:hAnsi="Times New Roman"/>
          <w:sz w:val="18"/>
          <w:szCs w:val="18"/>
          <w:color w:val="auto"/>
        </w:rPr>
        <w:t>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81" w:lineRule="exact"/>
        <w:rPr>
          <w:sz w:val="20"/>
          <w:szCs w:val="20"/>
          <w:color w:val="auto"/>
        </w:rPr>
      </w:pPr>
    </w:p>
    <w:p>
      <w:pPr>
        <w:ind w:left="1120" w:hanging="448"/>
        <w:spacing w:after="0" w:line="255" w:lineRule="auto"/>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and general maintenance of common areas.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do not intend, and, as the indirect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acquire additional properties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To the extent our taxable REIT subsidiaries pay dividends or interest, we generally will derive our allocable share of such dividend or interest income through our interest in our operating partnership. Such dividend or interest income will qualify under the 95%, but not the 75%, gross income test (except that our allocable share of such interest would also qualify under the 75% gross income test to the extent the interest is paid on a loan that is adequately secured by real property). We also derive our allocable share of royalty income earned by our operating partnership from one of our taxable REIT subsidiaries on account of its insurance business. Such royalty income will not qualify under the 95% or 75% gross income tests. The royalty agreement between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20" w:h="16838" w:orient="portrait"/>
          <w:cols w:equalWidth="0" w:num="1">
            <w:col w:w="11140"/>
          </w:cols>
          <w:pgMar w:left="340" w:top="666" w:right="438"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operating partnership and such taxable REIT subsidiary provides, among other things, that beginning with our 2016 taxable year the amount of such royalty income, together with any other nonqualifying income, will not exceed 3.9% of our gross income for any year for purposes of the 95% gross income test, or 20% of our gross income for any year for purposes of the 75% gross income test, whichever is more restrictive.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monitor the amount of the dividend, royalty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6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67" w:lineRule="exact"/>
        <w:rPr>
          <w:sz w:val="20"/>
          <w:szCs w:val="20"/>
          <w:color w:val="auto"/>
        </w:rPr>
      </w:pPr>
    </w:p>
    <w:p>
      <w:pPr>
        <w:ind w:left="1120" w:right="20" w:hanging="448"/>
        <w:spacing w:after="0" w:line="266" w:lineRule="auto"/>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81"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these tests was due to reasonable cause and not due to willful neglect.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85"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Prohibited Transaction Income</w:t>
      </w:r>
      <w:r>
        <w:rPr>
          <w:rFonts w:ascii="Times New Roman" w:cs="Times New Roman" w:eastAsia="Times New Roman" w:hAnsi="Times New Roman"/>
          <w:sz w:val="18"/>
          <w:szCs w:val="18"/>
          <w:color w:val="auto"/>
        </w:rPr>
        <w:t>. Any gain that we realize on the sale of property (other than any foreclosure property) held as inventory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indirect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Except as provided below, we do not intend, and do not intend to permit our operating partnership or its subsidiary partnerships, to enter into any sales that are prohibited transactions. However, the IRS may successfully contend that some or all of the sales made by our operating partnership or its subsidiary partnerships are prohibited transactions. We would be required to pay the 100% penalty tax on our allocable share of the gains resulting from any such sales. We are an indirect partner in certain partnerships which sell locks, boxes and packing materials to tenants. We report our allocable share of the income from these activities as prohibited transaction income. The 100% penalty tax will not apply to gains from the sale of assets that are held through a taxable REIT subsidiary, but such income will be subject to regular U.S. federal corporate income tax.</w:t>
      </w:r>
    </w:p>
    <w:p>
      <w:pPr>
        <w:spacing w:after="0" w:line="196"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Penalty Tax</w:t>
      </w:r>
      <w:r>
        <w:rPr>
          <w:rFonts w:ascii="Times New Roman" w:cs="Times New Roman" w:eastAsia="Times New Roman" w:hAnsi="Times New Roman"/>
          <w:sz w:val="18"/>
          <w:szCs w:val="18"/>
          <w:color w:val="auto"/>
        </w:rPr>
        <w:t>. Any redetermined rents, redetermined deductions, excess interest or redetermined TRS service income we generate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100% penalty tax. In general, redetermined rents are rents from real property that are overstated as a result of any services furnished to any of our tenants by a taxable REIT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20" w:h="16838" w:orient="portrait"/>
          <w:cols w:equalWidth="0" w:num="1">
            <w:col w:w="11060"/>
          </w:cols>
          <w:pgMar w:left="340" w:top="666" w:right="518"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our taxable REIT subsidiaries may provide services to our tenants. We believe we have set, and we intend to continue to set, any fees paid to our taxable REIT subsidiaries for such services at arm’s length rates, although the amounts paid may not satisfy the safe-harbor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of our taxable year, we must also satisfy certain tests relating to the nature and diversification of our 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Second, not more than 25% of the value of our total assets may be represented by securities (including securities of taxable REIT subsidiaries), other than those securities includable in the 75% asset test.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Fourth, not more than 20% (25% for taxable years beginning after July 30, 2008 and before January 1, 2018) of the value of our total assets may be represented by the securities of one or more taxable REIT subsidiaries.</w:t>
      </w:r>
    </w:p>
    <w:p>
      <w:pPr>
        <w:spacing w:after="0" w:line="16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operating partnership currently owns, directly and indirectly, the stock of certain corporations, including Extra Space Management, Inc.,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20" w:h="16838" w:orient="portrait"/>
          <w:cols w:equalWidth="0" w:num="1">
            <w:col w:w="11120"/>
          </w:cols>
          <w:pgMar w:left="340" w:top="666" w:right="458"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10% voting power limitation or the 10% value limitation with respect to our indirect ownership of the securities of such companies. We believe that the aggregate value of our taxable REIT subsidiaries has not exceeded, and in the future will not exceed, 20% (25% for taxable years beginning after</w:t>
      </w: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July 30, 2008 and before January 1, 2018) of the aggregate value of our gross assets. We generally do not obtain independent appraisals to support these conclusions. In addition, there can be no assurance that the IRS will not disagree with our determinations of value.</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may make or acquire certain mezzanine loans secured by equity interests in pass-through entities that directly or indirectly own real property. Revenue Procedure 2003-65 (the “Revenue Procedure”) provides a safe harbor pursuant to which mezzanine loans meeting the requirements of the safe harbor will be treated by the IRS as real estate assets for purposes of the REIT asset tests. In addition, any interest derived from such mezzanine loans will be treated as qualifying mortgage interest for purposes of the 75% gross income test (described above). Although the Revenue Procedure provides a safe harbor on which taxpayers may rely, it does not prescribe rules of substantive tax law. The mezzanine loans that we make or acquire may not meet all of the requirements of the safe harbor. Accordingly, there can be no assurance that the IRS will not challenge the qualification of such assets as real estate assets or the interest generated by these loans as qualifying income under the 75% gross income test (described above).</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20" w:h="16838" w:orient="portrait"/>
          <w:cols w:equalWidth="0" w:num="1">
            <w:col w:w="11120"/>
          </w:cols>
          <w:pgMar w:left="340" w:top="666" w:right="458"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Distribution Requirements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maintain our qualification as a REIT, we are required to distribute dividends, other than capital gain dividends, to our stockholders each year in an amount at least equal to the sum of:</w:t>
      </w:r>
    </w:p>
    <w:p>
      <w:pPr>
        <w:spacing w:after="0" w:line="67" w:lineRule="exact"/>
        <w:rPr>
          <w:sz w:val="20"/>
          <w:szCs w:val="20"/>
          <w:color w:val="auto"/>
        </w:rPr>
      </w:pPr>
    </w:p>
    <w:p>
      <w:pPr>
        <w:ind w:left="1120" w:hanging="448"/>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sum of certain items of non-cash income over 5% of our REIT taxable income.</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76"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20" w:h="16838" w:orient="portrait"/>
          <w:cols w:equalWidth="0" w:num="1">
            <w:col w:w="11100"/>
          </w:cols>
          <w:pgMar w:left="340" w:top="666" w:right="478"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ESS Holdings Business Trust I, our wholly-owned subsidiary and the general partner of our operating partnership, and us, as the indirect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REIT taxable income will typically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Like-Kind Exchanges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dispose of real property that is not held primarily for sale in transactions intended to qualify as like-kind exchanges 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Liabilities and Attributes Inherited in Connection with Acquisitions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or our operating partnership may acquire other corporations or entities and, in connection with such acquisitions, we may succeed to the historical tax attributes and liabilities of such entities. For example, if we acquire a C corporation and subsequently dispose of its assets within five years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20" w:h="16838" w:orient="portrait"/>
          <w:cols w:equalWidth="0" w:num="1">
            <w:col w:w="11120"/>
          </w:cols>
          <w:pgMar w:left="340" w:top="666" w:right="458"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acquisition, we could be required to pay the built-in gain tax described above under “—General.” In addition, in order to qualify as a REIT, at the end of any taxable year, we must not have any earnings and profits accumulated in a non-REIT year. As a result, if we acquire a C corporation (including upon a liquidation of a taxable REIT subsidiary),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 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discover a violation of a provision of the Code that would result in our failure to qualify as a REIT, certain specified cure 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“qualified REIT dividends” (generally, dividends from a REIT received during the taxable year other than capital gain dividends and dividends treated as qualified dividend income) for taxable years beginning before January 1, 2026 for purposes of determining their U.S. federal income tax (but not for purposes of the 3.8% Medicare tax), subject to certain holding period requirements and other limitations. See “—Material U.S. Federal Income Tax Consequences to Holders of Our Capital Stock—Taxation of Taxable U.S. Holders of Our Capital Stock—Tax Rates” below.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20" w:h="16838" w:orient="portrait"/>
          <w:cols w:equalWidth="0" w:num="1">
            <w:col w:w="11120"/>
          </w:cols>
          <w:pgMar w:left="340" w:top="666" w:right="458"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for which we lose our qualification. It is not possible to state whether in all circumstances we would be entitled to this statutory relief.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Aspects of Our Operating Partnership, the Subsidiary Partnerships and the Limited Liability Companies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investments are held indirectly through our operating partnership. In addition, our operating partnership holds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 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Entity Classification</w:t>
      </w:r>
      <w:r>
        <w:rPr>
          <w:rFonts w:ascii="Times New Roman" w:cs="Times New Roman" w:eastAsia="Times New Roman" w:hAnsi="Times New Roman"/>
          <w:sz w:val="18"/>
          <w:szCs w:val="18"/>
          <w:color w:val="auto"/>
        </w:rPr>
        <w:t>. Our interests in our operating partnership and the subsidiary partnerships and limited liability companies involve special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or PTP, and certain other requirements are met. A partnership would be treated as a PTP if its interests are traded on an established securities market or are readily tradable on a secondary market or a substantial equivalent thereof, within the meaning of applicable Treasury Regulations. Interests in a partnership are not treated as readily tradable on a secondary market, or the substantial equivalent thereof, if the requirements of certain safe harbors are met. The operating partnership or any subsidiary partnership may avoid becoming a PTP by complying with one or more of these safe harbors. However, no assurance can be given that the operating partnership or any subsidiary partnership will always satisfy such a safe harbor.</w:t>
      </w:r>
    </w:p>
    <w:p>
      <w:pPr>
        <w:spacing w:after="0" w:line="190"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If our operating partnership or any subsidiary partnership fails to satisfy a safe harbor from treatment as a PTP, due to the redemption rights (if any) of its partners and other provisions of its partnership agreement, it is possible that in certain circumstances the operating partnership or such subsidiary partnership could be treated as a PTP. If the operating partnership or a subsidiary partnership is treated as a PTP and 90% or more of the operating partnership’s or such subsidiary partnership’s gross income consists of dividends, interest, “rents from real property” (as that term is defined for purposes of the rules applicable to REITs, with certain modifications), gain from the sale or other disposition of real property, and certain other types of qualifying income, the operating partnership or such subsidiary partnership, as applicable, would continue to be treated as a partnership for U.S. federal income tax purposes under what we refer to as the “Qualifying Income Exception.” However, partners in a PTP meeting the Qualifying Income Exception may not use their share of passive income or loss of the PTP to offset their passive income or loss from other sources. We, as the indirect general partner of our operating partnership, have the authority to allow the operating partnership to become a PTP, provided the operating partnership would satisfy the Qualifying Income Exception (as we believe would be the case). While the operating partnership currently plans to comply with certain safe harbors under the Treasury Regulations to avoid PTP status, we may allow the operating partnership to become a PTP in the future.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20" w:h="16838" w:orient="portrait"/>
          <w:cols w:equalWidth="0" w:num="1">
            <w:col w:w="11120"/>
          </w:cols>
          <w:pgMar w:left="340" w:top="666" w:right="458"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our operating partnership or any of our subsidiary partnerships were to be treated as a PTP, and failed to satisfy the Qualifying Income Exception, that partnership would be taxable as a corporation. If that were to occur, the partnership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our operating partnership and each of the subsidiary partnerships and limited liability companies are and will continue to be treated as partnerships or disregarded entities for U.S. federal income tax purposes, and we do not anticipate that our operating partnership or any subsidiary partnership will be treated as a PTP that is taxable as a corporation.</w:t>
      </w:r>
    </w:p>
    <w:p>
      <w:pPr>
        <w:spacing w:after="0" w:line="17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Allocations of Items of Income, Gain, Loss and Deduction</w:t>
      </w:r>
      <w:r>
        <w:rPr>
          <w:rFonts w:ascii="Times New Roman" w:cs="Times New Roman" w:eastAsia="Times New Roman" w:hAnsi="Times New Roman"/>
          <w:sz w:val="18"/>
          <w:szCs w:val="18"/>
          <w:color w:val="auto"/>
        </w:rPr>
        <w:t>. The operating partnership agreement generally provides that (1) net income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allocated first to the partners to the extent they have been allocated net loss previously, then to partners holding preferred OP units until such partners have been allocated net income equal to their preferred return, and finally to partners holding common OP units pro rata in accordance with such partners’ percentage interests; and (2) net loss generally is allocated in the reverse order of net income, but only to the extent such allocation of net loss will not cause a partner to have an adjusted capital account deficit or increase any existing adjusted capital account deficit (determined by subtracting the amount of preferred distribution to be made upon liquidation with respect to any preferred OP units), with any residual net loss being allocated to us as the indirect general partner of our operating partnership. The partnership agreement contains provisions for special allocations intended to comply with certain regulatory requirements, including the requirements of Treasury Regulations Sections 1.704-1(b) and 1.704-2. Certain limited partners may guarantee debt of our operating partnership. As a result of these guaranties,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Tax Allocations With Respect to the Properties. </w:t>
      </w:r>
      <w:r>
        <w:rPr>
          <w:rFonts w:ascii="Times New Roman" w:cs="Times New Roman" w:eastAsia="Times New Roman" w:hAnsi="Times New Roman"/>
          <w:sz w:val="18"/>
          <w:szCs w:val="18"/>
          <w:color w:val="auto"/>
        </w:rPr>
        <w:t>Under Section 704(c) of the Code, items of income, gain, loss and deduction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so that the contributing partner is charged with the 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8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operating partnership may, from time to time, acquire interests in property in exchange for interests in our operating partnership. In that case, the tax basis of these property interests generally will carry over to our operating partnership, notwithstanding their different book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fair market) value. The partnership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20" w:h="16838" w:orient="portrait"/>
          <w:cols w:equalWidth="0" w:num="1">
            <w:col w:w="11140"/>
          </w:cols>
          <w:pgMar w:left="340" w:top="666" w:right="438"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(1) could cause us to be allocated lower amounts of depreciation deductions for tax purposes than would be allocated to us if any of the contributed properties were to have a tax basis equal to its respective fair market value at the time of the contribution and (2)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(2)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9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Any property acquired by our operating partnership in a taxable transaction will initially have a tax basis equal to its fair market value, and Section 704(c) of the Code generally will not apply.</w:t>
      </w:r>
    </w:p>
    <w:p>
      <w:pPr>
        <w:spacing w:after="0" w:line="16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Partnership Audit Rules</w:t>
      </w:r>
      <w:r>
        <w:rPr>
          <w:rFonts w:ascii="Times New Roman" w:cs="Times New Roman" w:eastAsia="Times New Roman" w:hAnsi="Times New Roman"/>
          <w:sz w:val="18"/>
          <w:szCs w:val="18"/>
          <w:color w:val="auto"/>
        </w:rPr>
        <w:t>. Under current tax law, subject to certain exceptions, any audit adjustment to items of income, gain, loss, deduction,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Holders of Our Capital Stock and Our Operating Partnership’s Debt Securities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you of purchasing, owning and disposing of our capital stock or our operating partnership’s debt securities. This discussion is limited to holders who hold our capital stock or our operating partnership’s debt securities as a “capital asset”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73" w:lineRule="exact"/>
        <w:rPr>
          <w:sz w:val="20"/>
          <w:szCs w:val="20"/>
          <w:color w:val="auto"/>
        </w:rPr>
      </w:pPr>
    </w:p>
    <w:p>
      <w:pPr>
        <w:ind w:left="1120" w:hanging="44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120" w:right="140" w:hanging="448"/>
        <w:spacing w:after="0" w:line="282" w:lineRule="auto"/>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capital stock or our operating partnership’s debt securities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REITs or regulated investment companies;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120" w:right="500" w:hanging="448"/>
        <w:spacing w:after="0" w:line="282" w:lineRule="auto"/>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20" w:h="16838" w:orient="portrait"/>
          <w:cols w:equalWidth="0" w:num="1">
            <w:col w:w="11120"/>
          </w:cols>
          <w:pgMar w:left="340" w:top="666" w:right="458"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120" w:right="180" w:hanging="448"/>
        <w:spacing w:after="0" w:line="282"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capital stock or our operating partnership’s debt securities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120" w:right="300" w:hanging="448"/>
        <w:spacing w:after="0" w:line="282"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capital stock or our operating partnership’s debt securities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capital stock pursuant to the exercise of any employee stock option or otherwise as compensation.</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OUR OPERATING PARTNERSHIP’S DEBT SECURITIES ARISING UNDER OTHER U.S. FEDERAL TAX LAWS (INCLUDING ESTATE AND GIFT TAX LAWS), UNDER THE LAWS OF ANY STATE, LOCAL OR NON-U.S. TAXING JURISDICTION OR UNDER ANY APPLICABLE TAX TREATY.</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capital stock or our operating partnership’s debt securities that,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is or is treated as:</w:t>
      </w:r>
    </w:p>
    <w:p>
      <w:pPr>
        <w:spacing w:after="0" w:line="112" w:lineRule="exact"/>
        <w:rPr>
          <w:sz w:val="20"/>
          <w:szCs w:val="20"/>
          <w:color w:val="auto"/>
        </w:rPr>
      </w:pPr>
    </w:p>
    <w:p>
      <w:pPr>
        <w:ind w:left="1120" w:hanging="448"/>
        <w:spacing w:after="0"/>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120" w:right="280" w:hanging="448"/>
        <w:spacing w:after="0" w:line="266"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capital stock or our operating partnership’s debt securities that is neither a U.S. holder nor an entity treated as a partnership for U.S. federal income tax purposes.</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capital stock or our operating partnership’s debt securities, the tax treatment of a partner in the partnership will depend on the status of the partner, the activities of the partnership and certain determinations made at the partner level. Accordingly, partnerships holding our capital stock or our operating partnership’s debt securities and the partners in such partnerships should consult their tax advisors regarding the U.S. federal income tax consequences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of Our Capital Stock</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Distributions out of our current or accumulated earnings and profits will be treated as dividends and, other than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20" w:h="16838" w:orient="portrait"/>
          <w:cols w:equalWidth="0" w:num="1">
            <w:col w:w="11100"/>
          </w:cols>
          <w:pgMar w:left="340" w:top="666" w:right="478"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if any, and then to our outstanding common stock.</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Capital Gain Dividends</w:t>
      </w:r>
      <w:r>
        <w:rPr>
          <w:rFonts w:ascii="Times New Roman" w:cs="Times New Roman" w:eastAsia="Times New Roman" w:hAnsi="Times New Roman"/>
          <w:sz w:val="18"/>
          <w:szCs w:val="18"/>
          <w:color w:val="auto"/>
        </w:rPr>
        <w:t>. Dividends that we properly designate as capital gain dividends will generally be taxable to our taxable U.S. holders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90"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Retention of Net Capital Gains</w:t>
      </w:r>
      <w:r>
        <w:rPr>
          <w:rFonts w:ascii="Times New Roman" w:cs="Times New Roman" w:eastAsia="Times New Roman" w:hAnsi="Times New Roman"/>
          <w:sz w:val="18"/>
          <w:szCs w:val="18"/>
          <w:color w:val="auto"/>
        </w:rPr>
        <w:t>. We may elect to retain, rather than distribute as a capital gain dividend, all or a portion of our net capital gains.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make this election, we would pay tax on our retained net capital gains.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20" w:h="16838" w:orient="portrait"/>
          <w:cols w:equalWidth="0" w:num="1">
            <w:col w:w="11120"/>
          </w:cols>
          <w:pgMar w:left="340" w:top="666" w:right="458"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to the extent we so elect, our earnings and profits (determined for U.S. federal income tax purposes) would be adjusted accordingly, and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holder generally would:</w:t>
      </w:r>
    </w:p>
    <w:p>
      <w:pPr>
        <w:spacing w:after="0" w:line="112" w:lineRule="exact"/>
        <w:rPr>
          <w:sz w:val="20"/>
          <w:szCs w:val="20"/>
          <w:color w:val="auto"/>
        </w:rPr>
      </w:pPr>
    </w:p>
    <w:p>
      <w:pPr>
        <w:ind w:left="1120" w:right="60" w:hanging="448"/>
        <w:spacing w:after="0" w:line="282"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67"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have paid its share of the capital gains tax imposed on us on the designated amounts included in the U.S. holder’s income as long-term capital gain;</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credit or refund for the amount of tax deemed paid by it;</w:t>
      </w:r>
    </w:p>
    <w:p>
      <w:pPr>
        <w:spacing w:after="0" w:line="130" w:lineRule="exact"/>
        <w:rPr>
          <w:rFonts w:ascii="Times New Roman" w:cs="Times New Roman" w:eastAsia="Times New Roman" w:hAnsi="Times New Roman"/>
          <w:sz w:val="18"/>
          <w:szCs w:val="18"/>
          <w:color w:val="auto"/>
        </w:rPr>
      </w:pPr>
    </w:p>
    <w:p>
      <w:pPr>
        <w:ind w:left="1120" w:right="280" w:hanging="448"/>
        <w:spacing w:after="0" w:line="282"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adjusted tax basis of its capital stock by the difference between the amount of includable gains and the tax deemed to have been paid by it; and</w:t>
      </w:r>
    </w:p>
    <w:p>
      <w:pPr>
        <w:spacing w:after="0" w:line="67" w:lineRule="exact"/>
        <w:rPr>
          <w:rFonts w:ascii="Times New Roman" w:cs="Times New Roman" w:eastAsia="Times New Roman" w:hAnsi="Times New Roman"/>
          <w:sz w:val="18"/>
          <w:szCs w:val="18"/>
          <w:color w:val="auto"/>
        </w:rPr>
      </w:pPr>
    </w:p>
    <w:p>
      <w:pPr>
        <w:ind w:left="1120" w:right="220" w:hanging="448"/>
        <w:spacing w:after="0" w:line="282"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holder that is a corporation, appropriately adjust its earnings and profits for the retained capital gains in accordance with Treasury Regulations to be promulgated by the IRS.</w:t>
      </w:r>
    </w:p>
    <w:p>
      <w:pPr>
        <w:spacing w:after="0" w:line="16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Passive Activity Losses and Investment Interest Limitations</w:t>
      </w:r>
      <w:r>
        <w:rPr>
          <w:rFonts w:ascii="Times New Roman" w:cs="Times New Roman" w:eastAsia="Times New Roman" w:hAnsi="Times New Roman"/>
          <w:sz w:val="18"/>
          <w:szCs w:val="18"/>
          <w:color w:val="auto"/>
        </w:rPr>
        <w:t>. Distributions we make and gain arising from the sale or exchange of our capital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Dispositions of Our Capital Stock</w:t>
      </w:r>
      <w:r>
        <w:rPr>
          <w:rFonts w:ascii="Times New Roman" w:cs="Times New Roman" w:eastAsia="Times New Roman" w:hAnsi="Times New Roman"/>
          <w:sz w:val="18"/>
          <w:szCs w:val="18"/>
          <w:color w:val="auto"/>
        </w:rPr>
        <w:t>. Except as described below under “—Taxation of Taxable U.S. Holders of Our Capital Stock—Redemption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83"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Redemption or Repurchase by Us</w:t>
      </w:r>
      <w:r>
        <w:rPr>
          <w:rFonts w:ascii="Times New Roman" w:cs="Times New Roman" w:eastAsia="Times New Roman" w:hAnsi="Times New Roman"/>
          <w:sz w:val="17"/>
          <w:szCs w:val="17"/>
          <w:color w:val="auto"/>
        </w:rPr>
        <w:t>. A redemption or repurchase of shares of our capital stock will be treated under Section 302 of the Code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(and taxable as a dividend to the extent of our current and accumulated earnings and profits as described above under “—Distributions Generally”) unless the redemption 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72" w:lineRule="exact"/>
        <w:rPr>
          <w:sz w:val="20"/>
          <w:szCs w:val="20"/>
          <w:color w:val="auto"/>
        </w:rPr>
      </w:pPr>
    </w:p>
    <w:p>
      <w:pPr>
        <w:ind w:left="1120" w:hanging="448"/>
        <w:spacing w:after="0"/>
        <w:tabs>
          <w:tab w:leader="none" w:pos="1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“substantially disproportionate” with respect to the U.S. holder,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redemption” of the U.S. holder’s stock interest in us, or</w:t>
      </w:r>
    </w:p>
    <w:p>
      <w:pPr>
        <w:spacing w:after="0" w:line="130"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within the meaning of Section 302(b) of the Code.</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determining whether any of these tests has been met, shares of our capital stock, including common stock and other equity interests in us, considered to be owned by the U.S. holder by reason of certain constructive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20" w:h="16838" w:orient="portrait"/>
          <w:cols w:equalWidth="0" w:num="1">
            <w:col w:w="11100"/>
          </w:cols>
          <w:pgMar w:left="340" w:top="666" w:right="478"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not treated as a distribution, it will be treated as a taxable sale or exchange in the manner described under “—Dispositions of Our Capital Stock.”</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Tax Rates. </w:t>
      </w:r>
      <w:r>
        <w:rPr>
          <w:rFonts w:ascii="Times New Roman" w:cs="Times New Roman" w:eastAsia="Times New Roman" w:hAnsi="Times New Roman"/>
          <w:sz w:val="18"/>
          <w:szCs w:val="18"/>
          <w:color w:val="auto"/>
        </w:rPr>
        <w:t>The maximum tax rate for non-corporate taxpayers for (1) long-term capital gains, including certain “capital gain dividends,”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preferential rates described above to the extent that they are properly designated by the REIT as “capital gain dividends.” U.S. holders that are corporations may be required to treat up to 20% of any capital gain dividends as ordinary income. In addition, for taxable years beginning before January 1, 2026, non-corporate U.S. holders, including individuals, generally may deduct up to 20% of “qualified REIT dividends” (generally, dividends from a REIT received during the taxable year other than capital gain dividends and dividends treated as qualified dividend income) for purposes of determining their U.S. federal income tax (but not for purposes of the 3.8% Medicare tax), subject to certain limitations. Under applicable Treasury Regulations, in order for a REIT dividend received with respect to a share of REIT stock to be treated as a qualified REIT dividend, the non-corporate U.S. holder must have held the share for more than 45 days during the 91-day period beginning on the date which is 45 days before the date on which such share becomes ex-dividend with respect to such dividend, and such dividend will not be treated as a qualified REIT dividend to the extent that the non-corporate U.S. holder is under an obligation (whether pursuant to a short sale or otherwise) to make related payments with respect to positions in substantially similar or related property.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Holders of Our Capital Stock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Dividend income from us and gain arising upon a sale of shares of our capital stock generally should not be unrelated business taxable income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7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20" w:h="16838" w:orient="portrait"/>
          <w:cols w:equalWidth="0" w:num="1">
            <w:col w:w="11140"/>
          </w:cols>
          <w:pgMar w:left="340" w:top="666" w:right="438"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common stock is (and, we anticipate, will continue to be) publicly traded, we cannot guarantee that this will always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Holders of Our Capital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Distributions Generally</w:t>
      </w:r>
      <w:r>
        <w:rPr>
          <w:rFonts w:ascii="Times New Roman" w:cs="Times New Roman" w:eastAsia="Times New Roman" w:hAnsi="Times New Roman"/>
          <w:sz w:val="18"/>
          <w:szCs w:val="18"/>
          <w:color w:val="auto"/>
        </w:rPr>
        <w:t>. Distributions (including any taxable stock distributions) that are neither attributable to gains from sales or exchanges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of United States real property interests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provided below, we expect to withhold U.S. federal income tax at the rate of 30% on any distributions made to a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unless:</w:t>
      </w:r>
    </w:p>
    <w:p>
      <w:pPr>
        <w:spacing w:after="0" w:line="112" w:lineRule="exact"/>
        <w:rPr>
          <w:sz w:val="20"/>
          <w:szCs w:val="20"/>
          <w:color w:val="auto"/>
        </w:rPr>
      </w:pPr>
    </w:p>
    <w:p>
      <w:pPr>
        <w:ind w:left="1120" w:right="260" w:hanging="558"/>
        <w:spacing w:after="0" w:line="282" w:lineRule="auto"/>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furnishes an IRS Form W-8BEN or W-8BEN-E (or other applicable documentation) evidencing eligibility for that reduced treaty rate; or</w:t>
      </w:r>
    </w:p>
    <w:p>
      <w:pPr>
        <w:spacing w:after="0" w:line="67" w:lineRule="exact"/>
        <w:rPr>
          <w:rFonts w:ascii="Times New Roman" w:cs="Times New Roman" w:eastAsia="Times New Roman" w:hAnsi="Times New Roman"/>
          <w:sz w:val="18"/>
          <w:szCs w:val="18"/>
          <w:color w:val="auto"/>
        </w:rPr>
      </w:pPr>
    </w:p>
    <w:p>
      <w:pPr>
        <w:ind w:left="1120" w:right="760" w:hanging="558"/>
        <w:spacing w:after="0" w:line="282" w:lineRule="auto"/>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furnishes an IRS Form W-8ECI (or other applicable documentation) claiming that the distribution is income effectively connected with the non-U.S. holder’s trade or business.</w:t>
      </w:r>
    </w:p>
    <w:p>
      <w:pPr>
        <w:spacing w:after="0" w:line="5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20" w:h="16838" w:orient="portrait"/>
          <w:cols w:equalWidth="0" w:num="1">
            <w:col w:w="11100"/>
          </w:cols>
          <w:pgMar w:left="340" w:top="666" w:right="478"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60"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Capital Gain Dividends and Distributions Attributable to a Sale or Exchange of United States Real Property Interests</w:t>
      </w:r>
      <w:r>
        <w:rPr>
          <w:rFonts w:ascii="Times New Roman" w:cs="Times New Roman" w:eastAsia="Times New Roman" w:hAnsi="Times New Roman"/>
          <w:sz w:val="18"/>
          <w:szCs w:val="18"/>
          <w:color w:val="auto"/>
        </w:rPr>
        <w:t>. Distributions to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that we properly designate as capital gain dividends, other than those arising from the disposition of a USRPI, generally should not be subject to U.S. federal income taxation, unless:</w:t>
      </w:r>
    </w:p>
    <w:p>
      <w:pPr>
        <w:spacing w:after="0" w:line="81" w:lineRule="exact"/>
        <w:rPr>
          <w:sz w:val="20"/>
          <w:szCs w:val="20"/>
          <w:color w:val="auto"/>
        </w:rPr>
      </w:pPr>
    </w:p>
    <w:p>
      <w:pPr>
        <w:ind w:left="1120" w:right="40" w:hanging="558"/>
        <w:spacing w:after="0" w:line="258" w:lineRule="auto"/>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88" w:lineRule="exact"/>
        <w:rPr>
          <w:rFonts w:ascii="Times New Roman" w:cs="Times New Roman" w:eastAsia="Times New Roman" w:hAnsi="Times New Roman"/>
          <w:sz w:val="18"/>
          <w:szCs w:val="18"/>
          <w:color w:val="auto"/>
        </w:rPr>
      </w:pPr>
    </w:p>
    <w:p>
      <w:pPr>
        <w:ind w:left="1120" w:right="40" w:hanging="558"/>
        <w:spacing w:after="0" w:line="258" w:lineRule="auto"/>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9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Retention of Net Capital Gains</w:t>
      </w:r>
      <w:r>
        <w:rPr>
          <w:rFonts w:ascii="Times New Roman" w:cs="Times New Roman" w:eastAsia="Times New Roman" w:hAnsi="Times New Roman"/>
          <w:sz w:val="18"/>
          <w:szCs w:val="18"/>
          <w:color w:val="auto"/>
        </w:rPr>
        <w:t>. Although the law is not clear on the matter, it appears that amounts we designate as retained net capital gains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our capital stock should be treated with respect to non-U.S. holders as 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20" w:h="16838" w:orient="portrait"/>
          <w:cols w:equalWidth="0" w:num="1">
            <w:col w:w="11120"/>
          </w:cols>
          <w:pgMar w:left="340" w:top="666" w:right="458"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Sale of Our Capital Stock</w:t>
      </w:r>
      <w:r>
        <w:rPr>
          <w:rFonts w:ascii="Times New Roman" w:cs="Times New Roman" w:eastAsia="Times New Roman" w:hAnsi="Times New Roman"/>
          <w:sz w:val="18"/>
          <w:szCs w:val="18"/>
          <w:color w:val="auto"/>
        </w:rPr>
        <w:t>. Except as described below under “—Redemption or Repurchase by Us,” gain realized by a non-U.S. holder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or other taxable disposition of our capital stock generally will not be subject to U.S. federal income tax unless such stock constitutes a USRPI. In general, stock of a domestic corporation that constitutes a “United States real property holding corporation,”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rules. For purposes of determining whether a REIT is a “domestically controlled qualified investment entity,” a person who at all applicable times holds less than 5% of a class of stock that is “regularly traded” is treated as a United States person unless the REIT has actual knowledge that such person is not a United States person. Proposed Treasury Regulations, if finalized, would provide additional guidance for determining whether a REIT is a domestically controlled qualified investment entity and clarify, among other things, that ownership by non-U.S. persons (other than persons treated as United States persons as described in the preceding sentence) will be determined by looking through pass-through entities and certain U.S. corporations. We believe, but cannot guarantee, that we are a “domestically controlled qualified investment entity.” Because our common stock is (and, we anticipate, will continue to be) publicly traded, no assurance can be given that we will continue to be a “domestically controlled qualified investment entity.”</w:t>
      </w:r>
    </w:p>
    <w:p>
      <w:pPr>
        <w:spacing w:after="0" w:line="18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81" w:lineRule="exact"/>
        <w:rPr>
          <w:sz w:val="20"/>
          <w:szCs w:val="20"/>
          <w:color w:val="auto"/>
        </w:rPr>
      </w:pPr>
    </w:p>
    <w:p>
      <w:pPr>
        <w:ind w:left="1120" w:right="320" w:hanging="558"/>
        <w:spacing w:after="0" w:line="282" w:lineRule="auto"/>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of stock is “regularly traded,” as defined by applicable Treasury Regulations, on an established securities market such as the NYSE; and</w:t>
      </w:r>
    </w:p>
    <w:p>
      <w:pPr>
        <w:spacing w:after="0" w:line="67" w:lineRule="exact"/>
        <w:rPr>
          <w:rFonts w:ascii="Times New Roman" w:cs="Times New Roman" w:eastAsia="Times New Roman" w:hAnsi="Times New Roman"/>
          <w:sz w:val="18"/>
          <w:szCs w:val="18"/>
          <w:color w:val="auto"/>
        </w:rPr>
      </w:pPr>
    </w:p>
    <w:p>
      <w:pPr>
        <w:ind w:left="1120" w:right="140" w:hanging="558"/>
        <w:spacing w:after="0" w:line="282" w:lineRule="auto"/>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owned, actually and constructively, 10% or less of such class of stock throughout the shorter of the five-year period ending on the date of the sale or other taxable disposition or the non-U.S. holder’s holding period.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20" w:h="16838" w:orient="portrait"/>
          <w:cols w:equalWidth="0" w:num="1">
            <w:col w:w="11140"/>
          </w:cols>
          <w:pgMar w:left="340" w:top="666" w:right="438"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 (1), unless such class of stock is “regularly traded” and the non-U.S. holder did not own more than 10% of such class of stock at any time during the one-year period ending on the date of the distribution described in clause (1).</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Redemption or Repurchase by Us</w:t>
      </w:r>
      <w:r>
        <w:rPr>
          <w:rFonts w:ascii="Times New Roman" w:cs="Times New Roman" w:eastAsia="Times New Roman" w:hAnsi="Times New Roman"/>
          <w:sz w:val="18"/>
          <w:szCs w:val="18"/>
          <w:color w:val="auto"/>
        </w:rPr>
        <w:t>. A redemption or repurchase of shares of our capital stock will be treated under Section 302 of the Code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Our Operating Partnership’s Debt Securities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summary describes the material U.S. federal income tax consequences of purchasing, owning and disposing of debt securities issued by our operating partnership. This discussion assumes the debt securities will be issued with less than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In addition, this discussion is limited to persons purchasing the debt securities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debt securities is sold to the public for cash).</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of Interest. </w:t>
      </w:r>
      <w:r>
        <w:rPr>
          <w:rFonts w:ascii="Times New Roman" w:cs="Times New Roman" w:eastAsia="Times New Roman" w:hAnsi="Times New Roman"/>
          <w:sz w:val="18"/>
          <w:szCs w:val="18"/>
          <w:color w:val="auto"/>
        </w:rPr>
        <w:t>Interest on a debt security generally will be taxable to a U.S. holder as ordinary income at the time such interest is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accrued, in accordance with such U.S. holder’s method of accounting for U.S. federal income tax purposes.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 or Other Taxable Disposition. </w:t>
      </w:r>
      <w:r>
        <w:rPr>
          <w:rFonts w:ascii="Times New Roman" w:cs="Times New Roman" w:eastAsia="Times New Roman" w:hAnsi="Times New Roman"/>
          <w:sz w:val="18"/>
          <w:szCs w:val="18"/>
          <w:color w:val="auto"/>
        </w:rPr>
        <w:t>A U.S. holder will recognize gain or loss on the sale, exchange, redemption, retirement or other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20" w:h="16838" w:orient="portrait"/>
          <w:cols w:equalWidth="0" w:num="1">
            <w:col w:w="11140"/>
          </w:cols>
          <w:pgMar w:left="340" w:top="666" w:right="438"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recognized by certain non-corporate U.S. holders, including individuals, generally will be taxable at reduced rates. The deductibility of capital losses is subject to limitations.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19"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of Interest. </w:t>
      </w:r>
      <w:r>
        <w:rPr>
          <w:rFonts w:ascii="Times New Roman" w:cs="Times New Roman" w:eastAsia="Times New Roman" w:hAnsi="Times New Roman"/>
          <w:sz w:val="18"/>
          <w:szCs w:val="18"/>
          <w:color w:val="auto"/>
        </w:rPr>
        <w:t>Interest paid on a debt security to a non-U.S. holder that is not effectively connected with the non-U.S. holder’s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within the United States generally will not be subject to U.S. federal income tax or withholding, provided that:</w:t>
      </w:r>
    </w:p>
    <w:p>
      <w:pPr>
        <w:spacing w:after="0" w:line="66" w:lineRule="exact"/>
        <w:rPr>
          <w:sz w:val="20"/>
          <w:szCs w:val="20"/>
          <w:color w:val="auto"/>
        </w:rPr>
      </w:pPr>
    </w:p>
    <w:p>
      <w:pPr>
        <w:ind w:left="1120" w:hanging="448"/>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operating partnership’s capital or profits;</w:t>
      </w:r>
    </w:p>
    <w:p>
      <w:pPr>
        <w:spacing w:after="0" w:line="130" w:lineRule="exact"/>
        <w:rPr>
          <w:rFonts w:ascii="Times New Roman" w:cs="Times New Roman" w:eastAsia="Times New Roman" w:hAnsi="Times New Roman"/>
          <w:sz w:val="18"/>
          <w:szCs w:val="18"/>
          <w:color w:val="auto"/>
        </w:rPr>
      </w:pPr>
    </w:p>
    <w:p>
      <w:pPr>
        <w:ind w:left="1120" w:right="580" w:hanging="448"/>
        <w:spacing w:after="0" w:line="282" w:lineRule="auto"/>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our operating partnership through actual or constructive stock ownership; and</w:t>
      </w:r>
    </w:p>
    <w:p>
      <w:pPr>
        <w:spacing w:after="0" w:line="67" w:lineRule="exact"/>
        <w:rPr>
          <w:rFonts w:ascii="Times New Roman" w:cs="Times New Roman" w:eastAsia="Times New Roman" w:hAnsi="Times New Roman"/>
          <w:sz w:val="18"/>
          <w:szCs w:val="18"/>
          <w:color w:val="auto"/>
        </w:rPr>
      </w:pPr>
    </w:p>
    <w:p>
      <w:pPr>
        <w:ind w:left="1120" w:hanging="448"/>
        <w:spacing w:after="0" w:line="255" w:lineRule="auto"/>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83"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20" w:h="16838" w:orient="portrait"/>
          <w:cols w:equalWidth="0" w:num="1">
            <w:col w:w="11100"/>
          </w:cols>
          <w:pgMar w:left="340" w:top="666" w:right="478"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 or Other Taxable Disposition. </w:t>
      </w:r>
      <w:r>
        <w:rPr>
          <w:rFonts w:ascii="Times New Roman" w:cs="Times New Roman" w:eastAsia="Times New Roman" w:hAnsi="Times New Roman"/>
          <w:sz w:val="18"/>
          <w:szCs w:val="18"/>
          <w:color w:val="auto"/>
        </w:rPr>
        <w:t>A non-U.S. holder will not be subject to U.S. federal income tax on any gain realized upon the sale,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Our Operating Partnership’s Debt Securities—Non-U.S. Holders—Payments of Interest”) unless:</w:t>
      </w:r>
    </w:p>
    <w:p>
      <w:pPr>
        <w:spacing w:after="0" w:line="87" w:lineRule="exact"/>
        <w:rPr>
          <w:sz w:val="20"/>
          <w:szCs w:val="20"/>
          <w:color w:val="auto"/>
        </w:rPr>
      </w:pPr>
    </w:p>
    <w:p>
      <w:pPr>
        <w:ind w:left="1120" w:right="80" w:hanging="448"/>
        <w:spacing w:after="0" w:line="266" w:lineRule="auto"/>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81" w:lineRule="exact"/>
        <w:rPr>
          <w:rFonts w:ascii="Times New Roman" w:cs="Times New Roman" w:eastAsia="Times New Roman" w:hAnsi="Times New Roman"/>
          <w:sz w:val="18"/>
          <w:szCs w:val="18"/>
          <w:color w:val="auto"/>
        </w:rPr>
      </w:pPr>
    </w:p>
    <w:p>
      <w:pPr>
        <w:ind w:left="1120" w:right="460" w:hanging="448"/>
        <w:spacing w:after="0" w:line="282" w:lineRule="auto"/>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A U.S. holder may be subject to information reporting and backup withholding when such holder receives payments on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our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87" w:lineRule="exact"/>
        <w:rPr>
          <w:sz w:val="20"/>
          <w:szCs w:val="20"/>
          <w:color w:val="auto"/>
        </w:rPr>
      </w:pPr>
    </w:p>
    <w:p>
      <w:pPr>
        <w:ind w:left="1120" w:right="500" w:hanging="44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67" w:lineRule="exact"/>
        <w:rPr>
          <w:rFonts w:ascii="Times New Roman" w:cs="Times New Roman" w:eastAsia="Times New Roman" w:hAnsi="Times New Roman"/>
          <w:sz w:val="18"/>
          <w:szCs w:val="18"/>
          <w:color w:val="auto"/>
        </w:rPr>
      </w:pPr>
    </w:p>
    <w:p>
      <w:pPr>
        <w:ind w:left="1120" w:hanging="448"/>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120" w:right="680" w:hanging="44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67" w:lineRule="exact"/>
        <w:rPr>
          <w:rFonts w:ascii="Times New Roman" w:cs="Times New Roman" w:eastAsia="Times New Roman" w:hAnsi="Times New Roman"/>
          <w:sz w:val="18"/>
          <w:szCs w:val="18"/>
          <w:color w:val="auto"/>
        </w:rPr>
      </w:pPr>
    </w:p>
    <w:p>
      <w:pPr>
        <w:ind w:left="1120" w:right="60" w:hanging="44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56"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Payments of dividends on our capital stock or interest on our operating partnership’s debt securities generally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backup withholding, provided the applicable withholding agent does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20" w:h="16838" w:orient="portrait"/>
          <w:cols w:equalWidth="0" w:num="1">
            <w:col w:w="11080"/>
          </w:cols>
          <w:pgMar w:left="340" w:top="666" w:right="498"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our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Medicare Contribution Tax on Unearned Income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our operating partnership’s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our capital stock, interest on our operating partnership’s debt securities, or (subject to the proposed Treasury Regulations discussed below) gross proceeds from the sale or other disposition of our capital stock or our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2" w:lineRule="exact"/>
        <w:rPr>
          <w:sz w:val="20"/>
          <w:szCs w:val="20"/>
          <w:color w:val="auto"/>
        </w:rPr>
      </w:pPr>
    </w:p>
    <w:p>
      <w:pPr>
        <w:ind w:left="120" w:right="120" w:firstLine="1"/>
        <w:spacing w:after="0" w:line="252" w:lineRule="auto"/>
        <w:tabs>
          <w:tab w:leader="none" w:pos="3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capital stock or interest on our operating partnership’s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20" w:h="16838" w:orient="portrait"/>
          <w:cols w:equalWidth="0" w:num="1">
            <w:col w:w="11120"/>
          </w:cols>
          <w:pgMar w:left="340" w:top="666" w:right="458"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capital stock or our operating partnership’s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 regarding the effect of state, local and non-U.S. tax laws with respect to our tax treatment as a REIT and on an investment in our capital stock or our operating partnership’s debt securities.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ectPr>
          <w:pgSz w:w="11920" w:h="16838" w:orient="portrait"/>
          <w:cols w:equalWidth="0" w:num="1">
            <w:col w:w="11040"/>
          </w:cols>
          <w:pgMar w:left="340" w:top="666" w:right="538"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00265" cy="50800"/>
                    </a:xfrm>
                    <a:prstGeom prst="rect">
                      <a:avLst/>
                    </a:prstGeom>
                    <a:noFill/>
                  </pic:spPr>
                </pic:pic>
              </a:graphicData>
            </a:graphic>
          </wp:anchor>
        </w:drawing>
        <w:t>Table of Contents</w:t>
      </w:r>
    </w:p>
    <w:p>
      <w:pPr>
        <w:spacing w:after="0" w:line="3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 holders, where applicable, will be set forth in a prospectus supplement, in a post-effective amendment or in filings we make with the SEC under the Exchange Act that are incorporated by reference.</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77</w:t>
      </w:r>
    </w:p>
    <w:p>
      <w:pPr>
        <w:sectPr>
          <w:pgSz w:w="11920" w:h="16838" w:orient="portrait"/>
          <w:cols w:equalWidth="0" w:num="1">
            <w:col w:w="10760"/>
          </w:cols>
          <w:pgMar w:left="340" w:top="666" w:right="818"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the operating partnership or any of the selling security holders may sell the offered securities from time to time:</w:t>
      </w:r>
    </w:p>
    <w:p>
      <w:pPr>
        <w:spacing w:after="0" w:line="131" w:lineRule="exact"/>
        <w:rPr>
          <w:sz w:val="20"/>
          <w:szCs w:val="20"/>
          <w:color w:val="auto"/>
        </w:rPr>
      </w:pPr>
    </w:p>
    <w:p>
      <w:pPr>
        <w:ind w:left="1560" w:hanging="447"/>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560" w:hanging="447"/>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560" w:hanging="447"/>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or</w:t>
      </w:r>
    </w:p>
    <w:p>
      <w:pPr>
        <w:spacing w:after="0" w:line="130" w:lineRule="exact"/>
        <w:rPr>
          <w:rFonts w:ascii="Times New Roman" w:cs="Times New Roman" w:eastAsia="Times New Roman" w:hAnsi="Times New Roman"/>
          <w:sz w:val="18"/>
          <w:szCs w:val="18"/>
          <w:color w:val="auto"/>
        </w:rPr>
      </w:pPr>
    </w:p>
    <w:p>
      <w:pPr>
        <w:ind w:left="1560" w:hanging="447"/>
        <w:spacing w:after="0"/>
        <w:tabs>
          <w:tab w:leader="none" w:pos="1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we, or any selling stockholder,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(or affiliates of such third parties) in such sale transactions will be underwriters and, if not identified in this prospectus, will be named in the applicable prospectus supplement (or a post-effective amendment). We, or any selling stockholders, may otherwise loan or pledge securities to a financial institution or other third party that in turn may sell the securities short using this prospectus and an applicable prospectus supplement. Such financial institution or other third party (or affiliates of such third parties) may transfer its economic short position to investors in our securities or in connection with a concurrent offering of other securities.</w:t>
      </w:r>
    </w:p>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ectPr>
          <w:pgSz w:w="11920" w:h="16838" w:orient="portrait"/>
          <w:cols w:equalWidth="0" w:num="1">
            <w:col w:w="10980"/>
          </w:cols>
          <w:pgMar w:left="340" w:top="666" w:right="598"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will be passed upon for us by Latham &amp; Watkins LLP, San Diego, California. Venable LLP, Baltimore, Maryland, has issued an opinion to us regarding certain matters of Maryland law. Verrill Dana LLP, Boston, Massachusetts, has issued an opinion to us regarding certain matters of Massachusetts law. Additional legal matters may be passed upon for us, any selling security holders or any underwriters, dealers or agents, by counsel that we will name in the applicable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Extra Space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Extra Space Storage Inc. appearing in Extra Space Storage Inc.’s Annual Report (Form 10-K) for the year ended December 31, 2023, and the effectiveness of Extra Space Storage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Life Storage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Life Storage, Inc. and Life Storage LP appearing in Life Storage, Inc.’s and Life Storage LP’s combined Annual Report (Form 10-K) for the year ended December 31, 2022, and the effectiveness of Life Storage, Inc.’s and Life Storage LP’s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20" w:h="16838" w:orient="portrait"/>
          <w:cols w:equalWidth="0" w:num="1">
            <w:col w:w="11120"/>
          </w:cols>
          <w:pgMar w:left="340" w:top="666" w:right="458"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210185</wp:posOffset>
            </wp:positionV>
            <wp:extent cx="72002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002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234315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285750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$550,000,000</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4.900%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3361690</wp:posOffset>
            </wp:positionV>
            <wp:extent cx="14662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344170</wp:posOffset>
            </wp:positionV>
            <wp:extent cx="2425700" cy="1097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242570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242570</wp:posOffset>
            </wp:positionV>
            <wp:extent cx="14662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Joint Book-Running Managers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c>
          <w:tcPr>
            <w:tcW w:w="1660" w:type="dxa"/>
            <w:vAlign w:val="bottom"/>
          </w:tcPr>
          <w:p>
            <w:pPr>
              <w:spacing w:after="0"/>
              <w:rPr>
                <w:sz w:val="20"/>
                <w:szCs w:val="20"/>
                <w:color w:val="auto"/>
              </w:rPr>
            </w:pP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J.P. Morgan</w:t>
            </w:r>
          </w:p>
        </w:tc>
        <w:tc>
          <w:tcPr>
            <w:tcW w:w="2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Truist Securities</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BMO Capital Markets</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31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PNC Capital Markets LLC</w:t>
            </w:r>
          </w:p>
        </w:tc>
        <w:tc>
          <w:tcPr>
            <w:tcW w:w="23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TD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Bancorp</w:t>
            </w:r>
          </w:p>
        </w:tc>
      </w:tr>
      <w:tr>
        <w:trPr>
          <w:trHeight w:val="304"/>
        </w:trPr>
        <w:tc>
          <w:tcPr>
            <w:tcW w:w="2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0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tc>
        <w:tc>
          <w:tcPr>
            <w:tcW w:w="2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3"/>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Regions Securities LLC</w:t>
            </w:r>
          </w:p>
        </w:tc>
        <w:tc>
          <w:tcPr>
            <w:tcW w:w="16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Citigroup</w:t>
            </w:r>
          </w:p>
        </w:tc>
        <w:tc>
          <w:tcPr>
            <w:tcW w:w="31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Huntington Capital Markets</w:t>
            </w:r>
          </w:p>
        </w:tc>
        <w:tc>
          <w:tcPr>
            <w:tcW w:w="23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Scotiabank</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Zions Capital Markets</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BOK Financial Securities, Inc.</w:t>
            </w:r>
          </w:p>
        </w:tc>
        <w:tc>
          <w:tcPr>
            <w:tcW w:w="166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Fifth Third Securities</w:t>
            </w:r>
          </w:p>
        </w:tc>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Ramirez &amp; Co., Inc.</w:t>
            </w:r>
          </w:p>
        </w:tc>
      </w:tr>
      <w:tr>
        <w:trPr>
          <w:trHeight w:val="644"/>
        </w:trPr>
        <w:tc>
          <w:tcPr>
            <w:tcW w:w="2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82"/>
        </w:trPr>
        <w:tc>
          <w:tcPr>
            <w:tcW w:w="23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r>
    </w:tbl>
    <w:p>
      <w:pPr>
        <w:sectPr>
          <w:pgSz w:w="11920" w:h="16838" w:orient="portrait"/>
          <w:cols w:equalWidth="0" w:num="1">
            <w:col w:w="11140"/>
          </w:cols>
          <w:pgMar w:left="340" w:top="666" w:right="438"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Extra Space Storage LP</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0"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7"/>
        </w:trPr>
        <w:tc>
          <w:tcPr>
            <w:tcW w:w="8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w w:val="92"/>
              </w:rPr>
              <w:t>Security Type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Fee(1)</w:t>
            </w:r>
          </w:p>
        </w:tc>
      </w:tr>
      <w:tr>
        <w:trPr>
          <w:trHeight w:val="209"/>
        </w:trPr>
        <w:tc>
          <w:tcPr>
            <w:tcW w:w="22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Extra Space Storage LP</w:t>
            </w: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5"/>
        </w:trPr>
        <w:tc>
          <w:tcPr>
            <w:tcW w:w="880" w:type="dxa"/>
            <w:vAlign w:val="bottom"/>
            <w:tcBorders>
              <w:left w:val="single" w:sz="8" w:color="auto"/>
              <w:right w:val="single" w:sz="8" w:color="auto"/>
            </w:tcBorders>
          </w:tcPr>
          <w:p>
            <w:pPr>
              <w:ind w:left="340"/>
              <w:spacing w:after="0" w:line="205" w:lineRule="exact"/>
              <w:rPr>
                <w:sz w:val="20"/>
                <w:szCs w:val="20"/>
                <w:color w:val="auto"/>
              </w:rPr>
            </w:pPr>
            <w:r>
              <w:rPr>
                <w:rFonts w:ascii="Times New Roman" w:cs="Times New Roman" w:eastAsia="Times New Roman" w:hAnsi="Times New Roman"/>
                <w:sz w:val="18"/>
                <w:szCs w:val="18"/>
                <w:color w:val="auto"/>
              </w:rPr>
              <w:t>Debt</w:t>
            </w:r>
          </w:p>
        </w:tc>
        <w:tc>
          <w:tcPr>
            <w:tcW w:w="14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w:t>
            </w:r>
          </w:p>
        </w:tc>
        <w:tc>
          <w:tcPr>
            <w:tcW w:w="13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4.900% Senior</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4"/>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2032</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$550,000,000.00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$548,361,000.00</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0.00013810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$75,728.65</w:t>
            </w:r>
          </w:p>
        </w:tc>
      </w:tr>
      <w:tr>
        <w:trPr>
          <w:trHeight w:val="209"/>
        </w:trPr>
        <w:tc>
          <w:tcPr>
            <w:tcW w:w="22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Extra Space Storage Inc.</w:t>
            </w: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5"/>
        </w:trPr>
        <w:tc>
          <w:tcPr>
            <w:tcW w:w="880" w:type="dxa"/>
            <w:vAlign w:val="bottom"/>
            <w:tcBorders>
              <w:left w:val="single" w:sz="8" w:color="auto"/>
              <w:right w:val="single" w:sz="8" w:color="auto"/>
            </w:tcBorders>
          </w:tcPr>
          <w:p>
            <w:pPr>
              <w:ind w:left="340"/>
              <w:spacing w:after="0" w:line="205" w:lineRule="exact"/>
              <w:rPr>
                <w:sz w:val="20"/>
                <w:szCs w:val="20"/>
                <w:color w:val="auto"/>
              </w:rPr>
            </w:pPr>
            <w:r>
              <w:rPr>
                <w:rFonts w:ascii="Times New Roman" w:cs="Times New Roman" w:eastAsia="Times New Roman" w:hAnsi="Times New Roman"/>
                <w:sz w:val="18"/>
                <w:szCs w:val="18"/>
                <w:color w:val="auto"/>
              </w:rPr>
              <w:t>Debt</w:t>
            </w:r>
          </w:p>
        </w:tc>
        <w:tc>
          <w:tcPr>
            <w:tcW w:w="14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Guarantees of</w:t>
            </w:r>
          </w:p>
        </w:tc>
        <w:tc>
          <w:tcPr>
            <w:tcW w:w="7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4.900% Senior</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4"/>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8"/>
                <w:szCs w:val="18"/>
                <w:color w:val="auto"/>
                <w:w w:val="96"/>
              </w:rPr>
              <w:t>Notes due 2032</w:t>
            </w:r>
            <w:r>
              <w:rPr>
                <w:rFonts w:ascii="Times New Roman" w:cs="Times New Roman" w:eastAsia="Times New Roman" w:hAnsi="Times New Roman"/>
                <w:sz w:val="22"/>
                <w:szCs w:val="22"/>
                <w:color w:val="auto"/>
                <w:w w:val="96"/>
                <w:vertAlign w:val="superscript"/>
              </w:rPr>
              <w:t>(2)</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457(n)</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2"/>
              </w:rPr>
              <w:t>Total Offering</w:t>
            </w:r>
          </w:p>
        </w:tc>
        <w:tc>
          <w:tcPr>
            <w:tcW w:w="20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Amounts</w:t>
            </w:r>
          </w:p>
        </w:tc>
        <w:tc>
          <w:tcPr>
            <w:tcW w:w="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$548,361,000.00</w:t>
            </w:r>
          </w:p>
        </w:tc>
        <w:tc>
          <w:tcPr>
            <w:tcW w:w="9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$75,728.65</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gridSpan w:val="3"/>
          </w:tcPr>
          <w:p>
            <w:pPr>
              <w:jc w:val="center"/>
              <w:ind w:right="68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left="53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left="537"/>
              <w:spacing w:after="0"/>
              <w:rPr>
                <w:sz w:val="20"/>
                <w:szCs w:val="20"/>
                <w:color w:val="auto"/>
              </w:rPr>
            </w:pPr>
            <w:r>
              <w:rPr>
                <w:rFonts w:ascii="Times New Roman" w:cs="Times New Roman" w:eastAsia="Times New Roman" w:hAnsi="Times New Roman"/>
                <w:sz w:val="18"/>
                <w:szCs w:val="18"/>
                <w:color w:val="auto"/>
              </w:rPr>
              <w:t>Net Fee Due</w:t>
            </w:r>
          </w:p>
        </w:tc>
        <w:tc>
          <w:tcPr>
            <w:tcW w:w="13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$75,728.65</w:t>
            </w:r>
          </w:p>
        </w:tc>
      </w:tr>
    </w:tbl>
    <w:p>
      <w:pPr>
        <w:spacing w:after="0" w:line="63" w:lineRule="exact"/>
        <w:rPr>
          <w:sz w:val="20"/>
          <w:szCs w:val="20"/>
          <w:color w:val="auto"/>
        </w:rPr>
      </w:pPr>
    </w:p>
    <w:p>
      <w:pPr>
        <w:ind w:left="560" w:right="60" w:hanging="558"/>
        <w:spacing w:after="0" w:line="255" w:lineRule="auto"/>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457(r) and Rule 457(o) under the Securities Act of 1933, as amended (the “Securities Act”). This “Calculation of Registration Fee” table shall be deemed to update the “Calculation of Registration Fee” table in the registrants’ Registration Statements on Form S-3 (Nos. 333-278690 and 333-278690-01), in accordance with Rules 456(b) and 457(r) under the Securities Act.</w:t>
      </w:r>
    </w:p>
    <w:p>
      <w:pPr>
        <w:spacing w:after="0" w:line="2" w:lineRule="exact"/>
        <w:rPr>
          <w:rFonts w:ascii="Times New Roman" w:cs="Times New Roman" w:eastAsia="Times New Roman" w:hAnsi="Times New Roman"/>
          <w:sz w:val="18"/>
          <w:szCs w:val="18"/>
          <w:color w:val="auto"/>
        </w:rPr>
      </w:pPr>
    </w:p>
    <w:p>
      <w:pPr>
        <w:ind w:left="560" w:right="100" w:hanging="558"/>
        <w:spacing w:after="0" w:line="260" w:lineRule="auto"/>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Pursuant to Rule 457(n) under the Securities Act, no separate fee is payable with respect to the guarantees being registered hereby.</w:t>
      </w:r>
    </w:p>
    <w:sectPr>
      <w:pgSz w:w="11920" w:h="16838" w:orient="portrait"/>
      <w:cols w:equalWidth="0" w:num="1">
        <w:col w:w="10580"/>
      </w:cols>
      <w:pgMar w:left="900" w:top="112" w:right="43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decimal"/>
      <w:start w:val="2"/>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1)"/>
      <w:numFmt w:val="lowerRoman"/>
      <w:start w:val="1"/>
    </w:lvl>
  </w:abstractNum>
  <w:abstractNum w:abstractNumId="28">
    <w:nsid w:val="579BE4F1"/>
    <w:multiLevelType w:val="hybridMultilevel"/>
    <w:lvl w:ilvl="0">
      <w:lvlJc w:val="left"/>
      <w:lvlText w:val="(%1)"/>
      <w:numFmt w:val="lowerRoman"/>
      <w:start w:val="1"/>
    </w:lvl>
  </w:abstractNum>
  <w:abstractNum w:abstractNumId="29">
    <w:nsid w:val="310C50B3"/>
    <w:multiLevelType w:val="hybridMultilevel"/>
    <w:lvl w:ilvl="0">
      <w:lvlJc w:val="left"/>
      <w:lvlText w:val="(%1)"/>
      <w:numFmt w:val="lowerRoman"/>
      <w:start w:val="1"/>
    </w:lvl>
  </w:abstractNum>
  <w:abstractNum w:abstractNumId="30">
    <w:nsid w:val="5FF87E05"/>
    <w:multiLevelType w:val="hybridMultilevel"/>
    <w:lvl w:ilvl="0">
      <w:lvlJc w:val="left"/>
      <w:lvlText w:val="(%1)"/>
      <w:numFmt w:val="lowerLetter"/>
      <w:start w:val="2"/>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lvl w:ilvl="1">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lvl w:ilvl="1">
      <w:lvlJc w:val="left"/>
      <w:lvlText w:val="(%2)"/>
      <w:numFmt w:val="decimal"/>
      <w:start w:val="1"/>
    </w:lvl>
  </w:abstractNum>
  <w:abstractNum w:abstractNumId="65">
    <w:nsid w:val="14330624"/>
    <w:multiLevelType w:val="hybridMultilevel"/>
    <w:lvl w:ilvl="0">
      <w:lvlJc w:val="left"/>
      <w:lvlText w:val="(%1)"/>
      <w:numFmt w:val="decimal"/>
      <w:start w:val="4"/>
    </w:lvl>
    <w:lvl w:ilvl="1">
      <w:lvlJc w:val="left"/>
      <w:lvlText w:val="(%2)"/>
      <w:numFmt w:val="decimal"/>
      <w:start w:val="2"/>
    </w:lvl>
  </w:abstractNum>
  <w:abstractNum w:abstractNumId="66">
    <w:nsid w:val="7FFFCA11"/>
    <w:multiLevelType w:val="hybridMultilevel"/>
    <w:lvl w:ilvl="0">
      <w:lvlJc w:val="left"/>
      <w:lvlText w:val="(%1)"/>
      <w:numFmt w:val="decimal"/>
      <w:start w:val="2"/>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decimal"/>
      <w:start w:val="3"/>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jpeg"/><Relationship Id="rId162" Type="http://schemas.openxmlformats.org/officeDocument/2006/relationships/image" Target="media/image142.png"/><Relationship Id="rId57" Type="http://schemas.openxmlformats.org/officeDocument/2006/relationships/hyperlink" Target="http://www.sec.gov/ix?doc=/Archives/edgar/data/1289490/000128949026000011/exr-20251231.htm" TargetMode="External"/><Relationship Id="rId58" Type="http://schemas.openxmlformats.org/officeDocument/2006/relationships/hyperlink" Target="http://www.sec.gov/ix?doc=/Archives/edgar/data/1289490/000128949026000037/exr-20260331.htm" TargetMode="External"/><Relationship Id="rId59" Type="http://schemas.openxmlformats.org/officeDocument/2006/relationships/hyperlink" Target="http://www.sec.gov/ix?doc=/Archives/edgar/data/1289490/000128949026000003/exr-20260105.htm" TargetMode="External"/><Relationship Id="rId60" Type="http://schemas.openxmlformats.org/officeDocument/2006/relationships/hyperlink" Target="http://www.sec.gov/ix?doc=/Archives/edgar/data/1289490/000128949026000039/exr-20260514.htm" TargetMode="External"/><Relationship Id="rId61" Type="http://schemas.openxmlformats.org/officeDocument/2006/relationships/hyperlink" Target="http://www.sec.gov/ix?doc=/Archives/edgar/data/1289490/000128949026000027/exr-20260330.htm" TargetMode="External"/><Relationship Id="rId62" Type="http://schemas.openxmlformats.org/officeDocument/2006/relationships/hyperlink" Target="http://www.sec.gov/Archives/edgar/data/1289490/000119312504131319/d8a12b.htm" TargetMode="External"/><Relationship Id="rId75" Type="http://schemas.openxmlformats.org/officeDocument/2006/relationships/hyperlink" Target="http://www.sec.gov/ix?doc=/Archives/edgar/data/1289490/000162828024008044/exr-20231231.htm" TargetMode="External"/><Relationship Id="rId76" Type="http://schemas.openxmlformats.org/officeDocument/2006/relationships/hyperlink" Target="http://www.sec.gov/ix?doc=/Archives/edgar/data/1289490/000119312523164949/d498994d8k.htm" TargetMode="External"/><Relationship Id="rId77" Type="http://schemas.openxmlformats.org/officeDocument/2006/relationships/hyperlink" Target="http://www.sec.gov/ix?doc=/Archives/edgar/data/1289490/000162828023029991/exr-20230818.htm" TargetMode="External"/><Relationship Id="rId78" Type="http://schemas.openxmlformats.org/officeDocument/2006/relationships/hyperlink" Target="http://www.sec.gov/ix?doc=/Archives/edgar/data/1289490/000119312524009242/d694891d8k.htm" TargetMode="External"/><Relationship Id="rId79" Type="http://schemas.openxmlformats.org/officeDocument/2006/relationships/hyperlink" Target="http://www.sec.gov/ix?doc=/Archives/edgar/data/1289490/000119312524011229/d698894d8k.htm" TargetMode="External"/><Relationship Id="rId80" Type="http://schemas.openxmlformats.org/officeDocument/2006/relationships/hyperlink" Target="http://www.sec.gov/ix?doc=/Archives/edgar/data/1289490/000162828024015044/exr-20240405.htm" TargetMode="External"/><Relationship Id="rId81" Type="http://schemas.openxmlformats.org/officeDocument/2006/relationships/hyperlink" Target="http://www.sec.gov/ix?doc=/Archives/edgar/data/1289490/000162828024014598/exr-2024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2026-06-25T15:44:34Z</dcterms:created>
  <dcterms:modified xsi:type="dcterms:W3CDTF">2026-06-25T15:44:34Z</dcterms:modified>
</cp:coreProperties>
</file>