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545d8k.htm"/>
      <w:bookmarkStart w:id="1" w:name="ksd15254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July 6,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EXTRA SPACE STORAGE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375" w:type="dxa"/>
        <w:jc w:val="left"/>
        <w:tblInd w:w="0" w:type="dxa"/>
        <w:tblLayout w:type="fixed"/>
        <w:tblCellMar>
          <w:top w:w="0" w:type="dxa"/>
          <w:left w:w="0" w:type="dxa"/>
          <w:bottom w:w="0" w:type="dxa"/>
          <w:right w:w="0" w:type="dxa"/>
        </w:tblCellMar>
      </w:tblPr>
      <w:tblGrid>
        <w:gridCol w:w="2825"/>
        <w:gridCol w:w="60"/>
        <w:gridCol w:w="105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001-32269</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20-1076777</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200" w:after="0"/>
        <w:jc w:val="center"/>
        <w:rPr>
          <w:rFonts w:ascii="Times New Roman" w:hAnsi="Times New Roman"/>
          <w:b/>
          <w:sz w:val="20"/>
        </w:rPr>
      </w:pPr>
      <w:r>
        <w:rPr>
          <w:rFonts w:ascii="Times New Roman" w:hAnsi="Times New Roman"/>
          <w:b/>
          <w:sz w:val="20"/>
        </w:rPr>
        <w:t>2795 East Cottonwood Parkway, Suite 300</w:t>
      </w:r>
    </w:p>
    <w:p>
      <w:pPr>
        <w:pStyle w:val="TextBody"/>
        <w:bidi w:val="0"/>
        <w:spacing w:before="0" w:after="0"/>
        <w:jc w:val="center"/>
        <w:rPr>
          <w:rFonts w:ascii="Times New Roman" w:hAnsi="Times New Roman"/>
          <w:b/>
          <w:sz w:val="20"/>
        </w:rPr>
      </w:pPr>
      <w:r>
        <w:rPr>
          <w:rFonts w:ascii="Times New Roman" w:hAnsi="Times New Roman"/>
          <w:b/>
          <w:sz w:val="20"/>
        </w:rPr>
        <w:t>Salt Lake City, Utah 84121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(801) 365-4600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Securities Exchange Act of 1934</w:t>
      </w:r>
    </w:p>
    <w:p>
      <w:pPr>
        <w:pStyle w:val="TextBody"/>
        <w:bidi w:val="0"/>
        <w:spacing w:before="0" w:after="0"/>
        <w:jc w:val="left"/>
        <w:rPr/>
      </w:pPr>
      <w:r>
        <w:rPr/>
        <w:t> </w:t>
      </w:r>
    </w:p>
    <w:tbl>
      <w:tblPr>
        <w:tblW w:w="7050" w:type="dxa"/>
        <w:jc w:val="left"/>
        <w:tblInd w:w="0" w:type="dxa"/>
        <w:tblLayout w:type="fixed"/>
        <w:tblCellMar>
          <w:top w:w="0" w:type="dxa"/>
          <w:left w:w="0" w:type="dxa"/>
          <w:bottom w:w="0" w:type="dxa"/>
          <w:right w:w="0" w:type="dxa"/>
        </w:tblCellMar>
      </w:tblPr>
      <w:tblGrid>
        <w:gridCol w:w="3110"/>
        <w:gridCol w:w="60"/>
        <w:gridCol w:w="116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EXR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2.03 of this Current Report on Form 8-K is incorporated by reference into this Item 1.01.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6, 2026, Extra Space Storage LP (the “Issuer”), a Delaware limited partnership and subsidiary of Extra Space Storage Inc. (the “Company”), completed an underwritten public offering of $550,000,000 aggregate principal amount of its 4.900% Senior Notes due 2032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fully and unconditionally guaranteed (the “Guarantee”) by the Company, ESS Holdings Business Trust I, a Massachusetts business trust (“EHBT I”), and ESS Holdings Business Trust II, a Massachusetts business trust (“EHBT II” and, together with EHBT I and the Company, the “Guarantors”). The terms of the Notes are governed by an indenture, dated as of May 11, 2021 (the “Base Indenture”), by and among the Issuer, the Guarantors and Computershare Trust Company, N.A., as successor trustee to Wells Fargo Bank, National Association, as trustee (the “Trustee”), as supplemented by a sixteenth supplemental indenture, dated as of July 6, 2026 (the “Sixteenth Supplemental Indenture” and, together with the Base Indenture, the “Indenture”), by and among the Issuer, the Guarantors and the Trustee. The Indenture contains various restrictive covenants, including limitations on the ability of the Issuer and its subsidiaries to incur additional indebtedness and requirements to maintain a pool of unencumbered assets. Copies of the Base Indenture and the Sixteenth Supplemental Indenture, including the form of Notes and the Guarantee, the terms of which are incorporated herein by reference, are attached as Exhibits 4.1 and 4.2, respectively,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public offering price for the Notes was 99.702% of the principal amount thereof. The Notes are the Issuer’s senior unsecured obligations and rank equally in right of payment with all of the Issuer’s other existing and future senior unsecured indebtedness. However, the Notes are structurally subordinated in right of payment to all of the Issuer’s existing and future mortgage indebtedness and other secured indebtedness (to the extent of the collateral securing the same) and to all existing and future indebtedness and other liabilities, whether secured or unsecured, of the Issuer’s subsidiaries and of any entity the Issuer accounts for using the equity method of accounting and to all preferred equity not owned by the Issuer, if any, in its subsidiaries and of any entity the Issuer accounts for using the equity method of accounting. The Notes bear interest at 4.900% per annum. Interest is payable on February 1 and August 1 of each year, beginning February 1, 2027, until the maturity date of February 1, 2032.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redeem the Notes in whole at any time or in part from time to time, at the Issuer’s option and sole discretion, at a redemption price equal to the greater of: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being redeemed; and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make-whole premium calculated in accordance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each case, accrued and unpaid interest thereon to, but not including,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on or after January 1, 2032 (one month prior to the maturity date of the Notes), the redemption price will be equal to 100% of the principal amount of the Notes being redeemed, plus accrued and unpaid interest thereon to, but not including,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events are considered events of default, which may result in the accelerated maturity of the Notes, including: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of any installment of interest under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amount or redemption price due with respect to the Notes, when the same becomes due and payable; provided, however, that a valid extension of the maturity of the Notes in accordance with the terms of the Indenture shall not constitute a default in the payment of principal;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Issuer or any of the Guarantors to comply with any of the Issuer’s or the Guarantors’ respective other agreements in the Notes or the Indenture with respect to the Notes upon receipt by the Issuer of notice of such default by the Trustee or by holders of not less than 25% in aggregate principal amount of the Notes then outstanding and our failure to cure (or obtain a waiver of) such default within 60 days after it receives such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debt (other than non-recourse debt) for monies borrowed by the Issuer, any Guarantor or any of their respective Significant Subsidiaries (as defined in the Indenture) in an outstanding principal amount in excess of $100.0 million at final maturity or upon acceleration after the expiration of any applicable grace period, which debt (other than non-recourse debt) is, or has become, the primary obligation of the Issuer or such Guarantor and is not discharged, or such default in payment or acceleration is not cured or rescinded, within 60 days after written notice to the Issuer from the Trustee (or to the Issuer and the Trustee from holders of at least twenty five percent (25%) in principal amount of the outstanding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or court appointment of a receiver, liquidator or trustee of the Issuer, any Guarantor, or any Significant Subsidiary or all or substantially all of their respective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of the Indenture in this Current Report on Form 8-K is a summary and is qualified in its entirety by the full text of the Indenture. The Notes were offered pursuant to an effective shelf registration statement originally filed with the Securities and Exchange Commission on April 15, 2024 (Registration No. 333-278690), as amended, a base prospectus included therein, dated April 15, 2024, and a prospectus supplement, dated June 24, 2026, filed with the Securities and Exchange Commission pursuant to Rule 424(b) under the Securities Act of 1933, as amended. In connection with the filing of the prospectus supplement, we are filing as Exhibit 5.1 to this Current Report on Form 8-K an opinion of the Issuer’s counsel, Latham &amp; Watkins LLP, regarding the validity of the Notes and related Guarantee, as Exhibit 5.2 to this Current Report on Form 8-K an opinion of the Company’s counsel, Venable LLP, regarding certain Maryland law issues, and as Exhibit 5.3 to this Current Report on Form 8-K an opinion of EHBT I and EHBT II’s counsel, Verrill Dana LLP, regarding certain Massachusetts law issues.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Indenture, dated as of May 11, 2021, among Extra Space Storage LP, as issuer, Extra Space Storage Inc., ESS Holdings Business Trust I and ESS Holdings Business Trust II, as guarantors, and Wells Fargo Bank, National Association, as trustee (incorporated by reference to Exhibit 4.1 to the Current Report on Form 8-K filed by Extra Space Storage Inc. on May 11, 2021).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42.htm">
              <w:r>
                <w:rPr>
                  <w:rStyle w:val="InternetLink"/>
                </w:rPr>
                <w:t xml:space="preserve">Sixteenth Supplemental Indenture, dated as of July 6, 2026, among Extra Space Storage LP, as issuer, Extra Space Storage Inc., ESS Holdings Business Trust I and ESS Holdings Business Trust II, as guarantors, and Computershare Trust Company, N.A., as trustee, including the form of the Notes and the Guarantee.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51.htm">
              <w:r>
                <w:rPr>
                  <w:rStyle w:val="InternetLink"/>
                </w:rPr>
                <w:t xml:space="preserve">Opinion of Latham &amp; Watkins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52.htm">
              <w:r>
                <w:rPr>
                  <w:rStyle w:val="InternetLink"/>
                </w:rPr>
                <w:t xml:space="preserve">Opinion of Venable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53.htm">
              <w:r>
                <w:rPr>
                  <w:rStyle w:val="InternetLink"/>
                </w:rPr>
                <w:t xml:space="preserve">Opinion of Verrill Dana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51.htm">
              <w:r>
                <w:rPr>
                  <w:rStyle w:val="InternetLink"/>
                </w:rPr>
                <w:t xml:space="preserve">Consent of Latham &amp; Watkins LLP (included in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52.htm">
              <w:r>
                <w:rPr>
                  <w:rStyle w:val="InternetLink"/>
                </w:rPr>
                <w:t xml:space="preserve">Consent of Venable LLP (included in Exhibit 5.2).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2545dex53.htm">
              <w:r>
                <w:rPr>
                  <w:rStyle w:val="InternetLink"/>
                </w:rPr>
                <w:t xml:space="preserve">Consent of Verrill Dana LLP (included in Exhibit 5.3).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73" w:type="dxa"/>
        <w:jc w:val="left"/>
        <w:tblInd w:w="0" w:type="dxa"/>
        <w:tblLayout w:type="fixed"/>
        <w:tblCellMar>
          <w:top w:w="0" w:type="dxa"/>
          <w:left w:w="0" w:type="dxa"/>
          <w:bottom w:w="0" w:type="dxa"/>
          <w:right w:w="0" w:type="dxa"/>
        </w:tblCellMar>
      </w:tblPr>
      <w:tblGrid>
        <w:gridCol w:w="1775"/>
        <w:gridCol w:w="60"/>
        <w:gridCol w:w="23"/>
        <w:gridCol w:w="60"/>
        <w:gridCol w:w="650"/>
        <w:gridCol w:w="60"/>
        <w:gridCol w:w="4745"/>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283"/>
              <w:jc w:val="left"/>
              <w:rPr/>
            </w:pPr>
            <w:r>
              <w:rPr/>
              <w:t>EXTRA SPACE STORAGE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Gwyn McNeal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Gwyn McNeal</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0"/>
        <w:jc w:val="right"/>
        <w:rPr>
          <w:rFonts w:ascii="Times New Roman" w:hAnsi="Times New Roman"/>
          <w:b/>
          <w:sz w:val="20"/>
        </w:rPr>
      </w:pPr>
      <w:bookmarkStart w:id="2" w:name="d152545dex42.htm"/>
      <w:bookmarkStart w:id="3" w:name="ksd152545dex42"/>
      <w:bookmarkEnd w:id="2"/>
      <w:bookmarkEnd w:id="3"/>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EXTRA SPACE STORAGE LP, </w:t>
      </w:r>
    </w:p>
    <w:p>
      <w:pPr>
        <w:pStyle w:val="TextBody"/>
        <w:bidi w:val="0"/>
        <w:spacing w:before="240" w:after="0"/>
        <w:jc w:val="center"/>
        <w:rPr>
          <w:rFonts w:ascii="Times New Roman" w:hAnsi="Times New Roman"/>
          <w:b/>
          <w:sz w:val="20"/>
        </w:rPr>
      </w:pPr>
      <w:r>
        <w:rPr>
          <w:rFonts w:ascii="Times New Roman" w:hAnsi="Times New Roman"/>
          <w:b/>
          <w:sz w:val="20"/>
        </w:rPr>
        <w:t xml:space="preserve">EXTRA SPACE STORAGE INC., </w:t>
      </w:r>
    </w:p>
    <w:p>
      <w:pPr>
        <w:pStyle w:val="TextBody"/>
        <w:bidi w:val="0"/>
        <w:spacing w:before="0" w:after="0"/>
        <w:jc w:val="center"/>
        <w:rPr>
          <w:rFonts w:ascii="Times New Roman" w:hAnsi="Times New Roman"/>
          <w:b/>
          <w:sz w:val="20"/>
        </w:rPr>
      </w:pPr>
      <w:r>
        <w:rPr>
          <w:rFonts w:ascii="Times New Roman" w:hAnsi="Times New Roman"/>
          <w:b/>
          <w:sz w:val="20"/>
        </w:rPr>
        <w:t xml:space="preserve">ESS HOLDINGS BUSINESS TRUST I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ESS HOLDINGS BUSINESS TRUST II, </w:t>
      </w:r>
    </w:p>
    <w:p>
      <w:pPr>
        <w:pStyle w:val="TextBody"/>
        <w:bidi w:val="0"/>
        <w:spacing w:before="240" w:after="0"/>
        <w:jc w:val="center"/>
        <w:rPr>
          <w:rFonts w:ascii="Times New Roman" w:hAnsi="Times New Roman"/>
          <w:b/>
          <w:sz w:val="20"/>
        </w:rPr>
      </w:pPr>
      <w:r>
        <w:rPr>
          <w:rFonts w:ascii="Times New Roman" w:hAnsi="Times New Roman"/>
          <w:b/>
          <w:sz w:val="20"/>
        </w:rPr>
        <w:t xml:space="preserve">AS GUARANTORS,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TRUST COMPANY, N.A.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SIXTEENTH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TO INDENTURE DATED MAY 11, 2021 </w:t>
      </w:r>
    </w:p>
    <w:p>
      <w:pPr>
        <w:pStyle w:val="TextBody"/>
        <w:bidi w:val="0"/>
        <w:spacing w:before="240" w:after="0"/>
        <w:jc w:val="center"/>
        <w:rPr>
          <w:rFonts w:ascii="Times New Roman" w:hAnsi="Times New Roman"/>
          <w:b/>
          <w:sz w:val="20"/>
        </w:rPr>
      </w:pPr>
      <w:r>
        <w:rPr>
          <w:rFonts w:ascii="Times New Roman" w:hAnsi="Times New Roman"/>
          <w:b/>
          <w:sz w:val="20"/>
        </w:rPr>
        <w:t xml:space="preserve">$550,000,000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4.900% SENIOR NOTES DUE 2032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6"/>
        <w:gridCol w:w="80"/>
        <w:gridCol w:w="8112"/>
        <w:gridCol w:w="137"/>
        <w:gridCol w:w="96"/>
        <w:gridCol w:w="419"/>
        <w:gridCol w:w="65"/>
      </w:tblGrid>
      <w:tr>
        <w:trPr/>
        <w:tc>
          <w:tcPr>
            <w:tcW w:w="1296"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11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29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RELATION TO BASE INDENTURE; DEFINITIONS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Relation to Base Indenture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Definitions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TERMS OF THE SECURITIES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12</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Title of the Securities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Price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Limitation on Initial Aggregate Principal Amount; Further Issuances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Interest and Interest Rates; Stated Maturity of Notes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Method of Payment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Currency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Additional Notes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Redemption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No Sinking Fund</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Registrar and Paying Agent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FORM OF THE SECURITIES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Global Form</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Transfer and Exchange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REDEMPTION OF NOTES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21</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Optional Redemption of Notes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Notice of Optional Redemption, Selection of Notes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Payment of Notes Called for Redemption by the Company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GUARANTEE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23</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Note Guarantee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Execution and Delivery of Note Guarantee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Limitation of Guarantors’ Liability</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Application of Certain Terms and Provisions to the Guarantors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ADDITIONAL COVENANTS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Limitations on Incurrence of Debt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Existence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Merger, Consolidation or Sale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Payment of Taxes and Other Claims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Provision of Financial Information</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Maintenance of Properties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Insurance</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General</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DEFAULTS AND REMEDIES</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30</w:t>
            </w:r>
          </w:p>
        </w:tc>
        <w:tc>
          <w:tcPr>
            <w:tcW w:w="65" w:type="dxa"/>
            <w:tcBorders/>
            <w:vAlign w:val="bottom"/>
          </w:tcPr>
          <w:p>
            <w:pPr>
              <w:pStyle w:val="TableContents"/>
              <w:bidi w:val="0"/>
              <w:spacing w:before="0" w:after="283"/>
              <w:jc w:val="left"/>
              <w:rPr/>
            </w:pPr>
            <w:r>
              <w:rPr/>
              <w:t> </w:t>
            </w:r>
          </w:p>
        </w:tc>
      </w:tr>
      <w:tr>
        <w:trPr/>
        <w:tc>
          <w:tcPr>
            <w:tcW w:w="1296"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80" w:type="dxa"/>
            <w:tcBorders/>
            <w:vAlign w:val="bottom"/>
          </w:tcPr>
          <w:p>
            <w:pPr>
              <w:pStyle w:val="TableContents"/>
              <w:bidi w:val="0"/>
              <w:spacing w:before="0" w:after="283"/>
              <w:jc w:val="left"/>
              <w:rPr/>
            </w:pPr>
            <w:r>
              <w:rPr/>
              <w:t> </w:t>
            </w:r>
          </w:p>
        </w:tc>
        <w:tc>
          <w:tcPr>
            <w:tcW w:w="8112" w:type="dxa"/>
            <w:tcBorders/>
            <w:vAlign w:val="bottom"/>
          </w:tcPr>
          <w:p>
            <w:pPr>
              <w:pStyle w:val="TableContents"/>
              <w:bidi w:val="0"/>
              <w:spacing w:before="0" w:after="283"/>
              <w:jc w:val="left"/>
              <w:rPr/>
            </w:pPr>
            <w:r>
              <w:rPr/>
              <w:t>Events of Default</w:t>
            </w:r>
          </w:p>
        </w:tc>
        <w:tc>
          <w:tcPr>
            <w:tcW w:w="13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25"/>
        <w:gridCol w:w="76"/>
        <w:gridCol w:w="8290"/>
        <w:gridCol w:w="131"/>
        <w:gridCol w:w="60"/>
        <w:gridCol w:w="260"/>
        <w:gridCol w:w="63"/>
      </w:tblGrid>
      <w:tr>
        <w:trPr/>
        <w:tc>
          <w:tcPr>
            <w:tcW w:w="132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Acceleration of Maturity; Rescission and Annulment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AMENDMENTS AND WAIVERS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32</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Without Consent of Holders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With Consent of Holders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Assumption by Parent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MEETINGS OF HOLDERS OF NOTES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35</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Purposes for Which Meetings May Be Called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Call, Notice and Place of Meetings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Persons Entitled to Vote at Meetings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Quorum; Action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Determination of Voting Rights; Conduct and Adjournment of Meetings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Counting Votes and Recording Action of Meetings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691" w:type="dxa"/>
            <w:gridSpan w:val="3"/>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9691"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X MISCELLANEOUS PROVISIONS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38</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Evidence of Compliance with Conditions Precedent, Certificates to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No Recourse Against Others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Trust Indenture Act Controls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Governing Law</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Counterparts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Successors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10.7</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Severability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10.8</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Table of Contents, Headings, Etc.</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10.9</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Ratifications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10.10</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Effectiveness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10.11</w:t>
            </w:r>
          </w:p>
        </w:tc>
        <w:tc>
          <w:tcPr>
            <w:tcW w:w="76" w:type="dxa"/>
            <w:tcBorders/>
            <w:vAlign w:val="bottom"/>
          </w:tcPr>
          <w:p>
            <w:pPr>
              <w:pStyle w:val="TableContents"/>
              <w:bidi w:val="0"/>
              <w:spacing w:before="0" w:after="283"/>
              <w:jc w:val="left"/>
              <w:rPr/>
            </w:pPr>
            <w:r>
              <w:rPr/>
              <w:t> </w:t>
            </w:r>
          </w:p>
        </w:tc>
        <w:tc>
          <w:tcPr>
            <w:tcW w:w="8290" w:type="dxa"/>
            <w:tcBorders/>
            <w:vAlign w:val="bottom"/>
          </w:tcPr>
          <w:p>
            <w:pPr>
              <w:pStyle w:val="TableContents"/>
              <w:bidi w:val="0"/>
              <w:spacing w:before="0" w:after="283"/>
              <w:jc w:val="left"/>
              <w:rPr/>
            </w:pPr>
            <w:r>
              <w:rPr/>
              <w:t>The Trustee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SIXTEENTH SUPPLEMENTAL INDENTURE (this “</w:t>
      </w:r>
      <w:r>
        <w:rPr>
          <w:rFonts w:ascii="Times New Roman" w:hAnsi="Times New Roman"/>
          <w:b/>
          <w:sz w:val="20"/>
        </w:rPr>
        <w:t>Sixteenth Supplemental Indenture</w:t>
      </w:r>
      <w:r>
        <w:rPr>
          <w:rFonts w:ascii="Times New Roman" w:hAnsi="Times New Roman"/>
          <w:sz w:val="20"/>
        </w:rPr>
        <w:t>”) is entered into as of July 6, 2026 among Extra Space Storage LP, a Delaware limited partnership (the “</w:t>
      </w:r>
      <w:r>
        <w:rPr>
          <w:rFonts w:ascii="Times New Roman" w:hAnsi="Times New Roman"/>
          <w:b/>
          <w:sz w:val="20"/>
        </w:rPr>
        <w:t>Company</w:t>
      </w:r>
      <w:r>
        <w:rPr>
          <w:rFonts w:ascii="Times New Roman" w:hAnsi="Times New Roman"/>
          <w:sz w:val="20"/>
        </w:rPr>
        <w:t>”), Extra Space Storage Inc., a Maryland corporation (the “</w:t>
      </w:r>
      <w:r>
        <w:rPr>
          <w:rFonts w:ascii="Times New Roman" w:hAnsi="Times New Roman"/>
          <w:b/>
          <w:sz w:val="20"/>
        </w:rPr>
        <w:t>Parent</w:t>
      </w:r>
      <w:r>
        <w:rPr>
          <w:rFonts w:ascii="Times New Roman" w:hAnsi="Times New Roman"/>
          <w:sz w:val="20"/>
        </w:rPr>
        <w:t>”), ESS Holdings Business Trust I, a Massachusetts trust (“</w:t>
      </w:r>
      <w:r>
        <w:rPr>
          <w:rFonts w:ascii="Times New Roman" w:hAnsi="Times New Roman"/>
          <w:b/>
          <w:sz w:val="20"/>
        </w:rPr>
        <w:t>Trust I</w:t>
      </w:r>
      <w:r>
        <w:rPr>
          <w:rFonts w:ascii="Times New Roman" w:hAnsi="Times New Roman"/>
          <w:sz w:val="20"/>
        </w:rPr>
        <w:t>”), ESS Holdings Business Trust II, a Massachusetts trust (“</w:t>
      </w:r>
      <w:r>
        <w:rPr>
          <w:rFonts w:ascii="Times New Roman" w:hAnsi="Times New Roman"/>
          <w:b/>
          <w:sz w:val="20"/>
        </w:rPr>
        <w:t>Trust II</w:t>
      </w:r>
      <w:r>
        <w:rPr>
          <w:rFonts w:ascii="Times New Roman" w:hAnsi="Times New Roman"/>
          <w:sz w:val="20"/>
        </w:rPr>
        <w:t>”, and together with the Parent and Trust I, the “</w:t>
      </w:r>
      <w:r>
        <w:rPr>
          <w:rFonts w:ascii="Times New Roman" w:hAnsi="Times New Roman"/>
          <w:b/>
          <w:sz w:val="20"/>
        </w:rPr>
        <w:t>Guarantors</w:t>
      </w:r>
      <w:r>
        <w:rPr>
          <w:rFonts w:ascii="Times New Roman" w:hAnsi="Times New Roman"/>
          <w:sz w:val="20"/>
        </w:rPr>
        <w:t>”), and Computershare Trust Company, N.A. (as successor to Wells Fargo Bank, National Association), a national banking association organized under the laws of the United States, as trustee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the Company has delivered to the Trustee an Indenture, dated as of May 11, 2021 (the “</w:t>
      </w:r>
      <w:r>
        <w:rPr>
          <w:rFonts w:ascii="Times New Roman" w:hAnsi="Times New Roman"/>
          <w:b/>
          <w:sz w:val="20"/>
        </w:rPr>
        <w:t>Base Indenture</w:t>
      </w:r>
      <w:r>
        <w:rPr>
          <w:rFonts w:ascii="Times New Roman" w:hAnsi="Times New Roman"/>
          <w:sz w:val="20"/>
        </w:rPr>
        <w:t xml:space="preserve">”), providing for the issuance by the Company from time to time of Securities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2.2 of the Base Indenture provides for various matters with respect to any Series of Securities issued under the Base Indenture to be established in an indenture supplemental to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First Supplemental Indenture, dated as of May 11, 2021, to establish the form and to provide for the issuance of a Series of the Company’s senior notes designated as 2.550% Senior Notes due 2031, in an initial aggregate principal amount of $450,000,000;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Second Supplemental Indenture, dated as of September 22, 2021, to establish the form and to provide for the issuance of a Series of the Company’s senior notes designated as 2.350% Senior Notes due 2032, in an initial aggregate principal amount of $600,000,000;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Third Supplemental Indenture, dated as of March 31, 2022, to establish the form and to provide for the issuance of a Series of the Company’s senior notes designated as 3.900% Senior Notes due 2029, in an initial aggregate principal amount of $400,000,000;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Fourth Supplemental Indenture, dated as of March 28, 2023, to establish the form and to provide for the issuance of a Series of the Company’s senior notes designated as 5.700% Senior Notes due 2028, in an initial aggregate principal amount of $500,000,000;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Fifth Supplemental Indenture, dated as of June 16, 2023, to establish the form and to provide for the issuance of a Series of the Company’s senior notes designated as 5.500% Senior Notes due 2030, in an initial aggregate principal amount of $450,000,000;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Sixth Supplemental Indenture, dated as of July 25, 2023, to establish the form and to provide for the issuance of a Series of the Company’s senior notes designated as 3.500% Senior Notes due 2026, in an initial aggregate principal amount of $582,627,000;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each of the Company and each of the Guarantors previously entered into the Seventh Supplemental Indenture, dated as of July 25, 2023, to establish the form and to provide for the issuance of a Series of the Company’s senior notes designated as 3.875% Senior Notes due 2027, in an initial aggregate principal amount of $440,493,000;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Eighth Supplemental Indenture, dated as of July 25, 2023, to establish the form and to provide for the issuance of a Series of the Company’s senior notes designated as 4.000% Senior Notes due 2029, in an initial aggregate principal amount of $331,223,000;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Ninth Supplemental Indenture, dated as of July 25, 2023, to establish the form and to provide for the issuance of a Series of the Company’s senior notes designated as 2.200% Senior Notes due 2030, in an initial aggregate principal amount of $397,007,000;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Tenth Supplemental Indenture, dated as of July 25, 2023, to establish the form and to provide for the issuance of a Series of the Company’s senior notes designated as 2.400% Senior Notes due 2031, in an aggregate principal amount of $599,788,000;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Eleventh Supplemental Indenture, dated as of December 1, 2023, to establish the form and to provide for the issuance of a Series of the Company’s senior notes designated as 5.900% Senior Notes due 2031, in an aggregate principal amount of $600,000,000;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Twelfth Supplemental Indenture, dated as of January 19, 2024, to establish the form and to provide for the issuance of a Series of the Company’s senior notes designated as 5.400% Senior Notes due 2034, in an aggregate principal amount of $600,000,000;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Thirteenth Supplemental Indenture, dated as of August 12, 2024, to establish the form and to provide for the issuance of a Series of the Company’s senior notes designated as 5.350% Senior Notes due 2035, in an initial aggregate principal amount of $400,000,000;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Fourteenth Supplemental Indenture, dated as of March 19, 2025, to establish the form and to provide for the issuance of a Series of the Company’s senior notes designated as 5.400% Senior Notes due 2035, in an initial aggregate principal amount of $500,000,000;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each of the Guarantors previously entered into the Fifteenth Supplemental Indenture, dated as of August 8, 2025, to establish the form and to provide for the issuance of a Series of the Company’s senior notes designated as 4.950% Senior Notes due 2033, in an initial aggregate principal amount of $800,000,000; </w:t>
      </w:r>
    </w:p>
    <w:p>
      <w:pPr>
        <w:pStyle w:val="TextBody"/>
        <w:bidi w:val="0"/>
        <w:spacing w:before="240" w:after="0"/>
        <w:jc w:val="left"/>
        <w:rPr>
          <w:rFonts w:ascii="Times New Roman" w:hAnsi="Times New Roman"/>
          <w:sz w:val="20"/>
        </w:rPr>
      </w:pPr>
      <w:r>
        <w:rPr>
          <w:rFonts w:ascii="Times New Roman" w:hAnsi="Times New Roman"/>
          <w:sz w:val="20"/>
        </w:rPr>
        <w:t>WHEREAS, each of the Company and each of the Guarantors desires to execute this Sixteenth Supplemental Indenture to establish the form and to provide for the issuance of a Series of the Company’s senior notes designated as 4.900% Senior Notes due 2032 (the “</w:t>
      </w:r>
      <w:r>
        <w:rPr>
          <w:rFonts w:ascii="Times New Roman" w:hAnsi="Times New Roman"/>
          <w:b/>
          <w:sz w:val="20"/>
        </w:rPr>
        <w:t>Notes</w:t>
      </w:r>
      <w:r>
        <w:rPr>
          <w:rFonts w:ascii="Times New Roman" w:hAnsi="Times New Roman"/>
          <w:sz w:val="20"/>
        </w:rPr>
        <w:t xml:space="preserve">”), in an initial aggregate principal amount of $550,000,000;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board of directors of the Parent, the trustees of Trust I, on behalf of Trust I and in Trust I’s capacity as general partner of the Company, and the trustees of Trust II, in each case, has duly adopted resolutions authorizing the Company and each of the Guarantors, as applicable, to execute and deliver this Sixteenth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of the other conditions and requirements necessary to make this Sixteenth Supplemental Indenture, when duly executed and delivered, a valid and binding agreement in accordance with its terms and for the purposes herein expressed, have been performed and fulfilled. </w:t>
      </w:r>
    </w:p>
    <w:p>
      <w:pPr>
        <w:pStyle w:val="TextBody"/>
        <w:bidi w:val="0"/>
        <w:spacing w:before="240" w:after="0"/>
        <w:jc w:val="left"/>
        <w:rPr>
          <w:rFonts w:ascii="Times New Roman" w:hAnsi="Times New Roman"/>
          <w:sz w:val="20"/>
        </w:rPr>
      </w:pPr>
      <w:r>
        <w:rPr>
          <w:rFonts w:ascii="Times New Roman" w:hAnsi="Times New Roman"/>
          <w:sz w:val="20"/>
        </w:rPr>
        <w:t xml:space="preserve">THEREFORE, for and in consideration of the premises and the purchase of the Series of Securities provided for herein by the Holders thereof, it is mutually covenanted and agreed, for the equal and proportionate benefit of all Holders of Securities of such Series,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RELATION TO BASE INDENTURE; 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Relation to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This Sixteenth Supplemental Indenture constitutes an integral part of the Base Indenture. Notwithstanding any other provision of this Sixteenth Supplemental Indenture, all provisions of this Sixteenth Supplemental Indenture are expressly and solely for the benefit of the Holders of the Notes and any such provisions shall not be deemed to apply to any other Securities issued under the Base Indenture and shall not be deemed to amend, modify or supplement the Base Indenture for any purpose other than with respect to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of this Sixteenth Supplemental Indenture, except as otherwise expressly provided for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Capitalized terms used but not defined herein shall have the respective meanings assigned to them in the Base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All references herein to Articles and Sections, unless otherwise specified, refer to the corresponding Articles and Sections of this Sixteenth Supplemental Indenture as they amend or supplement the Base Indenture, and not the Base Indenture or any other document. </w:t>
      </w:r>
    </w:p>
    <w:p>
      <w:pPr>
        <w:pStyle w:val="TextBody"/>
        <w:bidi w:val="0"/>
        <w:spacing w:before="240" w:after="0"/>
        <w:jc w:val="left"/>
        <w:rPr/>
      </w:pPr>
      <w:r>
        <w:rPr/>
        <w:t>“</w:t>
      </w:r>
      <w:r>
        <w:rPr>
          <w:rFonts w:ascii="Times New Roman" w:hAnsi="Times New Roman"/>
          <w:b/>
          <w:sz w:val="20"/>
        </w:rPr>
        <w:t>Acquired Debt</w:t>
      </w:r>
      <w:r>
        <w:rPr>
          <w:rFonts w:ascii="Times New Roman" w:hAnsi="Times New Roman"/>
          <w:sz w:val="20"/>
        </w:rPr>
        <w:t xml:space="preserve">” means Debt of a person (i) existing at the time such person is merged or consolidated with or into the Company or any of its Subsidiaries or becomes a Subsidiary of the Company or (ii) assumed by the Company or any of its Subsidiaries in connection with the acquisition of assets from such person. Acquired Debt shall be deemed to be incurred on the date the acquired person is merged or consolidated with or into the Company or any of its Subsidiaries or becomes a Subsidiary of the Company or the date of the related acquisition,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Additional Notes</w:t>
      </w:r>
      <w:r>
        <w:rPr>
          <w:rFonts w:ascii="Times New Roman" w:hAnsi="Times New Roman"/>
          <w:sz w:val="20"/>
        </w:rPr>
        <w:t xml:space="preserve">” means additional Notes (other than the Initial Notes) issued under the Indenture in accordance with Sections 2.3, 2.7 and 6.1 hereof, as part of the same series as the Initial Notes. </w:t>
      </w:r>
    </w:p>
    <w:p>
      <w:pPr>
        <w:pStyle w:val="TextBody"/>
        <w:bidi w:val="0"/>
        <w:spacing w:before="240" w:after="0"/>
        <w:jc w:val="left"/>
        <w:rPr/>
      </w:pPr>
      <w:r>
        <w:rPr/>
        <w:t>“</w:t>
      </w:r>
      <w:r>
        <w:rPr>
          <w:rFonts w:ascii="Times New Roman" w:hAnsi="Times New Roman"/>
          <w:b/>
          <w:sz w:val="20"/>
        </w:rPr>
        <w:t>Applicable Procedures</w:t>
      </w:r>
      <w:r>
        <w:rPr>
          <w:rFonts w:ascii="Times New Roman" w:hAnsi="Times New Roman"/>
          <w:sz w:val="20"/>
        </w:rPr>
        <w:t xml:space="preserve">” means, with respect to any transfer or exchange of or for beneficial interests in any Global Note, the rules and procedures of the Depositary, Euroclear and Clearstream that apply to such transfer or exchange. </w:t>
      </w:r>
    </w:p>
    <w:p>
      <w:pPr>
        <w:pStyle w:val="TextBody"/>
        <w:bidi w:val="0"/>
        <w:spacing w:before="240" w:after="0"/>
        <w:jc w:val="left"/>
        <w:rPr/>
      </w:pPr>
      <w:r>
        <w:rPr/>
        <w:t>“</w:t>
      </w:r>
      <w:r>
        <w:rPr>
          <w:rFonts w:ascii="Times New Roman" w:hAnsi="Times New Roman"/>
          <w:b/>
          <w:sz w:val="20"/>
        </w:rPr>
        <w:t>Authentication Order</w:t>
      </w:r>
      <w:r>
        <w:rPr>
          <w:rFonts w:ascii="Times New Roman" w:hAnsi="Times New Roman"/>
          <w:sz w:val="20"/>
        </w:rPr>
        <w:t xml:space="preserve">” means a Company Order to the Trustee to authenticate and deliver the Notes, signed in the name of the Company by an Officer of the General Partner. </w:t>
      </w:r>
    </w:p>
    <w:p>
      <w:pPr>
        <w:pStyle w:val="TextBody"/>
        <w:bidi w:val="0"/>
        <w:spacing w:before="240" w:after="0"/>
        <w:jc w:val="left"/>
        <w:rPr/>
      </w:pPr>
      <w:r>
        <w:rPr/>
        <w:t>“</w:t>
      </w:r>
      <w:r>
        <w:rPr>
          <w:rFonts w:ascii="Times New Roman" w:hAnsi="Times New Roman"/>
          <w:b/>
          <w:sz w:val="20"/>
        </w:rPr>
        <w:t>Bankruptcy Law</w:t>
      </w:r>
      <w:r>
        <w:rPr>
          <w:rFonts w:ascii="Times New Roman" w:hAnsi="Times New Roman"/>
          <w:sz w:val="20"/>
        </w:rPr>
        <w:t xml:space="preserve">” shall have the meaning ascribed thereto in Section 7.1.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or Sunday, or any other day on which banking institutions in New York, New York or the place of payment are not authorized or obligated by law or executive order to close. </w:t>
      </w:r>
    </w:p>
    <w:p>
      <w:pPr>
        <w:pStyle w:val="TextBody"/>
        <w:bidi w:val="0"/>
        <w:spacing w:before="240" w:after="0"/>
        <w:jc w:val="left"/>
        <w:rPr/>
      </w:pPr>
      <w:r>
        <w:rPr/>
        <w:t>“</w:t>
      </w:r>
      <w:r>
        <w:rPr>
          <w:rFonts w:ascii="Times New Roman" w:hAnsi="Times New Roman"/>
          <w:b/>
          <w:sz w:val="20"/>
        </w:rPr>
        <w:t>Capitalized Property Value</w:t>
      </w:r>
      <w:r>
        <w:rPr>
          <w:rFonts w:ascii="Times New Roman" w:hAnsi="Times New Roman"/>
          <w:sz w:val="20"/>
        </w:rPr>
        <w:t xml:space="preserve">” means, with respect to any person, (a) Property EBITDA of such person for the four (4) consecutive fiscal quarters ended on the last day of the then most recently ended fiscal quarter covered in the Parent’s annual or quarterly report most recently furnished to Holders of the Notes or filed with the SEC, as the case may be, divided by (b) 6.75%. </w:t>
      </w:r>
    </w:p>
    <w:p>
      <w:pPr>
        <w:pStyle w:val="TextBody"/>
        <w:bidi w:val="0"/>
        <w:spacing w:before="240" w:after="0"/>
        <w:jc w:val="left"/>
        <w:rPr/>
      </w:pPr>
      <w:r>
        <w:rPr/>
        <w:t>“</w:t>
      </w:r>
      <w:r>
        <w:rPr>
          <w:rFonts w:ascii="Times New Roman" w:hAnsi="Times New Roman"/>
          <w:b/>
          <w:sz w:val="20"/>
        </w:rPr>
        <w:t>Capitalized Tenant Insurance Value</w:t>
      </w:r>
      <w:r>
        <w:rPr>
          <w:rFonts w:ascii="Times New Roman" w:hAnsi="Times New Roman"/>
          <w:sz w:val="20"/>
        </w:rPr>
        <w:t xml:space="preserve">” means (a) cash distributions and cash royalties received by the Company or any of its Subsidiaries (other than any Captive Insurance Subsidiary) with respect to Tenant Insurance Contracts for the four (4) consecutive fiscal quarters ended on the last day of the then most recently ended fiscal quarter covered in the Parent’s annual or quarterly report most recently furnished to Holders of the Notes or filed with the SEC, as the case may be (excluding cash distributions and cash royalties in respect of properties that are 100% owned in fee simple by the Company or any of its Subsidiaries) divided by (b) 12.5%. </w:t>
      </w:r>
    </w:p>
    <w:p>
      <w:pPr>
        <w:pStyle w:val="TextBody"/>
        <w:bidi w:val="0"/>
        <w:spacing w:before="240" w:after="0"/>
        <w:jc w:val="left"/>
        <w:rPr/>
      </w:pPr>
      <w:r>
        <w:rPr/>
        <w:t>“</w:t>
      </w:r>
      <w:r>
        <w:rPr>
          <w:rFonts w:ascii="Times New Roman" w:hAnsi="Times New Roman"/>
          <w:b/>
          <w:sz w:val="20"/>
        </w:rPr>
        <w:t>Captive Insurance Subsidiary</w:t>
      </w:r>
      <w:r>
        <w:rPr>
          <w:rFonts w:ascii="Times New Roman" w:hAnsi="Times New Roman"/>
          <w:sz w:val="20"/>
        </w:rPr>
        <w:t xml:space="preserve">” means any wholly owned Subsidiary of the Company that (a) has no Subsidiaries other than Captive Insurance Subsidiaries, (b) is a captive insurance company established for the primary purpose of entering into tenant insurance contracts and (c) is subject to regulation as an insurance company. </w:t>
      </w:r>
    </w:p>
    <w:p>
      <w:pPr>
        <w:pStyle w:val="TextBody"/>
        <w:bidi w:val="0"/>
        <w:spacing w:before="240" w:after="0"/>
        <w:jc w:val="left"/>
        <w:rPr/>
      </w:pPr>
      <w:r>
        <w:rPr/>
        <w:t>“</w:t>
      </w:r>
      <w:r>
        <w:rPr>
          <w:rFonts w:ascii="Times New Roman" w:hAnsi="Times New Roman"/>
          <w:b/>
          <w:sz w:val="20"/>
        </w:rPr>
        <w:t>Clearstream</w:t>
      </w:r>
      <w:r>
        <w:rPr>
          <w:rFonts w:ascii="Times New Roman" w:hAnsi="Times New Roman"/>
          <w:sz w:val="20"/>
        </w:rPr>
        <w:t xml:space="preserve">” means Clearstream Banking, </w:t>
      </w:r>
      <w:r>
        <w:rPr>
          <w:rFonts w:ascii="Times New Roman" w:hAnsi="Times New Roman"/>
          <w:i/>
          <w:sz w:val="20"/>
        </w:rPr>
        <w:t>Société Anonyme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order signed in the name of the Company by an Officer of the General Partner.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CTSO Mail Operations 1505 Energy Park Drive St. Paul, Minnesota 55108, Attention: “CCT Administrator for Extra Space Storage LP”,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Customary Recourse Exceptions</w:t>
      </w:r>
      <w:r>
        <w:rPr>
          <w:rFonts w:ascii="Times New Roman" w:hAnsi="Times New Roman"/>
          <w:sz w:val="20"/>
        </w:rPr>
        <w:t xml:space="preserve">” means, with respect to any Debt, personal recourse that is limited to fraud, misrepresentation, misapplication of cash, waste, environmental claims and liabilities, prohibited transfers, violations of single-purpose entity covenants, voluntary insolvency proceedings and other circumstances customarily excluded by institutional lenders from exculpation provisions and/or included in separate guaranty or indemnification agreements in non-recourse financing of real property. </w:t>
      </w:r>
    </w:p>
    <w:p>
      <w:pPr>
        <w:pStyle w:val="TextBody"/>
        <w:bidi w:val="0"/>
        <w:spacing w:before="240" w:after="0"/>
        <w:jc w:val="left"/>
        <w:rPr/>
      </w:pPr>
      <w:r>
        <w:rPr/>
        <w:t>“</w:t>
      </w:r>
      <w:r>
        <w:rPr>
          <w:rFonts w:ascii="Times New Roman" w:hAnsi="Times New Roman"/>
          <w:b/>
          <w:sz w:val="20"/>
        </w:rPr>
        <w:t>Debt</w:t>
      </w:r>
      <w:r>
        <w:rPr>
          <w:rFonts w:ascii="Times New Roman" w:hAnsi="Times New Roman"/>
          <w:sz w:val="20"/>
        </w:rPr>
        <w:t xml:space="preserve">” means, without duplication, with respect to any person, such person’s Pro Rata Share of the aggregate principal amount of indebtedness in respect of: </w:t>
      </w:r>
    </w:p>
    <w:p>
      <w:pPr>
        <w:pStyle w:val="TextBody"/>
        <w:bidi w:val="0"/>
        <w:spacing w:before="120" w:after="0"/>
        <w:jc w:val="left"/>
        <w:rPr>
          <w:rFonts w:ascii="Times New Roman" w:hAnsi="Times New Roman"/>
          <w:sz w:val="20"/>
        </w:rPr>
      </w:pPr>
      <w:r>
        <w:rPr>
          <w:rFonts w:ascii="Times New Roman" w:hAnsi="Times New Roman"/>
          <w:sz w:val="20"/>
        </w:rPr>
        <w:t xml:space="preserve">(i) borrowed money evidenced by bonds, notes, debentures or similar instruments, as determined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(ii) indebtedness secured by any mortgage, pledge, lien, charge, encumbrance or any security interest existing on Property or other assets owned by such person or any of its Subsidiaries directly, or indirectly through unconsolidated joint ventures, as determined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(iii) reimbursement obligations in connection with any letters of credit actually issued and called, and </w:t>
      </w:r>
    </w:p>
    <w:p>
      <w:pPr>
        <w:pStyle w:val="TextBody"/>
        <w:bidi w:val="0"/>
        <w:spacing w:before="120" w:after="0"/>
        <w:jc w:val="left"/>
        <w:rPr>
          <w:rFonts w:ascii="Times New Roman" w:hAnsi="Times New Roman"/>
          <w:sz w:val="20"/>
        </w:rPr>
      </w:pPr>
      <w:r>
        <w:rPr>
          <w:rFonts w:ascii="Times New Roman" w:hAnsi="Times New Roman"/>
          <w:sz w:val="20"/>
        </w:rPr>
        <w:t xml:space="preserve">(iv) any lease of property by such person or any of its Subsidiaries as lessee which is reflected in such person’s balance sheet as a finance lease, in accordance with GAAP;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Debt also includes, to the extent not otherwise included, any obligation by such person or any of its Subsidiaries to be liable for, or to pay, as obligor, guarantor or otherwise, items of indebtedness of another person (other than the Company or any Subsidiary) described in clauses (i) through (iv) above (or, in the case of any such obligation made jointly with another person other than obligations to be liable for the Debt of another person solely as a result of Customary Recourse Exceptions (it being understood that Debt shall be deemed to be incurred by such person whenever such person shall create, assume, guarantee or otherwise become liable in respect thereof), such person’s or its Subsidiary’s allocable portion of such obligation based on its ownership interest in the related real estate assets or such other applicable assets);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Debt excludes Intercompany Debt and operating lease liabilities reflected in such person’s balance sheet in accordance with GAAP. </w:t>
      </w:r>
    </w:p>
    <w:p>
      <w:pPr>
        <w:pStyle w:val="TextBody"/>
        <w:bidi w:val="0"/>
        <w:spacing w:before="240" w:after="0"/>
        <w:jc w:val="left"/>
        <w:rPr/>
      </w:pPr>
      <w:r>
        <w:rPr/>
        <w:t>“</w:t>
      </w:r>
      <w:r>
        <w:rPr>
          <w:rFonts w:ascii="Times New Roman" w:hAnsi="Times New Roman"/>
          <w:b/>
          <w:sz w:val="20"/>
        </w:rPr>
        <w:t>Defaulted Interest</w:t>
      </w:r>
      <w:r>
        <w:rPr>
          <w:rFonts w:ascii="Times New Roman" w:hAnsi="Times New Roman"/>
          <w:sz w:val="20"/>
        </w:rPr>
        <w:t xml:space="preserve">” shall have the meaning ascribed thereto in Section 2.5. </w:t>
      </w:r>
    </w:p>
    <w:p>
      <w:pPr>
        <w:pStyle w:val="TextBody"/>
        <w:bidi w:val="0"/>
        <w:spacing w:before="240" w:after="0"/>
        <w:jc w:val="left"/>
        <w:rPr/>
      </w:pPr>
      <w:r>
        <w:rPr/>
        <w:t>“</w:t>
      </w:r>
      <w:r>
        <w:rPr>
          <w:rFonts w:ascii="Times New Roman" w:hAnsi="Times New Roman"/>
          <w:b/>
          <w:sz w:val="20"/>
        </w:rPr>
        <w:t>Definitive Note</w:t>
      </w:r>
      <w:r>
        <w:rPr>
          <w:rFonts w:ascii="Times New Roman" w:hAnsi="Times New Roman"/>
          <w:sz w:val="20"/>
        </w:rPr>
        <w:t xml:space="preserve">” means a certificated Note registered in the name of the Holder thereof and issued in accordance with Section 3.2, substantially in the form of </w:t>
      </w:r>
      <w:r>
        <w:rPr>
          <w:rFonts w:ascii="Times New Roman" w:hAnsi="Times New Roman"/>
          <w:sz w:val="20"/>
          <w:u w:val="single"/>
        </w:rPr>
        <w:t>Exhibit A</w:t>
      </w:r>
      <w:r>
        <w:rPr>
          <w:rFonts w:ascii="Times New Roman" w:hAnsi="Times New Roman"/>
          <w:sz w:val="20"/>
        </w:rPr>
        <w:t xml:space="preserve"> hereto except that such Note shall not bear the Global Note legend and shall not have the “Schedule of Exchanges of Interests in the Global Note” attached thereto.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with respect to the Notes, The Depository Trust Company and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Development Property</w:t>
      </w:r>
      <w:r>
        <w:rPr>
          <w:rFonts w:ascii="Times New Roman" w:hAnsi="Times New Roman"/>
          <w:sz w:val="20"/>
        </w:rPr>
        <w:t>” means a Property currently under development on which the improvements have not been completed, or a Property where development has been completed as evidenced by a certificate of occupancy for the entire Property for the 36-month period following the issuance of such certificate of occupancy (</w:t>
      </w:r>
      <w:r>
        <w:rPr>
          <w:rFonts w:ascii="Times New Roman" w:hAnsi="Times New Roman"/>
          <w:i/>
          <w:sz w:val="20"/>
        </w:rPr>
        <w:t>provided</w:t>
      </w:r>
      <w:r>
        <w:rPr>
          <w:rFonts w:ascii="Times New Roman" w:hAnsi="Times New Roman"/>
          <w:sz w:val="20"/>
        </w:rPr>
        <w:t xml:space="preserve"> that the Company may at its option elect to remove a Property from the category of Development Properties prior to the completion of the 36-month period, but any such Property may not be reclassified as a Development Property). The term “Development Property” shall include real property of the type described in the immediately preceding sentence to be (but not yet) acquired by the Company, any Subsidiary or any joint venture of the Company upon completion of construction pursuant to a contract in which the seller of such real property is required to develop or renovate prior to, and as a condition precedent to, such acquisition. </w:t>
      </w:r>
    </w:p>
    <w:p>
      <w:pPr>
        <w:pStyle w:val="TextBody"/>
        <w:bidi w:val="0"/>
        <w:spacing w:before="240" w:after="0"/>
        <w:jc w:val="left"/>
        <w:rPr/>
      </w:pPr>
      <w:r>
        <w:rPr/>
        <w:t>“</w:t>
      </w:r>
      <w:r>
        <w:rPr>
          <w:rFonts w:ascii="Times New Roman" w:hAnsi="Times New Roman"/>
          <w:b/>
          <w:sz w:val="20"/>
        </w:rPr>
        <w:t>EBITDA</w:t>
      </w:r>
      <w:r>
        <w:rPr>
          <w:rFonts w:ascii="Times New Roman" w:hAnsi="Times New Roman"/>
          <w:sz w:val="20"/>
        </w:rPr>
        <w:t xml:space="preserve">” means, with respect to any person, for any period and without duplication, net earnings (loss) of such person for such period (including Tenant Insurance Operating Income in respect of properties that are 100% owned in fee simple by the Company or any of its Subsidiaries) excluding the impact of the following amounts with respect to any person (but only to the extent included in determining net earnings (loss)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depreciation and amortization expense and other non-cash charges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(ii) interest expense of such person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(iii) income tax expense of such person in respect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(iv) extraordinary and nonrecurring gains and losses of such person for such period, including without limitation, gains and losses from the sale of assets, write-offs and forgiveness of debt, foreign currency translation gains or losses; and </w:t>
      </w:r>
    </w:p>
    <w:p>
      <w:pPr>
        <w:pStyle w:val="TextBody"/>
        <w:bidi w:val="0"/>
        <w:spacing w:before="120" w:after="0"/>
        <w:jc w:val="left"/>
        <w:rPr>
          <w:rFonts w:ascii="Times New Roman" w:hAnsi="Times New Roman"/>
          <w:sz w:val="20"/>
        </w:rPr>
      </w:pPr>
      <w:r>
        <w:rPr>
          <w:rFonts w:ascii="Times New Roman" w:hAnsi="Times New Roman"/>
          <w:sz w:val="20"/>
        </w:rPr>
        <w:t xml:space="preserve">(v) equity in net income of non-controlling interests.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w:t>
      </w:r>
    </w:p>
    <w:p>
      <w:pPr>
        <w:pStyle w:val="TextBody"/>
        <w:bidi w:val="0"/>
        <w:spacing w:before="240" w:after="0"/>
        <w:jc w:val="left"/>
        <w:rPr/>
      </w:pPr>
      <w:r>
        <w:rPr/>
        <w:t>“</w:t>
      </w:r>
      <w:r>
        <w:rPr>
          <w:rFonts w:ascii="Times New Roman" w:hAnsi="Times New Roman"/>
          <w:b/>
          <w:sz w:val="20"/>
        </w:rPr>
        <w:t>Euroclear</w:t>
      </w:r>
      <w:r>
        <w:rPr>
          <w:rFonts w:ascii="Times New Roman" w:hAnsi="Times New Roman"/>
          <w:sz w:val="20"/>
        </w:rPr>
        <w:t xml:space="preserve">” means Euroclear S.A./N.V., as operator of the Euroclear system.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shall have the meaning ascribed thereto in Section 7.1.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Fair Market Value</w:t>
      </w:r>
      <w:r>
        <w:rPr>
          <w:rFonts w:ascii="Times New Roman" w:hAnsi="Times New Roman"/>
          <w:sz w:val="20"/>
        </w:rPr>
        <w:t xml:space="preserve">” means, (a) with respect to a security listed (or an unlisted convertible security that is convertible into a security listed) on Nasdaq or have trading privileges on the New York Stock Exchange, the NYSE American, or another recognized national United States securities exchange, the London Stock Exchange, Euronext or another recognized European securities exchange, the price of such security as reported on such exchange or market by any widely recognized reporting method customarily relied upon by financial institutions, and (b) with respect to any other asset, book value (determined in accordance with GAAP).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accounting principles generally accepted in the United States of America, consistently applied, as in effect from time to time. </w:t>
      </w:r>
    </w:p>
    <w:p>
      <w:pPr>
        <w:pStyle w:val="TextBody"/>
        <w:bidi w:val="0"/>
        <w:spacing w:before="240" w:after="0"/>
        <w:jc w:val="left"/>
        <w:rPr/>
      </w:pPr>
      <w:r>
        <w:rPr/>
        <w:t>“</w:t>
      </w:r>
      <w:r>
        <w:rPr>
          <w:rFonts w:ascii="Times New Roman" w:hAnsi="Times New Roman"/>
          <w:b/>
          <w:sz w:val="20"/>
        </w:rPr>
        <w:t>Global Note Legend</w:t>
      </w:r>
      <w:r>
        <w:rPr>
          <w:rFonts w:ascii="Times New Roman" w:hAnsi="Times New Roman"/>
          <w:sz w:val="20"/>
        </w:rPr>
        <w:t xml:space="preserve">” means the legend set forth in Section 3.2(f), which is required to be placed on all Global Notes issued under the Indenture. </w:t>
      </w:r>
    </w:p>
    <w:p>
      <w:pPr>
        <w:pStyle w:val="TextBody"/>
        <w:bidi w:val="0"/>
        <w:spacing w:before="240" w:after="0"/>
        <w:jc w:val="left"/>
        <w:rPr/>
      </w:pPr>
      <w:r>
        <w:rPr/>
        <w:t>“</w:t>
      </w:r>
      <w:r>
        <w:rPr>
          <w:rFonts w:ascii="Times New Roman" w:hAnsi="Times New Roman"/>
          <w:b/>
          <w:sz w:val="20"/>
        </w:rPr>
        <w:t>Global Notes</w:t>
      </w:r>
      <w:r>
        <w:rPr>
          <w:rFonts w:ascii="Times New Roman" w:hAnsi="Times New Roman"/>
          <w:sz w:val="20"/>
        </w:rPr>
        <w:t xml:space="preserve">” means, individually and collectively, each of the Notes deposited with or on behalf of and registered in the name of the Depositary or its nominee, substantially in the form of </w:t>
      </w:r>
      <w:r>
        <w:rPr>
          <w:rFonts w:ascii="Times New Roman" w:hAnsi="Times New Roman"/>
          <w:sz w:val="20"/>
          <w:u w:val="single"/>
        </w:rPr>
        <w:t>Exhibit A</w:t>
      </w:r>
      <w:r>
        <w:rPr>
          <w:rFonts w:ascii="Times New Roman" w:hAnsi="Times New Roman"/>
          <w:sz w:val="20"/>
        </w:rPr>
        <w:t xml:space="preserve"> hereto and that bears the Global Note Legend and that has the “Schedule of Exchanges of Interests in the Global Note” attached thereto, issued in accordance with the Indenture. </w:t>
      </w:r>
    </w:p>
    <w:p>
      <w:pPr>
        <w:pStyle w:val="TextBody"/>
        <w:bidi w:val="0"/>
        <w:spacing w:before="240" w:after="0"/>
        <w:jc w:val="left"/>
        <w:rPr/>
      </w:pPr>
      <w:r>
        <w:rPr/>
        <w:t>“</w:t>
      </w:r>
      <w:r>
        <w:rPr>
          <w:rFonts w:ascii="Times New Roman" w:hAnsi="Times New Roman"/>
          <w:b/>
          <w:sz w:val="20"/>
        </w:rPr>
        <w:t>Holders</w:t>
      </w:r>
      <w:r>
        <w:rPr>
          <w:rFonts w:ascii="Times New Roman" w:hAnsi="Times New Roman"/>
          <w:sz w:val="20"/>
        </w:rPr>
        <w:t xml:space="preserve">” shall have the meaning ascribed thereto in Section 2.4.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the Base Indenture, as supplemented by this Sixteenth Supplemental Indenture, and as further supplemented, amended or restated. </w:t>
      </w:r>
    </w:p>
    <w:p>
      <w:pPr>
        <w:pStyle w:val="TextBody"/>
        <w:bidi w:val="0"/>
        <w:spacing w:before="240" w:after="0"/>
        <w:jc w:val="left"/>
        <w:rPr/>
      </w:pPr>
      <w:r>
        <w:rPr/>
        <w:t>“</w:t>
      </w:r>
      <w:r>
        <w:rPr>
          <w:rFonts w:ascii="Times New Roman" w:hAnsi="Times New Roman"/>
          <w:b/>
          <w:sz w:val="20"/>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pPr>
      <w:r>
        <w:rPr/>
        <w:t>“</w:t>
      </w:r>
      <w:r>
        <w:rPr>
          <w:rFonts w:ascii="Times New Roman" w:hAnsi="Times New Roman"/>
          <w:b/>
          <w:sz w:val="20"/>
        </w:rPr>
        <w:t>Initial Notes</w:t>
      </w:r>
      <w:r>
        <w:rPr>
          <w:rFonts w:ascii="Times New Roman" w:hAnsi="Times New Roman"/>
          <w:sz w:val="20"/>
        </w:rPr>
        <w:t xml:space="preserve">” means the $550,000,000 aggregate principal amount of Notes issued under this Sixteenth Supplemental Indenture on the date hereof. </w:t>
      </w:r>
    </w:p>
    <w:p>
      <w:pPr>
        <w:pStyle w:val="TextBody"/>
        <w:bidi w:val="0"/>
        <w:spacing w:before="240" w:after="0"/>
        <w:jc w:val="left"/>
        <w:rPr/>
      </w:pPr>
      <w:r>
        <w:rPr/>
        <w:t>“</w:t>
      </w:r>
      <w:r>
        <w:rPr>
          <w:rFonts w:ascii="Times New Roman" w:hAnsi="Times New Roman"/>
          <w:b/>
          <w:sz w:val="20"/>
        </w:rPr>
        <w:t>Intercompany Debt</w:t>
      </w:r>
      <w:r>
        <w:rPr>
          <w:rFonts w:ascii="Times New Roman" w:hAnsi="Times New Roman"/>
          <w:sz w:val="20"/>
        </w:rPr>
        <w:t xml:space="preserve">” means, as of any date, Debt to which the only parties are the Company and any of its Subsidiaries, but only so long as that Debt is held solely by any of the Company and any of its Subsidiaries as of that date and, </w:t>
      </w:r>
      <w:r>
        <w:rPr>
          <w:rFonts w:ascii="Times New Roman" w:hAnsi="Times New Roman"/>
          <w:i/>
          <w:sz w:val="20"/>
        </w:rPr>
        <w:t>provided</w:t>
      </w:r>
      <w:r>
        <w:rPr>
          <w:rFonts w:ascii="Times New Roman" w:hAnsi="Times New Roman"/>
          <w:sz w:val="20"/>
        </w:rPr>
        <w:t xml:space="preserve"> that, in the case of Debt owed by the Company to any Subsidiary, the Debt is subordinated in right of payment to the Holders of the Notes. </w:t>
      </w:r>
    </w:p>
    <w:p>
      <w:pPr>
        <w:pStyle w:val="TextBody"/>
        <w:bidi w:val="0"/>
        <w:spacing w:before="240" w:after="0"/>
        <w:jc w:val="left"/>
        <w:rPr/>
      </w:pPr>
      <w:r>
        <w:rPr/>
        <w:t>“</w:t>
      </w:r>
      <w:r>
        <w:rPr>
          <w:rFonts w:ascii="Times New Roman" w:hAnsi="Times New Roman"/>
          <w:b/>
          <w:sz w:val="20"/>
        </w:rPr>
        <w:t>interest</w:t>
      </w:r>
      <w:r>
        <w:rPr>
          <w:rFonts w:ascii="Times New Roman" w:hAnsi="Times New Roman"/>
          <w:sz w:val="20"/>
        </w:rPr>
        <w:t xml:space="preserve">” means, when used with reference to the Notes, any interest payable under the terms of the Notes. </w:t>
      </w:r>
    </w:p>
    <w:p>
      <w:pPr>
        <w:pStyle w:val="TextBody"/>
        <w:bidi w:val="0"/>
        <w:spacing w:before="240" w:after="0"/>
        <w:jc w:val="left"/>
        <w:rPr/>
      </w:pPr>
      <w:r>
        <w:rPr/>
        <w:t>“</w:t>
      </w:r>
      <w:r>
        <w:rPr>
          <w:rFonts w:ascii="Times New Roman" w:hAnsi="Times New Roman"/>
          <w:b/>
          <w:sz w:val="20"/>
        </w:rPr>
        <w:t>Interest Expense</w:t>
      </w:r>
      <w:r>
        <w:rPr>
          <w:rFonts w:ascii="Times New Roman" w:hAnsi="Times New Roman"/>
          <w:sz w:val="20"/>
        </w:rPr>
        <w:t xml:space="preserve">” means, with respect to any person, for any period, such person’s Pro Rata Share of interest expense for such period, with other adjustments as are necessary to exclude: (i) the effect of items classified as extraordinary items, in accordance with GAAP; (ii) amortization of debt issuance costs; (iii) prepayment penalties and (iv) non-cash swap ineffectiveness charges.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shall have the meaning ascribed thereto in Section 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Lien</w:t>
      </w:r>
      <w:r>
        <w:rPr>
          <w:rFonts w:ascii="Times New Roman" w:hAnsi="Times New Roman"/>
          <w:sz w:val="20"/>
        </w:rPr>
        <w:t xml:space="preserve">” means any mortgage, deed of trust, lien, charge, pledge, security interest, security agreement, or other encumbrance of any kind, </w:t>
      </w:r>
      <w:r>
        <w:rPr>
          <w:rFonts w:ascii="Times New Roman" w:hAnsi="Times New Roman"/>
          <w:i/>
          <w:sz w:val="20"/>
        </w:rPr>
        <w:t>provided</w:t>
      </w:r>
      <w:r>
        <w:rPr>
          <w:rFonts w:ascii="Times New Roman" w:hAnsi="Times New Roman"/>
          <w:sz w:val="20"/>
        </w:rPr>
        <w:t xml:space="preserve"> that in no event shall an operating lease in and of itself be deemed to constitute a Lien. </w:t>
      </w:r>
    </w:p>
    <w:p>
      <w:pPr>
        <w:pStyle w:val="TextBody"/>
        <w:bidi w:val="0"/>
        <w:spacing w:before="240" w:after="0"/>
        <w:jc w:val="left"/>
        <w:rPr/>
      </w:pPr>
      <w:r>
        <w:rPr/>
        <w:t>“</w:t>
      </w:r>
      <w:r>
        <w:rPr>
          <w:rFonts w:ascii="Times New Roman" w:hAnsi="Times New Roman"/>
          <w:b/>
          <w:sz w:val="20"/>
        </w:rPr>
        <w:t>Marketable Securities</w:t>
      </w:r>
      <w:r>
        <w:rPr>
          <w:rFonts w:ascii="Times New Roman" w:hAnsi="Times New Roman"/>
          <w:sz w:val="20"/>
        </w:rPr>
        <w:t xml:space="preserve">” means: (a) common or preferred Equity Interests which are listed on Nasdaq or have trading privileges on the New York Stock Exchange, the NYSE American, or another recognized national United States securities exchange, the London Stock Exchange, Euronext or another recognized European securities exchange; (b) convertible securities which can be converted at any time into common or preferred Equity Interests of the type described in the immediately preceding clause (a); and (c) securities evidencing indebtedness issued by persons which have an investment grade credit rating by a nationally recognized statistical rating organization; </w:t>
      </w:r>
      <w:r>
        <w:rPr>
          <w:rFonts w:ascii="Times New Roman" w:hAnsi="Times New Roman"/>
          <w:i/>
          <w:sz w:val="20"/>
        </w:rPr>
        <w:t>provided</w:t>
      </w:r>
      <w:r>
        <w:rPr>
          <w:rFonts w:ascii="Times New Roman" w:hAnsi="Times New Roman"/>
          <w:sz w:val="20"/>
        </w:rPr>
        <w:t xml:space="preserve"> that Marketable Securities shall not include any securities that are considered cash equivalents. </w:t>
      </w:r>
    </w:p>
    <w:p>
      <w:pPr>
        <w:pStyle w:val="TextBody"/>
        <w:bidi w:val="0"/>
        <w:spacing w:before="240" w:after="0"/>
        <w:jc w:val="left"/>
        <w:rPr/>
      </w:pPr>
      <w:r>
        <w:rPr/>
        <w:t>“</w:t>
      </w:r>
      <w:r>
        <w:rPr>
          <w:rFonts w:ascii="Times New Roman" w:hAnsi="Times New Roman"/>
          <w:b/>
          <w:sz w:val="20"/>
        </w:rPr>
        <w:t>Non-Recourse Debt</w:t>
      </w:r>
      <w:r>
        <w:rPr>
          <w:rFonts w:ascii="Times New Roman" w:hAnsi="Times New Roman"/>
          <w:sz w:val="20"/>
        </w:rPr>
        <w:t xml:space="preserve">” means Debt of a Subsidiary of the Company (or an entity in which the Company is the general partner or managing member) that is directly or indirectly secured by real estate assets or other real estate-related assets (including equity interests) of a Subsidiary of the Company (or entity in which the Company is the general partner or managing member) that is the borrower and is non-recourse to the Company or any Subsidiary of the Company (other than pursuant to a Permitted Non-Recourse Guarantee and other than with respect to the Subsidiary of the Company (or entity in which the Company is the general partner or managing member) that is the borrower);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any such Debt is partially recourse to the Company or any Subsidiary of the Company (other than pursuant to a Permitted Non-Recourse Guarantee and other than with respect to the Subsidiary of the Company (or entity in which the Company is the general partner or managing member) that is the borrower) and therefore does not meet the criteria set forth above, only the portion of such Debt that does meet the criteria set forth above shall constitute “Non-Recourse Debt.” </w:t>
      </w:r>
    </w:p>
    <w:p>
      <w:pPr>
        <w:pStyle w:val="TextBody"/>
        <w:bidi w:val="0"/>
        <w:spacing w:before="240" w:after="0"/>
        <w:jc w:val="left"/>
        <w:rPr/>
      </w:pPr>
      <w:r>
        <w:rPr/>
        <w:t>“</w:t>
      </w:r>
      <w:r>
        <w:rPr>
          <w:rFonts w:ascii="Times New Roman" w:hAnsi="Times New Roman"/>
          <w:b/>
          <w:sz w:val="20"/>
        </w:rPr>
        <w:t>Note Guarantee</w:t>
      </w:r>
      <w:r>
        <w:rPr>
          <w:rFonts w:ascii="Times New Roman" w:hAnsi="Times New Roman"/>
          <w:sz w:val="20"/>
        </w:rPr>
        <w:t xml:space="preserve">” means the Guarantee by each of the Guarantors of the Company’s obligations under the Indenture and the Notes, executed pursuant to the provisions of this Sixteenth Supplemental Indenture.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has the meaning assigned to it in the preamble to this Sixteenth Supplemental Indenture. The Initial Notes and the Additional Notes shall be treated as a single class for all purposes under the Indenture, and unless the context otherwise requires, all references to the Notes shall include the Initial Notes and any Additional Notes.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in respect of any person, any Chief Executive Officer, the President, the Chief Financial Officer, the Chief Accounting Officer, the Treasurer or any Assistant Treasurer, the Secretary or any Assistant Secretary, and any Vice President of such person.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any Officer of the Company or any Guarantor, as applicable.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 written opinion of legal counsel who is acceptable to the Trustee. The counsel may be an employee of or counsel to the Company or any Guarantor. </w:t>
      </w:r>
    </w:p>
    <w:p>
      <w:pPr>
        <w:pStyle w:val="TextBody"/>
        <w:bidi w:val="0"/>
        <w:spacing w:before="240" w:after="0"/>
        <w:jc w:val="left"/>
        <w:rPr/>
      </w:pPr>
      <w:r>
        <w:rPr/>
        <w:t>“</w:t>
      </w:r>
      <w:r>
        <w:rPr>
          <w:rFonts w:ascii="Times New Roman" w:hAnsi="Times New Roman"/>
          <w:b/>
          <w:sz w:val="20"/>
        </w:rPr>
        <w:t>Par Call Date</w:t>
      </w:r>
      <w:r>
        <w:rPr>
          <w:rFonts w:ascii="Times New Roman" w:hAnsi="Times New Roman"/>
          <w:sz w:val="20"/>
        </w:rPr>
        <w:t xml:space="preserve">” means January 1, 2032.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Participant</w:t>
      </w:r>
      <w:r>
        <w:rPr>
          <w:rFonts w:ascii="Times New Roman" w:hAnsi="Times New Roman"/>
          <w:sz w:val="20"/>
        </w:rPr>
        <w:t xml:space="preserve">” means, with respect to the Depositary, Euroclear or Clearstream, a person who has an account with the Depositary, Euroclear or Clearstream, respectively (and with respect to the Depositary Trust Company, shall include Euroclear and Clearstream). </w:t>
      </w:r>
    </w:p>
    <w:p>
      <w:pPr>
        <w:pStyle w:val="TextBody"/>
        <w:bidi w:val="0"/>
        <w:spacing w:before="240" w:after="0"/>
        <w:jc w:val="left"/>
        <w:rPr/>
      </w:pPr>
      <w:r>
        <w:rPr/>
        <w:t>“</w:t>
      </w:r>
      <w:r>
        <w:rPr>
          <w:rFonts w:ascii="Times New Roman" w:hAnsi="Times New Roman"/>
          <w:b/>
          <w:sz w:val="20"/>
        </w:rPr>
        <w:t>Permitted Non-Recourse Guarantees</w:t>
      </w:r>
      <w:r>
        <w:rPr>
          <w:rFonts w:ascii="Times New Roman" w:hAnsi="Times New Roman"/>
          <w:sz w:val="20"/>
        </w:rPr>
        <w:t xml:space="preserve">” means customary completion or budget guarantees or indemnities (including by means of separate indemnification agreements and carve-out guarantees) provided under Non-Recourse Debt in the ordinary course of business by the Company or any Subsidiary of the Company in financing transactions that are directly or indirectly secured by real estate assets or other real estate-related assets (including equity interests) of a Subsidiary of the Company (or entity in which the Company is the general partner or managing member), in each case that is the borrower in such financing, but is non-recourse to the Company or any of the Company’s other Subsidiaries, except for customary completion or budget guarantees or indemnities (including by means of separate indemnification agreements or carve-out guarantees) as are consistent with customary industry practice (such as environmental indemnities and recourse triggers based on violation of transfer restrictions and other customary exceptions to nonrecourse liability). </w:t>
      </w:r>
    </w:p>
    <w:p>
      <w:pPr>
        <w:pStyle w:val="TextBody"/>
        <w:bidi w:val="0"/>
        <w:spacing w:before="240" w:after="0"/>
        <w:jc w:val="left"/>
        <w:rPr/>
      </w:pPr>
      <w:r>
        <w:rPr/>
        <w:t>“</w:t>
      </w:r>
      <w:r>
        <w:rPr>
          <w:rFonts w:ascii="Times New Roman" w:hAnsi="Times New Roman"/>
          <w:b/>
          <w:sz w:val="20"/>
        </w:rPr>
        <w:t>Primary Treasury Dealer</w:t>
      </w:r>
      <w:r>
        <w:rPr>
          <w:rFonts w:ascii="Times New Roman" w:hAnsi="Times New Roman"/>
          <w:sz w:val="20"/>
        </w:rPr>
        <w:t xml:space="preserve">” means a primary U.S. Government securities dealer. </w:t>
      </w:r>
    </w:p>
    <w:p>
      <w:pPr>
        <w:pStyle w:val="TextBody"/>
        <w:bidi w:val="0"/>
        <w:spacing w:before="240" w:after="0"/>
        <w:jc w:val="left"/>
        <w:rPr/>
      </w:pPr>
      <w:r>
        <w:rPr/>
        <w:t>“</w:t>
      </w:r>
      <w:r>
        <w:rPr>
          <w:rFonts w:ascii="Times New Roman" w:hAnsi="Times New Roman"/>
          <w:b/>
          <w:sz w:val="20"/>
        </w:rPr>
        <w:t>Pro Rata Share</w:t>
      </w:r>
      <w:r>
        <w:rPr>
          <w:rFonts w:ascii="Times New Roman" w:hAnsi="Times New Roman"/>
          <w:sz w:val="20"/>
        </w:rPr>
        <w:t xml:space="preserve">” means, with respect to any person, any applicable figure or measure of such person and its Subsidiaries on a consolidated basis, less any portion attributable to non-controlling interests, plus such person’s or its Subsidiaries’ allocable portion of such figure or measure, based on their ownership interest, of unconsolidated joint ventures.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a parcel (or group of related parcels) of real property. </w:t>
      </w:r>
    </w:p>
    <w:p>
      <w:pPr>
        <w:pStyle w:val="TextBody"/>
        <w:bidi w:val="0"/>
        <w:spacing w:before="240" w:after="0"/>
        <w:jc w:val="left"/>
        <w:rPr/>
      </w:pPr>
      <w:r>
        <w:rPr/>
        <w:t>“</w:t>
      </w:r>
      <w:r>
        <w:rPr>
          <w:rFonts w:ascii="Times New Roman" w:hAnsi="Times New Roman"/>
          <w:b/>
          <w:sz w:val="20"/>
        </w:rPr>
        <w:t>Property EBITDA</w:t>
      </w:r>
      <w:r>
        <w:rPr>
          <w:rFonts w:ascii="Times New Roman" w:hAnsi="Times New Roman"/>
          <w:sz w:val="20"/>
        </w:rPr>
        <w:t xml:space="preserve">” means, with respect to any person, for any period, such person’s Pro Rata Share of EBITDA for such period adjusted to add back the impact of corporate level general and administrative expenses.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shall have the meaning ascribed thereto in Section 2.4.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means, with respect to any Note or portion thereof to be redeemed in accordance with the provisions of Section 4.1, the date fixed for such redemption in accordance with the provisions of Section 4.1.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shall have the meaning ascribed thereto in Section 4.1. </w:t>
      </w:r>
    </w:p>
    <w:p>
      <w:pPr>
        <w:pStyle w:val="TextBody"/>
        <w:bidi w:val="0"/>
        <w:spacing w:before="240" w:after="0"/>
        <w:jc w:val="left"/>
        <w:rPr/>
      </w:pPr>
      <w:r>
        <w:rPr/>
        <w:t>“</w:t>
      </w:r>
      <w:r>
        <w:rPr>
          <w:rFonts w:ascii="Times New Roman" w:hAnsi="Times New Roman"/>
          <w:b/>
          <w:sz w:val="20"/>
        </w:rPr>
        <w:t>Remaining Life</w:t>
      </w:r>
      <w:r>
        <w:rPr>
          <w:rFonts w:ascii="Times New Roman" w:hAnsi="Times New Roman"/>
          <w:sz w:val="20"/>
        </w:rPr>
        <w:t xml:space="preserve">” means, with respect to any Notes to be redeemed, the remaining term of such Notes, calculated as if the maturity date of such Notes were the Par Call Date.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as in effect from time to time.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of any specified person means any Subsidiary in which such person has invested at least $100,000,000 in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xml:space="preserve">” means, for any person (as defined in the Base Indenture, but excluding an individual, government or any agency or political subdivision thereof), any corporation, partnership, limited liability company or other entity of which at least a majority of the Equity Interests having by the terms thereof ordinary voting power to elect a majority of the board of directors or other individuals performing similar functions of such corporation, partnership, limited liability company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 </w:t>
      </w:r>
    </w:p>
    <w:p>
      <w:pPr>
        <w:pStyle w:val="TextBody"/>
        <w:bidi w:val="0"/>
        <w:spacing w:before="240" w:after="0"/>
        <w:jc w:val="left"/>
        <w:rPr/>
      </w:pPr>
      <w:r>
        <w:rPr/>
        <w:t>“</w:t>
      </w:r>
      <w:r>
        <w:rPr>
          <w:rFonts w:ascii="Times New Roman" w:hAnsi="Times New Roman"/>
          <w:b/>
          <w:sz w:val="20"/>
        </w:rPr>
        <w:t>Tenant Insurance Contract</w:t>
      </w:r>
      <w:r>
        <w:rPr>
          <w:rFonts w:ascii="Times New Roman" w:hAnsi="Times New Roman"/>
          <w:sz w:val="20"/>
        </w:rPr>
        <w:t xml:space="preserve">” means an insurance or reinsurance contract or agreement under which any Captive Insurance Subsidiary provides insurance or reinsurance in respect of tenant insurance related to a self-storage property. </w:t>
      </w:r>
    </w:p>
    <w:p>
      <w:pPr>
        <w:pStyle w:val="TextBody"/>
        <w:bidi w:val="0"/>
        <w:spacing w:before="240" w:after="0"/>
        <w:jc w:val="left"/>
        <w:rPr/>
      </w:pPr>
      <w:r>
        <w:rPr/>
        <w:t>“</w:t>
      </w:r>
      <w:r>
        <w:rPr>
          <w:rFonts w:ascii="Times New Roman" w:hAnsi="Times New Roman"/>
          <w:b/>
          <w:sz w:val="20"/>
        </w:rPr>
        <w:t>Tenant Insurance Operating Income</w:t>
      </w:r>
      <w:r>
        <w:rPr>
          <w:rFonts w:ascii="Times New Roman" w:hAnsi="Times New Roman"/>
          <w:sz w:val="20"/>
        </w:rPr>
        <w:t xml:space="preserve">” means, for any period, an amount equal to (a) the Tenant Insurance Revenue for such period minus (b) actual or attributable tenant insurance and reinsurance expenses (excluding royalty expenses paid to the Company or any of its wholly owned Subsidiaries) of the applicable Captive Insurance Subsidiaries pursuant to Tenant Insurance Contracts for such period. </w:t>
      </w:r>
    </w:p>
    <w:p>
      <w:pPr>
        <w:pStyle w:val="TextBody"/>
        <w:bidi w:val="0"/>
        <w:spacing w:before="240" w:after="0"/>
        <w:jc w:val="left"/>
        <w:rPr/>
      </w:pPr>
      <w:r>
        <w:rPr/>
        <w:t>“</w:t>
      </w:r>
      <w:r>
        <w:rPr>
          <w:rFonts w:ascii="Times New Roman" w:hAnsi="Times New Roman"/>
          <w:b/>
          <w:sz w:val="20"/>
        </w:rPr>
        <w:t>Tenant Insurance Revenue</w:t>
      </w:r>
      <w:r>
        <w:rPr>
          <w:rFonts w:ascii="Times New Roman" w:hAnsi="Times New Roman"/>
          <w:sz w:val="20"/>
        </w:rPr>
        <w:t xml:space="preserve">” means, for any period, the aggregate revenues for such period earned by the Captive Insurance Subsidiaries from providing tenant insurance or reinsurance services under Tenant Insurance Contracts. </w:t>
      </w:r>
    </w:p>
    <w:p>
      <w:pPr>
        <w:pStyle w:val="TextBody"/>
        <w:bidi w:val="0"/>
        <w:spacing w:before="240" w:after="0"/>
        <w:jc w:val="left"/>
        <w:rPr/>
      </w:pPr>
      <w:r>
        <w:rPr/>
        <w:t>“</w:t>
      </w:r>
      <w:r>
        <w:rPr>
          <w:rFonts w:ascii="Times New Roman" w:hAnsi="Times New Roman"/>
          <w:b/>
          <w:sz w:val="20"/>
        </w:rPr>
        <w:t>Total Assets</w:t>
      </w:r>
      <w:r>
        <w:rPr>
          <w:rFonts w:ascii="Times New Roman" w:hAnsi="Times New Roman"/>
          <w:sz w:val="20"/>
        </w:rPr>
        <w:t xml:space="preserve">” means, with respect to any person, as of any date,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(a) the Capitalized Property Value of such person and its Subsidiaries, excluding Capitalized Property Value attributable to Properties acquired or disposed of by such person or Subsidiary during the four consecutive quarters ending on such date and Development Properties; </w:t>
      </w:r>
    </w:p>
    <w:p>
      <w:pPr>
        <w:pStyle w:val="TextBody"/>
        <w:bidi w:val="0"/>
        <w:spacing w:before="120" w:after="0"/>
        <w:jc w:val="left"/>
        <w:rPr>
          <w:rFonts w:ascii="Times New Roman" w:hAnsi="Times New Roman"/>
          <w:sz w:val="20"/>
        </w:rPr>
      </w:pPr>
      <w:r>
        <w:rPr>
          <w:rFonts w:ascii="Times New Roman" w:hAnsi="Times New Roman"/>
          <w:sz w:val="20"/>
        </w:rPr>
        <w:t xml:space="preserve">(b) the Capitalized Tenant Insurance Value of such person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all cash and cash equivalents (excluding tenant deposits and other cash and cash equivalents the disposition of which is restricted) of such person and its Subsidiaries at such time; </w:t>
      </w:r>
    </w:p>
    <w:p>
      <w:pPr>
        <w:pStyle w:val="TextBody"/>
        <w:bidi w:val="0"/>
        <w:spacing w:before="120" w:after="0"/>
        <w:jc w:val="left"/>
        <w:rPr>
          <w:rFonts w:ascii="Times New Roman" w:hAnsi="Times New Roman"/>
          <w:sz w:val="20"/>
        </w:rPr>
      </w:pPr>
      <w:r>
        <w:rPr>
          <w:rFonts w:ascii="Times New Roman" w:hAnsi="Times New Roman"/>
          <w:sz w:val="20"/>
        </w:rPr>
        <w:t xml:space="preserve">(d) the Pro Rata Share of such person or its Subsidiaries of the current undepreciated book value of Development Properties held by such person or Subsidiary and all land held for development by such person or Subsidiary; </w:t>
      </w:r>
    </w:p>
    <w:p>
      <w:pPr>
        <w:pStyle w:val="TextBody"/>
        <w:bidi w:val="0"/>
        <w:spacing w:before="120" w:after="0"/>
        <w:jc w:val="left"/>
        <w:rPr>
          <w:rFonts w:ascii="Times New Roman" w:hAnsi="Times New Roman"/>
          <w:sz w:val="20"/>
        </w:rPr>
      </w:pPr>
      <w:r>
        <w:rPr>
          <w:rFonts w:ascii="Times New Roman" w:hAnsi="Times New Roman"/>
          <w:sz w:val="20"/>
        </w:rPr>
        <w:t xml:space="preserve">(e) the Pro Rata Share of the purchase price paid by such person or any of its Subsidiaries (less the Pro Rata Share of any amounts paid to such person or such Subsidiary as a purchase price adjustment, held in escrow, retained as a contingency reserve, or in connection with other similar arrangements, and without regard to allocations of property purchase prices pursuant to Statement of Financial Accounting Standards No. 141 or other provisions of GAAP) for any Property or business acquired by the Company or such Subsidiary during the four consecutive quarters ending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contractual purchase price of Properties of such person and its Subsidiaries subject to purchase obligations, repurchase obligations, forward commitments and unfunded obligations to the extent such obligations and commitments are included in determinations of Debt; and </w:t>
      </w:r>
    </w:p>
    <w:p>
      <w:pPr>
        <w:pStyle w:val="TextBody"/>
        <w:bidi w:val="0"/>
        <w:spacing w:before="120" w:after="0"/>
        <w:jc w:val="left"/>
        <w:rPr>
          <w:rFonts w:ascii="Times New Roman" w:hAnsi="Times New Roman"/>
          <w:sz w:val="20"/>
        </w:rPr>
      </w:pPr>
      <w:r>
        <w:rPr>
          <w:rFonts w:ascii="Times New Roman" w:hAnsi="Times New Roman"/>
          <w:sz w:val="20"/>
        </w:rPr>
        <w:t xml:space="preserve">(g) the Fair Market Value of all Marketable Securities owned by such person or any of its Subsidiaries, plus all other assets of such person and its Subsidiaries (the value of which is determined in accordance with GAAP but excluding assets classified as intangible under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other assets shall not include the right of use assets associated with an operating lease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Total Assets of the Company, the Company shall have the option to include Capitalized Property Value under clause (a) above from any such Properties that are otherwise subject to valuation under clause (d) or (e) above;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election is made, any value attributable to such Properties under clause (d) or (e) above shall be excluded from the determination of the amount under clause (d) or (e). </w:t>
      </w:r>
    </w:p>
    <w:p>
      <w:pPr>
        <w:pStyle w:val="TextBody"/>
        <w:bidi w:val="0"/>
        <w:spacing w:before="240" w:after="0"/>
        <w:jc w:val="left"/>
        <w:rPr/>
      </w:pPr>
      <w:r>
        <w:rPr/>
        <w:t>“</w:t>
      </w:r>
      <w:r>
        <w:rPr>
          <w:rFonts w:ascii="Times New Roman" w:hAnsi="Times New Roman"/>
          <w:b/>
          <w:sz w:val="20"/>
        </w:rPr>
        <w:t>Total Unencumbered Assets</w:t>
      </w:r>
      <w:r>
        <w:rPr>
          <w:rFonts w:ascii="Times New Roman" w:hAnsi="Times New Roman"/>
          <w:sz w:val="20"/>
        </w:rPr>
        <w:t xml:space="preserve">” means, as of any date, those assets within Total Assets that are not subject to a Lien, less the value attributable to Capitalized Tenant Insurance Value; </w:t>
      </w:r>
      <w:r>
        <w:rPr>
          <w:rFonts w:ascii="Times New Roman" w:hAnsi="Times New Roman"/>
          <w:i/>
          <w:sz w:val="20"/>
        </w:rPr>
        <w:t>provided</w:t>
      </w:r>
      <w:r>
        <w:rPr>
          <w:rFonts w:ascii="Times New Roman" w:hAnsi="Times New Roman"/>
          <w:sz w:val="20"/>
        </w:rPr>
        <w:t xml:space="preserve"> that in determining Total Unencumbered Assets, all investments in unconsolidated entities shall be excluded.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notice of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third business day preceding the notice of the Redemption Date H.15 TCM is no longer published, the Company shall calculate the Treasury Rate based on the rate per annum equal to the semi-annual equivalent yield to maturity at 11:00 a.m., New York City time, on the second business day preceding such notice of the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pPr>
      <w:r>
        <w:rPr/>
        <w:t>“</w:t>
      </w:r>
      <w:r>
        <w:rPr>
          <w:rFonts w:ascii="Times New Roman" w:hAnsi="Times New Roman"/>
          <w:b/>
          <w:sz w:val="20"/>
        </w:rPr>
        <w:t>Uniform Fraudulent Conveyance Act</w:t>
      </w:r>
      <w:r>
        <w:rPr>
          <w:rFonts w:ascii="Times New Roman" w:hAnsi="Times New Roman"/>
          <w:sz w:val="20"/>
        </w:rPr>
        <w:t xml:space="preserve">” means any applicable federal, provincial or state fraudulent conveyance legislation and any successor legislation. </w:t>
      </w:r>
    </w:p>
    <w:p>
      <w:pPr>
        <w:pStyle w:val="TextBody"/>
        <w:bidi w:val="0"/>
        <w:spacing w:before="240" w:after="0"/>
        <w:jc w:val="left"/>
        <w:rPr/>
      </w:pPr>
      <w:r>
        <w:rPr/>
        <w:t>“</w:t>
      </w:r>
      <w:r>
        <w:rPr>
          <w:rFonts w:ascii="Times New Roman" w:hAnsi="Times New Roman"/>
          <w:b/>
          <w:sz w:val="20"/>
        </w:rPr>
        <w:t>Uniform Fraudulent Transfer Act</w:t>
      </w:r>
      <w:r>
        <w:rPr>
          <w:rFonts w:ascii="Times New Roman" w:hAnsi="Times New Roman"/>
          <w:sz w:val="20"/>
        </w:rPr>
        <w:t xml:space="preserve">” means any applicable federal, provincial or state fraudulent transfer legislation and any successor legislation. </w:t>
      </w:r>
    </w:p>
    <w:p>
      <w:pPr>
        <w:pStyle w:val="TextBody"/>
        <w:bidi w:val="0"/>
        <w:spacing w:before="240" w:after="0"/>
        <w:jc w:val="left"/>
        <w:rPr/>
      </w:pPr>
      <w:r>
        <w:rPr/>
        <w:t>“</w:t>
      </w:r>
      <w:r>
        <w:rPr>
          <w:rFonts w:ascii="Times New Roman" w:hAnsi="Times New Roman"/>
          <w:b/>
          <w:sz w:val="20"/>
        </w:rPr>
        <w:t>Unsecured Debt</w:t>
      </w:r>
      <w:r>
        <w:rPr>
          <w:rFonts w:ascii="Times New Roman" w:hAnsi="Times New Roman"/>
          <w:sz w:val="20"/>
        </w:rPr>
        <w:t xml:space="preserve">” means Debt that is not secured by a Lien on any property or assets of the Company or any of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Title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There shall be a Series of Securities designated the “4.900% Senior Notes due 2032.”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Price. </w:t>
      </w:r>
    </w:p>
    <w:p>
      <w:pPr>
        <w:pStyle w:val="TextBody"/>
        <w:bidi w:val="0"/>
        <w:spacing w:before="120" w:after="0"/>
        <w:jc w:val="left"/>
        <w:rPr>
          <w:rFonts w:ascii="Times New Roman" w:hAnsi="Times New Roman"/>
          <w:sz w:val="20"/>
        </w:rPr>
      </w:pPr>
      <w:r>
        <w:rPr>
          <w:rFonts w:ascii="Times New Roman" w:hAnsi="Times New Roman"/>
          <w:sz w:val="20"/>
        </w:rPr>
        <w:t xml:space="preserve">The Initial Notes shall be issued at a public offering price of 99.702% of the principal amount thereof, other than any offering discounts pursuant to the initial offering and resale of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Limitation on Initial Aggregate Principal Amount; Further Issuances.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the Notes initially shall be limited to $550,000,000. The Company may, without notice to or consent of the Holders, issue Additional Notes from time to time in the future in an unlimited principal amount, subject to compliance with the terms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contained in this Section 2.3 or elsewhere in this Sixteenth Supplemental Indenture, or in the Notes, is intended to or shall limit execution by the Company or authentication or delivery by the Trustee of Notes under the circumstances contemplated by Sections 2.7, 2.8, 2.11, 3.6 or 9.6 of the Base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Interest and Interest Rates; Stated Maturity of Notes. </w:t>
      </w:r>
    </w:p>
    <w:p>
      <w:pPr>
        <w:pStyle w:val="TextBody"/>
        <w:bidi w:val="0"/>
        <w:spacing w:before="120" w:after="0"/>
        <w:jc w:val="left"/>
        <w:rPr>
          <w:rFonts w:ascii="Times New Roman" w:hAnsi="Times New Roman"/>
          <w:sz w:val="20"/>
        </w:rPr>
      </w:pPr>
      <w:r>
        <w:rPr>
          <w:rFonts w:ascii="Times New Roman" w:hAnsi="Times New Roman"/>
          <w:sz w:val="20"/>
        </w:rPr>
        <w:t>(a) The Notes shall bear interest at the rate of 4.900% per year. Interest on the Notes will accrue from and including July 6, 2026 and will be payable semi-annually in arrears on February 1 and August 1 of each year, commencing on February 1, 2027 (each such date being an “</w:t>
      </w:r>
      <w:r>
        <w:rPr>
          <w:rFonts w:ascii="Times New Roman" w:hAnsi="Times New Roman"/>
          <w:b/>
          <w:sz w:val="20"/>
        </w:rPr>
        <w:t>Interest Payment Date</w:t>
      </w:r>
      <w:r>
        <w:rPr>
          <w:rFonts w:ascii="Times New Roman" w:hAnsi="Times New Roman"/>
          <w:sz w:val="20"/>
        </w:rPr>
        <w:t>”), to the persons in whose names the Notes are registered in the security register (the “</w:t>
      </w:r>
      <w:r>
        <w:rPr>
          <w:rFonts w:ascii="Times New Roman" w:hAnsi="Times New Roman"/>
          <w:b/>
          <w:sz w:val="20"/>
        </w:rPr>
        <w:t>Holders</w:t>
      </w:r>
      <w:r>
        <w:rPr>
          <w:rFonts w:ascii="Times New Roman" w:hAnsi="Times New Roman"/>
          <w:sz w:val="20"/>
        </w:rPr>
        <w:t>”) on the preceding January 15 or July 15, whether or not a Business Day, as the case may be (each such date being a “</w:t>
      </w:r>
      <w:r>
        <w:rPr>
          <w:rFonts w:ascii="Times New Roman" w:hAnsi="Times New Roman"/>
          <w:b/>
          <w:sz w:val="20"/>
        </w:rPr>
        <w:t>Record Date</w:t>
      </w:r>
      <w:r>
        <w:rPr>
          <w:rFonts w:ascii="Times New Roman" w:hAnsi="Times New Roman"/>
          <w:sz w:val="20"/>
        </w:rPr>
        <w:t xml:space="preserve">”). Interest on the Notes will be computed on the basis of a 360-day year consisting of twelve 30-day months. </w:t>
      </w:r>
    </w:p>
    <w:p>
      <w:pPr>
        <w:pStyle w:val="TextBody"/>
        <w:bidi w:val="0"/>
        <w:spacing w:before="120" w:after="0"/>
        <w:jc w:val="left"/>
        <w:rPr>
          <w:rFonts w:ascii="Times New Roman" w:hAnsi="Times New Roman"/>
          <w:sz w:val="20"/>
        </w:rPr>
      </w:pPr>
      <w:r>
        <w:rPr>
          <w:rFonts w:ascii="Times New Roman" w:hAnsi="Times New Roman"/>
          <w:sz w:val="20"/>
        </w:rPr>
        <w:t xml:space="preserve">(b) If any Interest Payment Date, Stated Maturity or Redemption Date falls on a day that is not a Business Day, the required payment shall be made on the next Business Day as if it were made on the date the payment was due and no interest shall accrue on the amount so payable for the period from and after that Interest Payment Date, Stated Maturity or Redemption Date, as the case may be, until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(c) The Stated Maturity of the Notes shall be February 1, 2032.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Method of Payment. </w:t>
      </w:r>
    </w:p>
    <w:p>
      <w:pPr>
        <w:pStyle w:val="TextBody"/>
        <w:bidi w:val="0"/>
        <w:spacing w:before="120" w:after="0"/>
        <w:jc w:val="left"/>
        <w:rPr>
          <w:rFonts w:ascii="Times New Roman" w:hAnsi="Times New Roman"/>
          <w:sz w:val="20"/>
        </w:rPr>
      </w:pPr>
      <w:r>
        <w:rPr>
          <w:rFonts w:ascii="Times New Roman" w:hAnsi="Times New Roman"/>
          <w:sz w:val="20"/>
        </w:rPr>
        <w:t xml:space="preserve">Principal, premium, if any, and interest shall be payable at the Corporate Trust Office of the Trustee. The Company shall pay interest (i) on any Notes in certificated form by check mailed to the address of the Holder entitled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 Holder of any Notes in certificated form in the aggregate principal amount of more than $2,000,000 may specify by written notice to the Company (with a copy to the Trustee) that it pay interest by wire transfer of immediately available funds to the account specified by the Holder in such notice, or (ii) on any Global Note by wire transfer of immediately available funds to the account of the Depositary or its nominee. Any interest on any Note which is payable, but is not punctually paid or duly provided for, on any Interest Payment Date (herein called “</w:t>
      </w:r>
      <w:r>
        <w:rPr>
          <w:rFonts w:ascii="Times New Roman" w:hAnsi="Times New Roman"/>
          <w:b/>
          <w:sz w:val="20"/>
        </w:rPr>
        <w:t>Defaulted Interest</w:t>
      </w:r>
      <w:r>
        <w:rPr>
          <w:rFonts w:ascii="Times New Roman" w:hAnsi="Times New Roman"/>
          <w:sz w:val="20"/>
        </w:rPr>
        <w:t xml:space="preserve">”) shall forthwith cease to be payable to the Holder registered as such on the relevant Record Date, and such Defaulted Interest shall be paid by the Company, at its election in each case, as provided in clause (a) or (b) below: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may elect to make payment of any Defaulted Interest to the persons in whose names the Notes are registered at 5:00 p.m., New York City time,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be not less than 25 calendar days after the receipt by the Trustee of such notice, unless the Trustee shall consent to an earlier date), and at the same time the Company shall deposit with the Trustee an amount of money equal to the aggregate amount to be paid in respect of such Defaulted Interest or shall make arrangements satisfactory to the Trustee for such deposit on or prior to the date of the proposed payment, such money when deposited to be held in trust for the benefit of the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such Defaulted Interest as in this clause provided. Thereupon the Company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(unless the Trustee shall consent to an earlier date). The Company shall promptly notify the Trustee of such special record date and shall cause notice of the proposed payment of such Defaulted Interest and the special record date therefor to be sent to each Holder at its address as it appears in the register, not less than 10 calendar days prior to such special record date. Notice of the proposed payment of such Defaulted Interest and the special record date therefor having been so mailed, such Defaulted Interest shall be paid to the persons in whose names the Notes are registered at 5:00 p.m., New York City time, on such special record date and shall no longer be payable pursuant to the following clause (b) of this Section 2.5. </w:t>
      </w:r>
    </w:p>
    <w:p>
      <w:pPr>
        <w:pStyle w:val="TextBody"/>
        <w:bidi w:val="0"/>
        <w:spacing w:before="120" w:after="0"/>
        <w:jc w:val="left"/>
        <w:rPr>
          <w:rFonts w:ascii="Times New Roman" w:hAnsi="Times New Roman"/>
          <w:sz w:val="20"/>
        </w:rPr>
      </w:pPr>
      <w:r>
        <w:rPr>
          <w:rFonts w:ascii="Times New Roman" w:hAnsi="Times New Roman"/>
          <w:sz w:val="20"/>
        </w:rPr>
        <w:t xml:space="preserve">(b) The Company may make payment of any Defaulted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Currency. </w:t>
      </w:r>
    </w:p>
    <w:p>
      <w:pPr>
        <w:pStyle w:val="TextBody"/>
        <w:bidi w:val="0"/>
        <w:spacing w:before="120" w:after="0"/>
        <w:jc w:val="left"/>
        <w:rPr>
          <w:rFonts w:ascii="Times New Roman" w:hAnsi="Times New Roman"/>
          <w:sz w:val="20"/>
        </w:rPr>
      </w:pPr>
      <w:r>
        <w:rPr>
          <w:rFonts w:ascii="Times New Roman" w:hAnsi="Times New Roman"/>
          <w:sz w:val="20"/>
        </w:rPr>
        <w:t xml:space="preserve">Principal and interest on the Notes shall be payable in U.S. Dollars.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Additional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be entitled, without the consent of any Holders of the Notes, upon delivery of an Officer’s Certificate, Opinion of Counsel and Authentication Order, subject to its compliance with Section 6.1, to issue Additional Notes under the Indenture that will have identical terms to the Initial Notes issued on the date of the Indenture other than with respect to the date of issuance, issue price and, if applicable, the date from which interest on such Additional Notes will begin to accrue and the initial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Additional Notes will not be fungible with the Initial Notes for U.S. federal income tax or securities law purposes, such Additional Notes will have a separate CUSIP number. Such Additional Notes will rank equally and ratable in right of payment and will be treated as a single series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Additional Notes, the Company will set forth in a resolution of the board of directors of the Parent acting on behalf of the Company and an Officer’s Certificate, a copy of each of which will be delivered to the Trustee,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such Additional Notes to be authenticated and delivered pursuant to the Indenture; and </w:t>
      </w:r>
    </w:p>
    <w:p>
      <w:pPr>
        <w:pStyle w:val="TextBody"/>
        <w:bidi w:val="0"/>
        <w:spacing w:before="120" w:after="0"/>
        <w:jc w:val="left"/>
        <w:rPr>
          <w:rFonts w:ascii="Times New Roman" w:hAnsi="Times New Roman"/>
          <w:sz w:val="20"/>
        </w:rPr>
      </w:pPr>
      <w:r>
        <w:rPr>
          <w:rFonts w:ascii="Times New Roman" w:hAnsi="Times New Roman"/>
          <w:sz w:val="20"/>
        </w:rPr>
        <w:t xml:space="preserve">(b) the issue price, the issue date and the CUSIP number of such Additional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redeemed at the option of the Company prior to the Stated Maturity as provided in Article IV.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No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Article XI of the Base Indenture shall not be applicable to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Registrar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initially serve as Registrar and Paying Agent for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FORM OF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Global Form. </w:t>
      </w:r>
    </w:p>
    <w:p>
      <w:pPr>
        <w:pStyle w:val="TextBody"/>
        <w:bidi w:val="0"/>
        <w:spacing w:before="120" w:after="0"/>
        <w:jc w:val="left"/>
        <w:rPr>
          <w:rFonts w:ascii="Times New Roman" w:hAnsi="Times New Roman"/>
          <w:sz w:val="20"/>
        </w:rPr>
      </w:pPr>
      <w:r>
        <w:rPr>
          <w:rFonts w:ascii="Times New Roman" w:hAnsi="Times New Roman"/>
          <w:sz w:val="20"/>
        </w:rPr>
        <w:t xml:space="preserve">The Notes shall initially be issued in the form of one or more fully registered Global Notes that will be deposited with, or on behalf of the Depositary, and registered in the name of the Depositary or its nominee, as the case may be, subject to Sections 2.7 and 2.14 of the Base Indenture. So long as the Depositary, or its nominee, is the registered owner of the Global Note, the Depositary or its nominee, as the case may be, will be considered the sole Holder of the Notes represented by the Global Note for all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not be issuable in definitive form except as provided in Section 3.2(a) of this Sixteenth Supplemental Indenture. The Notes and the Trustee’s certificate of authentication shall be substantially in the form attached as </w:t>
      </w:r>
      <w:r>
        <w:rPr>
          <w:rFonts w:ascii="Times New Roman" w:hAnsi="Times New Roman"/>
          <w:sz w:val="20"/>
          <w:u w:val="single"/>
        </w:rPr>
        <w:t>Exhibit A</w:t>
      </w:r>
      <w:r>
        <w:rPr>
          <w:rFonts w:ascii="Times New Roman" w:hAnsi="Times New Roman"/>
          <w:sz w:val="20"/>
        </w:rPr>
        <w:t xml:space="preserve"> hereto. The Company shall execute and the Trustee shall, in accordance with Section 2.3 of the Base Indenture, authenticate and hold each Global Note as custodian for the Depositary.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Registrar or the custodian, at the direction of the Trustee. The terms and provisions contained in the form of Note attached as </w:t>
      </w:r>
      <w:r>
        <w:rPr>
          <w:rFonts w:ascii="Times New Roman" w:hAnsi="Times New Roman"/>
          <w:sz w:val="20"/>
          <w:u w:val="single"/>
        </w:rPr>
        <w:t>Exhibit A</w:t>
      </w:r>
      <w:r>
        <w:rPr>
          <w:rFonts w:ascii="Times New Roman" w:hAnsi="Times New Roman"/>
          <w:sz w:val="20"/>
        </w:rPr>
        <w:t xml:space="preserve"> hereto shall constitute, and are hereby expressly made, a part of the Indenture and, to the extent applicable, the Company, each Guarantor and the Trustee, by their execution and delivery of this Sixteenth Supplemental Indenture, expressly agree to such terms and provisions and to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Participants of the Depositary shall have no rights either under the Indenture or with respect to the Global Notes. The Depositary or its nominee, as applicable, shall be treated by the Company, each Guarantor, the Trustee and any agent of the Company, such Guarantor or the Trustee as the absolute owner and Holder of such Global Notes for all purposes under the Indenture. Notwithstanding the foregoing, nothing herein shall prevent the Company, any Guarantor or the Trustee from giving effect to any written certification, proxy or other authorization furnished by the Depositary or its nominee, as applicable, or impair, as between the Depositary and its participants, the operation of customary practices of such Depositary governing the exercise of the rights of an owner of a beneficial interest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w:t>
      </w:r>
      <w:r>
        <w:rPr>
          <w:rFonts w:ascii="Times New Roman" w:hAnsi="Times New Roman"/>
          <w:sz w:val="20"/>
        </w:rPr>
        <w:t xml:space="preserve">s.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or </w:t>
      </w:r>
    </w:p>
    <w:p>
      <w:pPr>
        <w:pStyle w:val="TextBody"/>
        <w:bidi w:val="0"/>
        <w:spacing w:before="120" w:after="0"/>
        <w:jc w:val="left"/>
        <w:rPr>
          <w:rFonts w:ascii="Times New Roman" w:hAnsi="Times New Roman"/>
          <w:sz w:val="20"/>
        </w:rPr>
      </w:pPr>
      <w:r>
        <w:rPr>
          <w:rFonts w:ascii="Times New Roman" w:hAnsi="Times New Roman"/>
          <w:sz w:val="20"/>
        </w:rPr>
        <w:t xml:space="preserve">(2) the Company, at its option, determines that the Global Notes (in whole but not in part) should be exchanged for Definitive Notes and delivers a written notice to such effect to the Trustee; or </w:t>
      </w:r>
    </w:p>
    <w:p>
      <w:pPr>
        <w:pStyle w:val="TextBody"/>
        <w:bidi w:val="0"/>
        <w:spacing w:before="120" w:after="0"/>
        <w:jc w:val="left"/>
        <w:rPr>
          <w:rFonts w:ascii="Times New Roman" w:hAnsi="Times New Roman"/>
          <w:sz w:val="20"/>
        </w:rPr>
      </w:pPr>
      <w:r>
        <w:rPr>
          <w:rFonts w:ascii="Times New Roman" w:hAnsi="Times New Roman"/>
          <w:sz w:val="20"/>
        </w:rPr>
        <w:t xml:space="preserve">(3) upon request from the Depositary if there has occurred and is continuing a Default or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any of the preceding events in (1), (2) or (3) above, Definitive Notes shall be issued in registered form in such names as the Depositary shall instruct the Trustee. Global Notes also may be exchanged or replaced, in whole or in part, as provided in Sections 2.8 and 2.11 of the Base Indenture. Every Note authenticated and delivered in exchange for, or in lieu of, a Global Note or any portion thereof, pursuant to this Section 3.2 or Section 2.8 and 2.11 of the Base Indenture, shall be authenticated and delivered in the form of, and shall be, a Global Note. A Global Note may not be exchanged for another Note other than as provided in this Section 3.2(a); however, beneficial interests in a Global Note may be transferred and exchanged as provided in Section 3.2(b) or (c).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Notes</w:t>
      </w:r>
      <w:r>
        <w:rPr>
          <w:rFonts w:ascii="Times New Roman" w:hAnsi="Times New Roman"/>
          <w:sz w:val="20"/>
        </w:rPr>
        <w:t xml:space="preserve">. The transfer and exchange of beneficial interests in the Global Notes will be effected through the Depositary, in accordance with the provisions of the Indenture and the Applicable Procedures. Transfers of beneficial interests in the Global Notes also will require compliance with either subparagraph (1) or (2)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Transfer of Beneficial Interests in the Same Global Note</w:t>
      </w:r>
      <w:r>
        <w:rPr>
          <w:rFonts w:ascii="Times New Roman" w:hAnsi="Times New Roman"/>
          <w:sz w:val="20"/>
        </w:rPr>
        <w:t xml:space="preserve">. Beneficial interests in any Global Note may be transferred to persons who take delivery thereof in the form of a beneficial interest in a Global Note. No written orders or instructions shall be required to be delivered to the Registrar to effect the transfers described in this Section 3.2(b)(1).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Section 3.2(b)(1) above, the transferor of such beneficial interest must deliver to the Registrar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both: </w:t>
      </w:r>
    </w:p>
    <w:p>
      <w:pPr>
        <w:pStyle w:val="TextBody"/>
        <w:bidi w:val="0"/>
        <w:spacing w:before="120" w:after="0"/>
        <w:jc w:val="left"/>
        <w:rPr>
          <w:rFonts w:ascii="Times New Roman" w:hAnsi="Times New Roman"/>
          <w:sz w:val="20"/>
        </w:rPr>
      </w:pPr>
      <w:r>
        <w:rPr>
          <w:rFonts w:ascii="Times New Roman" w:hAnsi="Times New Roman"/>
          <w:sz w:val="20"/>
        </w:rPr>
        <w:t xml:space="preserve">(A)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(B) instructions given in accordance with the Applicable Procedures containing information regarding the Participant account to be credited with such increase; or </w:t>
      </w:r>
    </w:p>
    <w:p>
      <w:pPr>
        <w:pStyle w:val="TextBody"/>
        <w:bidi w:val="0"/>
        <w:spacing w:before="240" w:after="0"/>
        <w:jc w:val="left"/>
        <w:rPr>
          <w:rFonts w:ascii="Times New Roman" w:hAnsi="Times New Roman"/>
          <w:sz w:val="20"/>
        </w:rPr>
      </w:pPr>
      <w:r>
        <w:rPr>
          <w:rFonts w:ascii="Times New Roman" w:hAnsi="Times New Roman"/>
          <w:sz w:val="20"/>
        </w:rPr>
        <w:t xml:space="preserve">both: </w:t>
      </w:r>
    </w:p>
    <w:p>
      <w:pPr>
        <w:pStyle w:val="TextBody"/>
        <w:bidi w:val="0"/>
        <w:spacing w:before="120" w:after="0"/>
        <w:jc w:val="left"/>
        <w:rPr>
          <w:rFonts w:ascii="Times New Roman" w:hAnsi="Times New Roman"/>
          <w:sz w:val="20"/>
        </w:rPr>
      </w:pPr>
      <w:r>
        <w:rPr>
          <w:rFonts w:ascii="Times New Roman" w:hAnsi="Times New Roman"/>
          <w:sz w:val="20"/>
        </w:rPr>
        <w:t xml:space="preserve">(C) a written order from a Participant or an Indirect Participant given to the Depositary in accordance with the Applicable Procedures directing the Depositary to cause to be issued a Definitive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(D) instructions given by the Depositary to the Registrar containing information regarding the person in whose name such Definitive Note shall be registered to effect the transfer or exchange referred to in (b)(1) above.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all of the requirements for transfer or exchange of beneficial interests in Global Notes contained in this Sixteenth Supplemental Indenture and the Notes or otherwise applicable under the Securities Act, the Trustee shall adjust the principal amount of the relevant Global Note(s) pursuant to Section 3.2(g).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and Exchange of Beneficial Interests in Global Notes for Definitive Notes</w:t>
      </w:r>
      <w:r>
        <w:rPr>
          <w:rFonts w:ascii="Times New Roman" w:hAnsi="Times New Roman"/>
          <w:sz w:val="20"/>
        </w:rPr>
        <w:t xml:space="preserve">. If any holder of a beneficial interest in a Global Note proposes to exchange such beneficial interest for a Definitive Note or to transfer such beneficial interest to a person who takes delivery thereof in the form of a Definitive Note, then, upon satisfaction of the conditions set forth in Section 3.2(b)(2) and written notice to the Trustee, the Trustee will cause the aggregate principal amount of the applicable Global Note to be reduced accordingly pursuant to Section 3.2(g) hereof, and the Company will execute and, upon the receipt of an Authentication Order, the Trustee will authenticate and deliver to the person designated in the instructions a Definitive Note in the appropriate principal amount. Any Definitive Note issued in exchange for a beneficial interest pursuant to this Section 3.2(c)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w:t>
      </w:r>
      <w:r>
        <w:rPr>
          <w:rFonts w:ascii="Times New Roman" w:hAnsi="Times New Roman"/>
          <w:i/>
          <w:sz w:val="20"/>
        </w:rPr>
        <w:t>in Global Notes</w:t>
      </w:r>
      <w:r>
        <w:rPr>
          <w:rFonts w:ascii="Times New Roman" w:hAnsi="Times New Roman"/>
          <w:sz w:val="20"/>
        </w:rPr>
        <w:t xml:space="preserve">. 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principal amount of one of the Global Notes. If any such exchange or transfer from a Definitive Note to a beneficial interest is effected pursuant to the previous sentence at a time when a Global Note has not yet been issued, the Company will issue and, upon receipt of an Authentication Order in accordance with Section 3.2, the Trustee will authenticate one or more Global Notes in an aggregate principal amount equal to the principal amount of Definitive Notes so transferred.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and Exchange of Definitive Notes for Definitive Notes</w:t>
      </w:r>
      <w:r>
        <w:rPr>
          <w:rFonts w:ascii="Times New Roman" w:hAnsi="Times New Roman"/>
          <w:sz w:val="20"/>
        </w:rPr>
        <w:t xml:space="preserve">. Upon request by a Holder of Definitive Notes and such Holder’s compliance with the provisions of this Section 3.2(e),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3.2(e). A Holder of Definitive Notes may transfer such Notes to a person who takes delivery thereof in the form of a Definitive Note. Upon receipt of a request to register such a transfer, the Registrar shall register the Definitive Notes pursuant to the instructions from the Holder thereof.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Legend</w:t>
      </w:r>
      <w:r>
        <w:rPr>
          <w:rFonts w:ascii="Times New Roman" w:hAnsi="Times New Roman"/>
          <w:sz w:val="20"/>
        </w:rPr>
        <w:t xml:space="preserve">. Each Global Note issued under the Indenture, unless specifically stated otherwise in the applicable provisions of the Indenture, will bear a legend in substantially the following form: </w:t>
      </w:r>
    </w:p>
    <w:p>
      <w:pPr>
        <w:pStyle w:val="TextBody"/>
        <w:bidi w:val="0"/>
        <w:spacing w:before="120" w:after="0"/>
        <w:jc w:val="left"/>
        <w:rPr/>
      </w:pPr>
      <w:r>
        <w:rPr/>
        <w:t>“</w:t>
      </w:r>
      <w:r>
        <w:rPr>
          <w:rFonts w:ascii="Times New Roman" w:hAnsi="Times New Roman"/>
          <w:sz w:val="20"/>
        </w:rPr>
        <w:t xml:space="preserve">THIS GLOBAL NOTE IS HELD BY THE DEPOSITARY (AS DEFINED IN THE SIXTEENTH SUPPLEMENTAL INDENTURE GOVERNING THIS NOTE) OR ITS NOMINEE IN CUSTODY FOR THE BENEFIT OF THE BENEFICIAL OWNERS HEREOF, AND IS NOT TRANSFERABLE TO ANY PERSON UNDER ANY CIRCUMSTANCES EXCEPT THAT (I) THE TRUSTEE MAY MAKE SUCH NOTATIONS HEREON AS MAY BE REQUIRED PURSUANT TO SECTION 3.2 OF THE SIXTEENTH SUPPLEMENTAL INDENTURE, (II) THIS GLOBAL NOTE MAY BE EXCHANGED IN WHOLE BUT NOT IN PART PURSUANT TO SECTION 3.2(a) OF THE SIXTEENTH SUPPLEMENTAL INDENTURE, (III) THIS GLOBAL NOTE MAY BE DELIVERED TO THE TRUSTEE FOR CANCELLATION PURSUANT TO SECTION 2.12 OF THE BASE INDENTURE AND (IV) THIS GLOBAL NOTE MAY BE TRANSFERRED TO A SUCCESSOR DEPOSITARY WITH THE PRIOR WRITTEN CONSENT OF EXTRA SPACE STORAGE LP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Cancellation and/or Adjustment of Global Notes</w:t>
      </w:r>
      <w:r>
        <w:rPr>
          <w:rFonts w:ascii="Times New Roman" w:hAnsi="Times New Roman"/>
          <w:sz w:val="20"/>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 </w:t>
      </w:r>
    </w:p>
    <w:p>
      <w:pPr>
        <w:pStyle w:val="TextBody"/>
        <w:bidi w:val="0"/>
        <w:spacing w:before="120" w:after="0"/>
        <w:jc w:val="left"/>
        <w:rPr>
          <w:rFonts w:ascii="Times New Roman" w:hAnsi="Times New Roman"/>
          <w:sz w:val="20"/>
        </w:rPr>
      </w:pPr>
      <w:r>
        <w:rPr>
          <w:rFonts w:ascii="Times New Roman" w:hAnsi="Times New Roman"/>
          <w:sz w:val="20"/>
        </w:rPr>
        <w:t xml:space="preserve">(h) General Provisions Relating to Transfers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Company will execute and the Trustee will authenticate Global Notes and Definitive Notes upon receipt of an Authentication Order or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and 9.6 of the Base Indenture and Section 4.3 of this Sixteenth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(3) The Registrar will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(4) All Global Notes and Definitive Notes issued upon any registration of transfer or exchange of Global Notes or Definitive Notes will be the valid obligations of the Company, evidencing the same debt, and entitled to the same benefits under the Indenture, as the Global Notes or Definitive Notes surrendered upon such registration of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Neither the Registrar nor the Company will be required: </w:t>
      </w:r>
    </w:p>
    <w:p>
      <w:pPr>
        <w:pStyle w:val="TextBody"/>
        <w:bidi w:val="0"/>
        <w:spacing w:before="120" w:after="0"/>
        <w:jc w:val="left"/>
        <w:rPr>
          <w:rFonts w:ascii="Times New Roman" w:hAnsi="Times New Roman"/>
          <w:sz w:val="20"/>
        </w:rPr>
      </w:pPr>
      <w:r>
        <w:rPr>
          <w:rFonts w:ascii="Times New Roman" w:hAnsi="Times New Roman"/>
          <w:sz w:val="20"/>
        </w:rPr>
        <w:t xml:space="preserve">(A) to issue or register the transfer or exchange of any Note during a period beginning at the opening of business 15 days before the mailing of a notice of redemption of the notes selected for redemption under Article IV and ending at the close of business on the day of such mailing; </w:t>
      </w:r>
    </w:p>
    <w:p>
      <w:pPr>
        <w:pStyle w:val="TextBody"/>
        <w:bidi w:val="0"/>
        <w:spacing w:before="120" w:after="0"/>
        <w:jc w:val="left"/>
        <w:rPr>
          <w:rFonts w:ascii="Times New Roman" w:hAnsi="Times New Roman"/>
          <w:sz w:val="20"/>
        </w:rPr>
      </w:pPr>
      <w:r>
        <w:rPr>
          <w:rFonts w:ascii="Times New Roman" w:hAnsi="Times New Roman"/>
          <w:sz w:val="20"/>
        </w:rPr>
        <w:t xml:space="preserve">(B) to register the transfer or exchange of any Note so selected for redemption, in whole or in part, except the unredeemed portion of any Note being redeemed in part; or </w:t>
      </w:r>
    </w:p>
    <w:p>
      <w:pPr>
        <w:pStyle w:val="TextBody"/>
        <w:bidi w:val="0"/>
        <w:spacing w:before="120" w:after="0"/>
        <w:jc w:val="left"/>
        <w:rPr>
          <w:rFonts w:ascii="Times New Roman" w:hAnsi="Times New Roman"/>
          <w:sz w:val="20"/>
        </w:rPr>
      </w:pPr>
      <w:r>
        <w:rPr>
          <w:rFonts w:ascii="Times New Roman" w:hAnsi="Times New Roman"/>
          <w:sz w:val="20"/>
        </w:rPr>
        <w:t xml:space="preserve">(C) to register the transfer of or to exchange a Note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Prior to due presentment for the registration of a transfer of any Note, the Trustee, any Agent and the Company shall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(7) The Trustee will authenticate Global Notes and Definitive Notes in accordance with the provisions of Section 3.1 hereof. </w:t>
      </w:r>
    </w:p>
    <w:p>
      <w:pPr>
        <w:pStyle w:val="TextBody"/>
        <w:bidi w:val="0"/>
        <w:spacing w:before="120" w:after="0"/>
        <w:jc w:val="left"/>
        <w:rPr>
          <w:rFonts w:ascii="Times New Roman" w:hAnsi="Times New Roman"/>
          <w:sz w:val="20"/>
        </w:rPr>
      </w:pPr>
      <w:r>
        <w:rPr>
          <w:rFonts w:ascii="Times New Roman" w:hAnsi="Times New Roman"/>
          <w:sz w:val="20"/>
        </w:rPr>
        <w:t xml:space="preserve">(8) All certifications, certificates and Opinions of Counsel required to be submitted to the Registrar pursuant to this Section 3.2 to effect a registration of transfer or exchange may be submitted by facsimile. </w:t>
      </w:r>
    </w:p>
    <w:p>
      <w:pPr>
        <w:pStyle w:val="TextBody"/>
        <w:bidi w:val="0"/>
        <w:spacing w:before="120" w:after="0"/>
        <w:jc w:val="left"/>
        <w:rPr>
          <w:rFonts w:ascii="Times New Roman" w:hAnsi="Times New Roman"/>
          <w:sz w:val="20"/>
        </w:rPr>
      </w:pPr>
      <w:r>
        <w:rPr>
          <w:rFonts w:ascii="Times New Roman" w:hAnsi="Times New Roman"/>
          <w:sz w:val="20"/>
        </w:rPr>
        <w:t xml:space="preserve">(i) The transferor shall also provide or cause to be provided to the Trustee all information necessary to allow the Trustee to comply with any applicable tax reporting obligations, including without limitation any cost basis reporting obligations under Internal Revenue Code Section 6045. The Trustee may rely on the information provided to it and shall have no responsibility to verify or ensure the accuracy of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(j) None of the Trustee 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(k) None of the Trustee or any Agent shall have any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optional redemption) or the payment of any amount, under or with respect to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NOTES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Article III of the Base Indenture, as amended by the provisions of this Sixteenth Supplemental Indenture, shall apply to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Optional Redemption of Notes. </w:t>
      </w:r>
    </w:p>
    <w:p>
      <w:pPr>
        <w:pStyle w:val="TextBody"/>
        <w:bidi w:val="0"/>
        <w:spacing w:before="120" w:after="0"/>
        <w:jc w:val="left"/>
        <w:rPr>
          <w:rFonts w:ascii="Times New Roman" w:hAnsi="Times New Roman"/>
          <w:sz w:val="20"/>
        </w:rPr>
      </w:pPr>
      <w:r>
        <w:rPr>
          <w:rFonts w:ascii="Times New Roman" w:hAnsi="Times New Roman"/>
          <w:sz w:val="20"/>
        </w:rPr>
        <w:t>Prior to the Par Call Date, the Company may redeem the Notes at its option, in whole or in part, at any time and from time to time, at a redemption price (expressed as a percentage of principal amount and rounded to three decimal places) (the “</w:t>
      </w:r>
      <w:r>
        <w:rPr>
          <w:rFonts w:ascii="Times New Roman" w:hAnsi="Times New Roman"/>
          <w:b/>
          <w:sz w:val="20"/>
        </w:rPr>
        <w:t>Redemption Price</w:t>
      </w:r>
      <w:r>
        <w:rPr>
          <w:rFonts w:ascii="Times New Roman" w:hAnsi="Times New Roman"/>
          <w:sz w:val="20"/>
        </w:rPr>
        <w:t xml:space="preserve">”)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but excluding, the Redemption Date; and (ii) 100% of the principal amount of the Notes; plus, in either case, accrued and unpaid interest thereon to, but excluding, the Redemption Date. Notwithstanding the foregoing, if the Notes are redeemed on or after the Par Call Date, the Company may redeem the Notes, in whole or in part, at any time and from time to time, at a Redemption Price equal to 100% of the principal amount of the Notes being redeemed plus accrued and unpaid interest thereon to, but excluding, the Redemption Date. Notwithstanding the foregoing, if the Redemption Date falls after a Record Date and on or prior to the corresponding Interest Payment Date, the Company will pay the full amount of accrued and unpaid interest, if any, on such Interest Payment Date to the Holder of record at the close of business on the corresponding Record Date (instead of the Holder surrendering its Notes for redemption). The Company shall not redeem the Notes pursuant to this Section 4.1 if on any date the principal amount of the Notes has been accelerated, and such acceleration has not been rescinded or cured on or prior to such date. 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Notice of Optional Redemption, Selection of Notes. </w:t>
      </w:r>
    </w:p>
    <w:p>
      <w:pPr>
        <w:pStyle w:val="TextBody"/>
        <w:bidi w:val="0"/>
        <w:spacing w:before="120" w:after="0"/>
        <w:jc w:val="left"/>
        <w:rPr>
          <w:rFonts w:ascii="Times New Roman" w:hAnsi="Times New Roman"/>
          <w:sz w:val="20"/>
        </w:rPr>
      </w:pPr>
      <w:r>
        <w:rPr>
          <w:rFonts w:ascii="Times New Roman" w:hAnsi="Times New Roman"/>
          <w:sz w:val="20"/>
        </w:rPr>
        <w:t xml:space="preserve">(a) In case the Company shall desire to exercise the right to redeem all or, as the case may be, any part of the Notes pursuant to Section 4.1, it shall fix a date for redemption and it or, at its written request received by the Trustee not fewer than five Business Days prior (or such shorter period of time as may be acceptable to the Trustee) to the date the notice of redemption is to be sent, the Trustee in the name of and at the expense of the Company, shall mail or cause to be mailed, or sent by electronic transmission, a notice of such redemption not fewer than ten calendar days but not more than sixty calendar days prior to the Redemption Date to each Holder of Notes to be redeemed at its last address as the same appears on the Register; </w:t>
      </w:r>
      <w:r>
        <w:rPr>
          <w:rFonts w:ascii="Times New Roman" w:hAnsi="Times New Roman"/>
          <w:i/>
          <w:sz w:val="20"/>
        </w:rPr>
        <w:t>provided</w:t>
      </w:r>
      <w:r>
        <w:rPr>
          <w:rFonts w:ascii="Times New Roman" w:hAnsi="Times New Roman"/>
          <w:sz w:val="20"/>
        </w:rPr>
        <w:t xml:space="preserve"> that if the Company makes such request of the Trustee, it shall, together with such request, also give written notice of the Redemption Date to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text of the notice shall be prepared by the Company. Such mailing shall be by first class mail or by electronic transmission. The notice, if sent in the manner herein provided, shall be conclusively presumed to have been duly given, whether or not the Holder receives such notice. In any case, failure to give such notice by mail or electronic submission or any defect in the notice to the Holder of any Note designated for redemption as a whole or in part shall not affect the validity of the proceedings for the redemption of any other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such notice of redemption shall specify: (i) the aggregate principal amount of Notes to be redeemed, (ii) the CUSIP number or numbers of the Notes being redeemed, (iii) the Redemption Date (which shall be a Business Day), (iv) the Redemption Price at which Notes are to be redeemed, (v) the place or places of payment and that payment will be made upon presentation and surrender of such Notes and (vi) that interest accrued and unpaid to, but excluding, the Redemption Date will be paid as specified in said notice, and that on and after said date interest thereon or on the portion thereof to be redeemed will cease to accrue. If fewer than all the Notes are to be redeemed, the notice of redemption shall identify the Notes to be redeemed (including CUSIP numbers, if any). In case any Note is to be redeemed in part only, the notice of redemption shall state the portion of the principal amount thereof to be redeemed and shall state that, on and after the Redemption Date, upon surrender of such Note, a new Note or Note in principal amount equal to the unredeemed portion thereof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(c) On or prior to the Redemption Date specified in the notice of redemption given as provided in this Section 4.2, the Company will deposit with the Paying Agent (or, if the Company is acting as its own Paying Agent, set aside, segregate and hold in trust as provided in Section 2.5 of the Base Indenture) an amount of money in immediately available funds sufficient to redeem on the Redemption Date all the Notes (or portions thereof) so called for redemption at the appropriate Redemption Price; </w:t>
      </w:r>
      <w:r>
        <w:rPr>
          <w:rFonts w:ascii="Times New Roman" w:hAnsi="Times New Roman"/>
          <w:i/>
          <w:sz w:val="20"/>
        </w:rPr>
        <w:t>provided</w:t>
      </w:r>
      <w:r>
        <w:rPr>
          <w:rFonts w:ascii="Times New Roman" w:hAnsi="Times New Roman"/>
          <w:sz w:val="20"/>
        </w:rPr>
        <w:t xml:space="preserve"> that if such payment is made on the Redemption Date, it must be received by the Paying Agent, by 11:00 a.m., New York City time, on such date. The Company shall be entitled to retain any interest, yield or gain on amounts deposited with the Paying Agent pursuant to this Section 4.2 in excess of amounts required hereunder to pay the Redemption Price (it being acknowledged that the Trustee has no obligation to invest any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If less than all of the outstanding Notes are to be redeemed, the Trustee will select, on a </w:t>
      </w:r>
      <w:r>
        <w:rPr>
          <w:rFonts w:ascii="Times New Roman" w:hAnsi="Times New Roman"/>
          <w:i/>
          <w:sz w:val="20"/>
        </w:rPr>
        <w:t>pro rata</w:t>
      </w:r>
      <w:r>
        <w:rPr>
          <w:rFonts w:ascii="Times New Roman" w:hAnsi="Times New Roman"/>
          <w:sz w:val="20"/>
        </w:rPr>
        <w:t xml:space="preserve"> basis, by lot or such other method it deems fair and appropriate or as required by the Depositary for Global Notes, subject to Applicable Procedures (in the case of Global Notes), the Notes or portions thereof of the Global Notes or the Notes in certificated form to be redeemed (in minimum denominations of $2,000 and integral multiples of $1,000 in excess thereof). The Notes (or portions thereof) so selected for redemption shall be deemed duly selected for redemption for all purposes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Payment of Notes Called for Redemption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If notice of redemption has been given as provided in Section 4.2, the Notes or portion of Notes with respect to which such notice has been given shall become due and payable and if the Paying Agent holds funds sufficient to pay the Redemption Price of the Notes on the Redemption Date and at the place or places stated in such notice at the Redemption Price, and unless the Company defaults in the payment of the Redemption Price, then on and after such date (i) interest will cease to accrue on any Notes called for redemption at the Redemption Date, (ii) on and after the Redemption Date (unless the Company defaults in the payment of the Redemption Price) such Notes shall cease to be entitled to any benefit or security under the Indenture and (iii) the Holders thereof shall have no right in respect of such Notes except the right to receive the Redemption Price thereof. On presentation and surrender of such Notes at a place of payment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said notice specified, the said Notes or the specified portions thereof shall be paid and redeemed by the Company at the Redemption Price, together with interest accrued thereon to, but excluding, the Redemption Date. Such will be the case whether or not book-entry transfer of the Notes in book-entry form is made and whether or not the Notes in certificated form, together with necessary endorsements, are delivered to the Paying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 Redemption Date falls after a Record Date and on or prior to the corresponding Interest Payment Date, the Company will pay the full amount of accrued and unpaid interest and premium, if any, due on such Interest Payment Date to the Holder of record at the close of business on the corresponding Record Date. </w:t>
      </w:r>
    </w:p>
    <w:p>
      <w:pPr>
        <w:pStyle w:val="TextBody"/>
        <w:bidi w:val="0"/>
        <w:spacing w:before="120" w:after="0"/>
        <w:jc w:val="left"/>
        <w:rPr>
          <w:rFonts w:ascii="Times New Roman" w:hAnsi="Times New Roman"/>
          <w:sz w:val="20"/>
        </w:rPr>
      </w:pPr>
      <w:r>
        <w:rPr>
          <w:rFonts w:ascii="Times New Roman" w:hAnsi="Times New Roman"/>
          <w:sz w:val="20"/>
        </w:rPr>
        <w:t xml:space="preserve">(b) Upon presentation of any Note redeemed in part only, the Company shall execute and the Trustee shall authenticate and make available for delivery to the Holder thereof, at the expense of the Company, a new Note or Notes, of authorized denominations, in principal amount equal to the unredeemed portion of the Notes so presented.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Sections 5.1, 5.2 and 5.3 hereof shall replace Sections 12.1, 12.2 and 12.3 of the Base Indenture with respect to the Notes and the Note Guarantee.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Note Guarantee.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this Article 5, each Guarantor hereby fully and unconditionally guarantees, on a joint and several basis, to each Holder of a Note authenticated and delivered by the Trustee and to the Trustee and its successors and assigns, that: </w:t>
      </w:r>
    </w:p>
    <w:p>
      <w:pPr>
        <w:pStyle w:val="TextBody"/>
        <w:bidi w:val="0"/>
        <w:spacing w:before="120" w:after="0"/>
        <w:jc w:val="left"/>
        <w:rPr>
          <w:rFonts w:ascii="Times New Roman" w:hAnsi="Times New Roman"/>
          <w:sz w:val="20"/>
        </w:rPr>
      </w:pPr>
      <w:r>
        <w:rPr>
          <w:rFonts w:ascii="Times New Roman" w:hAnsi="Times New Roman"/>
          <w:sz w:val="20"/>
        </w:rPr>
        <w:t xml:space="preserve">(1) the principal of, premium, if any, and interest, if any, on the Notes will be promptly paid in full when due, whether at maturity, by acceleration, redemption or otherwise, and interest on the overdue principal of, premium on, if any, irrespective of the validity and enforceability of the Indenture, the Notes or the obligations of the Company under the Indenture or the Notes, and interest, if any, on, the Notes, if lawful, and all other obligations of the Company to the Holders or the Trustee under the Indenture or the Notes (including fees and expenses) will be promptly paid in full or performed, all in accordance with the terms under the Indenture or the Notes; and </w:t>
      </w:r>
    </w:p>
    <w:p>
      <w:pPr>
        <w:pStyle w:val="TextBody"/>
        <w:bidi w:val="0"/>
        <w:spacing w:before="120" w:after="0"/>
        <w:jc w:val="left"/>
        <w:rPr>
          <w:rFonts w:ascii="Times New Roman" w:hAnsi="Times New Roman"/>
          <w:sz w:val="20"/>
        </w:rPr>
      </w:pPr>
      <w:r>
        <w:rPr>
          <w:rFonts w:ascii="Times New Roman" w:hAnsi="Times New Roman"/>
          <w:sz w:val="20"/>
        </w:rPr>
        <w:t xml:space="preserve">(2) in case of any extension of time of payment or renewal of any Notes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Failing payment when due of any amount so guaranteed or any performance so guaranteed for whatever reason, each Guarantor will be obligated to pay the same immediately. Each Guarantor agrees that this is a guarantee of payment and not a guarantee of collection. </w:t>
      </w:r>
    </w:p>
    <w:p>
      <w:pPr>
        <w:pStyle w:val="TextBody"/>
        <w:bidi w:val="0"/>
        <w:spacing w:before="120" w:after="0"/>
        <w:jc w:val="left"/>
        <w:rPr>
          <w:rFonts w:ascii="Times New Roman" w:hAnsi="Times New Roman"/>
          <w:sz w:val="20"/>
        </w:rPr>
      </w:pPr>
      <w:r>
        <w:rPr>
          <w:rFonts w:ascii="Times New Roman" w:hAnsi="Times New Roman"/>
          <w:sz w:val="20"/>
        </w:rPr>
        <w:t xml:space="preserve">(b) Each Guarantor hereby agrees that its obligations under the Indenture and the Notes are full and unconditional, irrespective of the validity, regularity or enforceability of the Indenture or the Notes, the absence of any action to enforce the same, any waiver or consent by any Holder of the Notes with respect to any provisions of the Indenture or the Notes, the recovery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judgment against the Company, any action to enforce the same or any other circumstance which might otherwise constitute a legal or equitable discharge or defense of such Guarantor. Each Guarantor hereby agrees that in the event of a default in payment of the principal of or interest on the Notes entitled to the Guarantee, whether at the Stated Maturity or by declaration of acceleration, call for redemption or otherwise, legal proceedings may be instituted by the Trustee on behalf of the Holders or, subject to Section 6.7 of the Base Indenture, by the Holders, on the terms and conditions set forth in the Indenture, directly against such Guarantor to enforce the Guarantee without first proceeding against the Company. Each Guarantor hereby (i) waives diligence, presentment, demand of payment, filing of claims with a court in the event of insolvency or bankruptcy of the Company, any right to require a proceeding first against the Company, protest, notice and all demands whatsoever, (ii) acknowledges that any agreement, instrument or document evidencing the Guarantee may be transferred and that the benefit of its obligations hereunder shall extend to each holder of any agreement, instrument or document evidencing the Guarantee without notice to it and (iii) covenants that this Note Guarantee will not be discharged except by complete performance of the obligations contained in the Indenture and the Notes. </w:t>
      </w:r>
    </w:p>
    <w:p>
      <w:pPr>
        <w:pStyle w:val="TextBody"/>
        <w:bidi w:val="0"/>
        <w:spacing w:before="120" w:after="0"/>
        <w:jc w:val="left"/>
        <w:rPr>
          <w:rFonts w:ascii="Times New Roman" w:hAnsi="Times New Roman"/>
          <w:sz w:val="20"/>
        </w:rPr>
      </w:pPr>
      <w:r>
        <w:rPr>
          <w:rFonts w:ascii="Times New Roman" w:hAnsi="Times New Roman"/>
          <w:sz w:val="20"/>
        </w:rPr>
        <w:t xml:space="preserve">(c) If any Holder or the Trustee is required by any court or otherwise to return to the Company, any Guarantor or any custodian, trustee, liquidator or other similar official acting in relation to either the Company or such Guarantor, any amount paid by either to the Trustee or such Holder, this Note Guarantee, to the extent theretofore discharged, will be reinstated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(d) Each Guarantor agrees that it will not be entitled to any right of subrogation in relation to the Holders in respect of any obligations guaranteed hereby until payment in full of all obligations guaranteed hereby. Each Guarantor further agrees that, as between such Guarantor, on the one hand, and the Holders and the Trustee, on the other hand, (1) the maturity of the obligations guaranteed hereby may be accelerated as provided in Article VII for the purposes of this Note Guarantee, notwithstanding any stay, injunction or other prohibition preventing such acceleration in respect of the obligations guaranteed hereby, and (2) in the event of any declaration of acceleration of such obligations as provided in Article VII, such obligations (whether or not due and payable) will forthwith become due and payable by such Guarantor for the purpose of this Note Guarantee.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Execution and Delivery of Note Guarantee. </w:t>
      </w:r>
    </w:p>
    <w:p>
      <w:pPr>
        <w:pStyle w:val="TextBody"/>
        <w:bidi w:val="0"/>
        <w:spacing w:before="120" w:after="0"/>
        <w:jc w:val="left"/>
        <w:rPr>
          <w:rFonts w:ascii="Times New Roman" w:hAnsi="Times New Roman"/>
          <w:sz w:val="20"/>
        </w:rPr>
      </w:pPr>
      <w:r>
        <w:rPr>
          <w:rFonts w:ascii="Times New Roman" w:hAnsi="Times New Roman"/>
          <w:sz w:val="20"/>
        </w:rPr>
        <w:t xml:space="preserve">To evidence its Note Guarantee set forth in Section 5.1, each Guarantor hereby agrees that this Sixteenth Supplemental Indenture will be executed on its behalf by one of its Officers. If an Officer of such Guarantor whose signature is on this Sixteenth Supplemental Indenture no longer holds that office at the time the Trustee authenticates the Note on which the Note Guarantee of such Guarantor is endorsed, such Note Guarantee will be valid nevertheless. The delivery of any Note by the Trustee, after the authentication thereof hereunder, will constitute due delivery of the Note Guarantee set forth in this Sixteenth Supplemental Indenture on behalf of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Limitation of Guarantors’ Liability. </w:t>
      </w:r>
    </w:p>
    <w:p>
      <w:pPr>
        <w:pStyle w:val="TextBody"/>
        <w:bidi w:val="0"/>
        <w:spacing w:before="120" w:after="0"/>
        <w:jc w:val="left"/>
        <w:rPr>
          <w:rFonts w:ascii="Times New Roman" w:hAnsi="Times New Roman"/>
          <w:sz w:val="20"/>
        </w:rPr>
      </w:pPr>
      <w:r>
        <w:rPr>
          <w:rFonts w:ascii="Times New Roman" w:hAnsi="Times New Roman"/>
          <w:sz w:val="20"/>
        </w:rPr>
        <w:t xml:space="preserve">Each Guarantor, and by its acceptance of Notes, each Holder, hereby confirms that it is the intention of all such parties that the Note Guarantee of each Guarantor not constitute a fraudulent transfer or conveyance for purposes of Bankruptcy Law, the Uniform Fraudulent Conveyance Act, the Uniform Fraudulent Transfer Act or any similar federal or state law to the extent applicable to the Note Guarantee. To effectuate the foregoing intention, the Trustee, the Holders and each Guarantor hereby irrevocably agree that the obligations of each Guarantor will be limited to the maximum amount that will not, after giving effect to all other contingent and fixed liabilities of such Guarantor that are relevant under such laws, result in the obligations of such Guarantor under its Note Guarantee constituting a fraudulent transfer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Application of Certain Terms and Provisions to the Guarantors.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any provision of the Indenture which provides for the delivery by any Guarantor of an Officer’s Certificate and/or an Opinion of Counsel, the definitions of such terms in Section 1.2 shall apply to such Guarantor as if references therein to the Company were references to such Guarantor. </w:t>
      </w:r>
    </w:p>
    <w:p>
      <w:pPr>
        <w:pStyle w:val="TextBody"/>
        <w:bidi w:val="0"/>
        <w:spacing w:before="120" w:after="0"/>
        <w:jc w:val="left"/>
        <w:rPr>
          <w:rFonts w:ascii="Times New Roman" w:hAnsi="Times New Roman"/>
          <w:sz w:val="20"/>
        </w:rPr>
      </w:pPr>
      <w:r>
        <w:rPr>
          <w:rFonts w:ascii="Times New Roman" w:hAnsi="Times New Roman"/>
          <w:sz w:val="20"/>
        </w:rPr>
        <w:t xml:space="preserve">(b) Any notice or demand which by any provision of the Indenture is required or permitted to be given or served by the Trustee or by the Holders of Notes to or on any Guarantor may be given or served as described in Section 10.2 of the Base Indenture as if references therein to the Company were references to such Guarantor. </w:t>
      </w:r>
    </w:p>
    <w:p>
      <w:pPr>
        <w:pStyle w:val="TextBody"/>
        <w:bidi w:val="0"/>
        <w:spacing w:before="120" w:after="0"/>
        <w:jc w:val="left"/>
        <w:rPr>
          <w:rFonts w:ascii="Times New Roman" w:hAnsi="Times New Roman"/>
          <w:sz w:val="20"/>
        </w:rPr>
      </w:pPr>
      <w:r>
        <w:rPr>
          <w:rFonts w:ascii="Times New Roman" w:hAnsi="Times New Roman"/>
          <w:sz w:val="20"/>
        </w:rPr>
        <w:t xml:space="preserve">(c) Upon any demand, request or application by any Guarantor to the Trustee to take any action under the Indenture, such Guarantor shall furnish to the Trustee such Officer’s Certificate and Opinion of Counsel as are required in Section 10.1 as if all references therein to the Company were references to such Guarantor.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covenants set forth in Sections 4.1, 4.3 and 4.4 of the Base Indenture and the following additional covenants shall apply with respect to the Notes so long as any of the Notes remain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Limitations on Incurrence of Debt.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Limitation on Total Outstanding Debt</w:t>
      </w:r>
      <w:r>
        <w:rPr>
          <w:rFonts w:ascii="Times New Roman" w:hAnsi="Times New Roman"/>
          <w:sz w:val="20"/>
        </w:rPr>
        <w:t xml:space="preserve">. The Company will not, and will not permit any Subsidiary to, incur any Debt (including, without limitation, Acquired Debt) if, immediately after giving effect to the incurrence of such Debt and the application of the proceeds from such Debt on a pro forma basis, the aggregate principal amount of all of the Company’s and its Subsidiaries’ outstanding Debt is greater than 60% of the sum of the following (without duplication): (1) the Company’s and its Subsidiaries’ Total Assets as of the last day of the then most recently ended fiscal quarter covered in the Parent’s annual or quarterly report most recently furnished to Holders of the Notes or filed with the SEC, as the case may be, and (2) the aggregate purchase price of any real estate assets or mortgages receivable acquired, and the aggregate amount of any securities offering proceeds received (to the extent such proceeds were not used to acquire real estate assets or mortgages receivable or used to reduce Debt), by the Company or any Subsidiary since the end of such fiscal quarter, including the proceeds obtained from the incurrence of such additional Debt and any substantially concurrent offering of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Limitation on Secured Debt</w:t>
      </w:r>
      <w:r>
        <w:rPr>
          <w:rFonts w:ascii="Times New Roman" w:hAnsi="Times New Roman"/>
          <w:sz w:val="20"/>
        </w:rPr>
        <w:t xml:space="preserve">. The Company will not, and will not permit any of its Subsidiaries to, incur any Debt (including, without limitation, Acquired Debt) secured by any Lien on any of its or any of its Subsidiaries’ property or assets, whether owned on the date of the Indenture or subsequently acquired, if, immediately after giving effect to the incurrence of such Debt and the application of the proceeds from such Debt on a pro forma basis, the aggregate principal amount of all of the Company’s and its Subsidiaries’ outstanding Debt which is secured by a Lien on any of its or its Subsidiaries’ property or assets is greater than 40% of the sum of (without duplication): (1) the Company’s and its Subsidiaries’ Total Assets as of the last day of the then most recently ended fiscal quarter covered in the Parent’s annual or quarterly report most recently furnished to Holders of the Notes or filed with the SEC, as the case may be; and (2) the aggregate purchase price of any real estate assets or mortgages receivable acquired, and the aggregate amount of any securities offering proceeds received (to the extent such proceeds were not used to acquire real estate assets or mortgages receivable or used to reduce Debt), by the Company or any of its Subsidiaries since the end of such fiscal quarter, including the proceeds obtained from the incurrence of such additional Debt and any substantially concurrent offering of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Debt Service Test</w:t>
      </w:r>
      <w:r>
        <w:rPr>
          <w:rFonts w:ascii="Times New Roman" w:hAnsi="Times New Roman"/>
          <w:sz w:val="20"/>
        </w:rPr>
        <w:t xml:space="preserve">. The Company will not, and will not permit any of its Subsidiaries to, incur any Debt (including without limitation Acquired Debt) if the ratio of the Company’s and its Subsidiaries’ EBITDA to the Company’s and its Subsidiaries’ Interest Expense for the period consisting of the four consecutive fiscal quarters ending with the latest quarter covered in the Parent’s annual or quarterly report most recently furnished to Holders of the Notes or filed with the SEC, as the case may be, most recently ended prior to the date on which such additional Debt is to be incurred shall have been less than 1.5:1 on a pro forma basis after giving effect to the incurrence of such Debt and the application of the proceeds from such Debt, and calculated on the following assumptions: </w:t>
      </w:r>
    </w:p>
    <w:p>
      <w:pPr>
        <w:pStyle w:val="TextBody"/>
        <w:bidi w:val="0"/>
        <w:spacing w:before="120" w:after="0"/>
        <w:jc w:val="left"/>
        <w:rPr>
          <w:rFonts w:ascii="Times New Roman" w:hAnsi="Times New Roman"/>
          <w:sz w:val="20"/>
        </w:rPr>
      </w:pPr>
      <w:r>
        <w:rPr>
          <w:rFonts w:ascii="Times New Roman" w:hAnsi="Times New Roman"/>
          <w:sz w:val="20"/>
        </w:rPr>
        <w:t xml:space="preserve">(1) such Debt and any other Debt (including, without limitation, Acquired Debt) incurred by the Company or any of its Subsidiaries since the first day of such four-quarter period had been incurred, and the application of the proceeds from such Debt (including to repay or retire other Debt) had occurred, on the first day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(2) the repayment or retirement of any other Debt of the Company or any of its Subsidiaries since the first day of such four-quarter period had occurred on the first day of such period (except that, in making this computation, the amount of Debt under any revolving credit facility, line of credit or similar facility will be computed based upon the average daily balance of such Debt during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any acquisition or disposition by the Company or any of its Subsidiaries of any asset or group of assets with a fair market value (as determined by the Company in its reasonable discretion) in excess of $1,000,000 since the first day of such four-quarter period, whether by merger, stock purchase or sale or asset purchase or sale or otherwise, such acquisition or disposition had occurred as of the first day of such period with the appropriate adjustments with respect to such acquisition or disposition being included in such pro forma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Debt giving rise to the need to make the calculation described in this </w:t>
      </w:r>
      <w:r>
        <w:rPr>
          <w:rFonts w:ascii="Times New Roman" w:hAnsi="Times New Roman"/>
          <w:sz w:val="20"/>
          <w:u w:val="single"/>
        </w:rPr>
        <w:t>Section 6.1</w:t>
      </w:r>
      <w:r>
        <w:rPr>
          <w:rFonts w:ascii="Times New Roman" w:hAnsi="Times New Roman"/>
          <w:sz w:val="20"/>
        </w:rPr>
        <w:t xml:space="preserve"> or any other Debt incurred after the first day of the relevant four-quarter period bears interest at a floating rate, then, for purposes of calculating the Interest Expense, the interest rate on such Debt will be computed on a pro forma basis by applying the average daily rate which would have been in effect during the entire four quarter period to the greater of the amount of such Debt outstanding at the end of such period or the average amount of such Debt outstanding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Maintenance of Total Unencumbered Assets</w:t>
      </w:r>
      <w:r>
        <w:rPr>
          <w:rFonts w:ascii="Times New Roman" w:hAnsi="Times New Roman"/>
          <w:sz w:val="20"/>
        </w:rPr>
        <w:t xml:space="preserve">. The Company will not have at any time Total Unencumbered Assets of less than 150% of the aggregate principal amount of all of its and its Subsidiaries’ outstanding Unsecured Debt determined on a consolidated basis in accordance with GAAP.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Existence. </w:t>
      </w:r>
    </w:p>
    <w:p>
      <w:pPr>
        <w:pStyle w:val="TextBody"/>
        <w:bidi w:val="0"/>
        <w:spacing w:before="120" w:after="0"/>
        <w:jc w:val="left"/>
        <w:rPr>
          <w:rFonts w:ascii="Times New Roman" w:hAnsi="Times New Roman"/>
          <w:sz w:val="20"/>
        </w:rPr>
      </w:pPr>
      <w:r>
        <w:rPr>
          <w:rFonts w:ascii="Times New Roman" w:hAnsi="Times New Roman"/>
          <w:sz w:val="20"/>
        </w:rPr>
        <w:t xml:space="preserve">Except as permitted by Section 6.3, the Company will do or cause to be done all things necessary to preserve and keep in full force and effect its existence, rights (charter and statutory) and franchises, and each Guarantor will do or cause to be done all things necessary to preserve and keep in full force and effect its existence, rights (charter and statutory) and franchises;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neither the Company nor any Guarantor will be required to preserve any right or franchise if the Parent’s board of directors (or any duly authorized committee of that board of directors), as the case may be, determines that the preservation of the right or franchise is no longer desirable in the conduct of the Company or such Guarantor’s business.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Merger, Consolidation or Sale.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each of the Guarantors may consolidate with, or sell, lease or convey all or substantially all of the Company’s or its assets to, or merge with or into, any other entity, </w:t>
      </w:r>
      <w:r>
        <w:rPr>
          <w:rFonts w:ascii="Times New Roman" w:hAnsi="Times New Roman"/>
          <w:i/>
          <w:sz w:val="20"/>
        </w:rPr>
        <w:t>provided</w:t>
      </w:r>
      <w:r>
        <w:rPr>
          <w:rFonts w:ascii="Times New Roman" w:hAnsi="Times New Roman"/>
          <w:sz w:val="20"/>
        </w:rPr>
        <w:t xml:space="preserve"> that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or such Guarantor, as the case may be, shall be the continuing entity, or the successor entity (if other than the Company or such Guarantor, as the case may be) formed by or resulting from any consolidation or merger or which shall have received the transfer of assets shall be domiciled in the United States, any state thereof or the District of Columbia and in the case of the Company shall expressly assume by supplemental indenture payment of the principal of and interest on all of the Notes and the due and punctual performance and observance of all of the covenants and conditions in the Indenture or, in the case of such Guarantor, shall expressly assume by supplemental indenture the payment of all amounts due under such Guarantor’s Note Guarantee and the due and punctual performance and observance of all of the covenants and conditions of such Guarantor in the Indenture and the Note Guarantee,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the transaction, no Event of Default under the Indenture, and no event which, after notice or the lapse of time, or both, would become an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(c) an Officer’s Certificate and Opinion of Counsel covering these conditions shall be delivered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any transaction described in and complying with the conditions listed in this Section 6.3 in which the Company and/or any Guarantor are not the continuing entity, the successor person formed or remaining shall succeed, and be substituted for, and may exercise every right and power of the Company and/or such Guarantor, and the Company and/or such Guarantor shall be discharged from its or their obligations under the Notes and the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Payment of Taxes and Other Claims.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each Guarantor will each pay or discharge or cause to be paid or discharged before it becomes delinquent: (i) all taxes, assessments and governmental charges levied or imposed on it or any of its Subsidiaries or on its or any such Subsidiary’s income, profits or property; and (ii) all lawful claims for labor, materials and supplies that, if unpaid, might by law become a Lien upon its property or the property of any of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neither the Company nor any Guarantor will be required to pay or discharge or cause to be paid or discharged any tax, assessment, charge or claim the amount, applicability or validity of which is being contested in good faith.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 For as long as the Notes are outstanding, the Parent will file with the Trustee, within 15 days after the Parent is required to file the same with the SEC, copies of the annual and quarterly reports and the information, documents and other reports (or copies of such portions of any of the foregoing as the SEC may from time to time by rules and regulations prescribe) that the Parent may be required to file with the SEC pursuant to Section 13 or Section 15(d) of the Exchange Act; or, if the Parent is not required to file information, documents or reports with the SEC pursuant to either Section 13 or Section 15(d) of the Exchange Act, the Parent will file with the Trustee and the SEC, in accordance with any other rules and regulations that may be prescribed from time to time by the SEC, such annual and quarterly reports and supplementary and periodic information, documents and reports that may be required pursuant to Section 13 of the Exchange Act, in respect of a security listed and registered on a national securities exchange as may be prescribed from time to time by the SEC in such rules and regulations. </w:t>
      </w:r>
    </w:p>
    <w:p>
      <w:pPr>
        <w:pStyle w:val="TextBody"/>
        <w:bidi w:val="0"/>
        <w:spacing w:before="120" w:after="0"/>
        <w:jc w:val="left"/>
        <w:rPr>
          <w:rFonts w:ascii="Times New Roman" w:hAnsi="Times New Roman"/>
          <w:sz w:val="20"/>
        </w:rPr>
      </w:pPr>
      <w:r>
        <w:rPr>
          <w:rFonts w:ascii="Times New Roman" w:hAnsi="Times New Roman"/>
          <w:sz w:val="20"/>
        </w:rPr>
        <w:t>(b) In addition to clause (a) above, for as long as the Notes are outstanding, if at any time the Parent is not subject to Section 13 or Section 15(d) of the Exchange Act and the Parent is not providing annual and quarterly reports and supplementary and periodic information, documents and reports to the SEC and the Trustee pursuant to the previous paragraph, the Parent will, at its option, either (i) post on a publicly available website or (ii) post on IntraLinks or any comparable password protected online data system requiring user identification and a confidentiality acknowledgement (a “</w:t>
      </w:r>
      <w:r>
        <w:rPr>
          <w:rFonts w:ascii="Times New Roman" w:hAnsi="Times New Roman"/>
          <w:b/>
          <w:sz w:val="20"/>
        </w:rPr>
        <w:t>Confidential Datasite</w:t>
      </w:r>
      <w:r>
        <w:rPr>
          <w:rFonts w:ascii="Times New Roman" w:hAnsi="Times New Roman"/>
          <w:sz w:val="20"/>
        </w:rPr>
        <w:t xml:space="preserve">”), within 15 days of the filing date that would be applicable to a non-accelerated filer at that time pursuant to applicable SEC rules and regulations, the quarterly and audited annual financial statements and accompanying disclosure described in Item 303 of Regulation S-K (“management’s discussion and analysis of financial condition and results of operations”) that would be required to be contained in annual reports on Form 10-K and quarterly reports on Form 10-Q, respectively, required to be filed with the SEC if the Parent were subject to Section 13(a) or Section 15(d) of the Exchange Act. If the Parent elects to furnish such reports via a Confidential Datasite, access to such Confidential Datasite will be provided promptly upon request to Holders and beneficial owners of, and bona fide potential investors in, the Notes as well as securities analysts and market makers and no such request for access to such Confidential Datasite will be unreasonably denied.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Reports and other documents filed by the Parent with the SEC and publicly available via the EDGAR system, a publicly available website or a Confidential Datasite will be deemed to be delivered to the Trustee as of the time such filing is publicly available via EDGAR, such publicly available website or such Confidential Datasite for purposes of this </w:t>
      </w:r>
      <w:r>
        <w:rPr>
          <w:rFonts w:ascii="Times New Roman" w:hAnsi="Times New Roman"/>
          <w:sz w:val="20"/>
          <w:u w:val="single"/>
        </w:rPr>
        <w:t>Section 6.5</w:t>
      </w:r>
      <w:r>
        <w:rPr>
          <w:rFonts w:ascii="Times New Roman" w:hAnsi="Times New Roman"/>
          <w:sz w:val="20"/>
        </w:rPr>
        <w:t xml:space="preserve">. Delivery of such reports, information and documents to the Trustee is for informational purposes only and the Trustee’s receipt of such shall not constitute constructive notice of any information contained therein or determinable from information contained therein, including its compliance with any of its covenants under the Indenture relating to the Notes (as to which the Trustee is entitled to conclusively rely on an Officer’s Certificate). The Trustee shall not be obligated to monitor or confirm on a continuing basis or otherwise our compliance with the covenants or with respect to any reports or other documents filed with the SEC under the indenture. In addition, if the Company becomes an SEC filer, the reports of the Company will be deemed to satisfy this </w:t>
      </w:r>
      <w:r>
        <w:rPr>
          <w:rFonts w:ascii="Times New Roman" w:hAnsi="Times New Roman"/>
          <w:sz w:val="20"/>
          <w:u w:val="single"/>
        </w:rPr>
        <w:t>Section 6.5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that any direct or indirect parent company of the Parent becomes a guarantor of the Notes, the Parent may satisfy its obligations under this </w:t>
      </w:r>
      <w:r>
        <w:rPr>
          <w:rFonts w:ascii="Times New Roman" w:hAnsi="Times New Roman"/>
          <w:sz w:val="20"/>
          <w:u w:val="single"/>
        </w:rPr>
        <w:t>Section 6.5</w:t>
      </w:r>
      <w:r>
        <w:rPr>
          <w:rFonts w:ascii="Times New Roman" w:hAnsi="Times New Roman"/>
          <w:sz w:val="20"/>
        </w:rPr>
        <w:t xml:space="preserve"> to provide financial information of the Parent by furnishing the equivalent financial information relating to such parent; </w:t>
      </w:r>
      <w:r>
        <w:rPr>
          <w:rFonts w:ascii="Times New Roman" w:hAnsi="Times New Roman"/>
          <w:i/>
          <w:sz w:val="20"/>
        </w:rPr>
        <w:t>provided</w:t>
      </w:r>
      <w:r>
        <w:rPr>
          <w:rFonts w:ascii="Times New Roman" w:hAnsi="Times New Roman"/>
          <w:sz w:val="20"/>
        </w:rPr>
        <w:t xml:space="preserve"> that such equivalent financial information is accompanied by consolidating financial information that explains in reasonable detail the differences between the information for such parent, on the one hand, and the information for the Parent and its consolidated subsidiaries, on the other hand.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Maintenance of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cause all of its properties used or useful in the conduct of its business or the business of any Subsidiary to be maintained and kept in good condition, repair and working order and supplied with all necessary equipment and cause all necessary repairs, renewals, replacements, betterments and improvements to be made, all as in the judgment of the Company may be necessary in order for the Company to at all times properly and advantageously conduct its business carried on in connection with such properties; </w:t>
      </w:r>
      <w:r>
        <w:rPr>
          <w:rFonts w:ascii="Times New Roman" w:hAnsi="Times New Roman"/>
          <w:i/>
          <w:sz w:val="20"/>
        </w:rPr>
        <w:t>provided</w:t>
      </w:r>
      <w:r>
        <w:rPr>
          <w:rFonts w:ascii="Times New Roman" w:hAnsi="Times New Roman"/>
          <w:sz w:val="20"/>
        </w:rPr>
        <w:t xml:space="preserve"> that the Company and its Subsidiaries shall be permitted to sell or transfer properties in the ordinary course of business.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Insurance.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and will cause each of its Subsidiaries to, keep in force upon all of its and each of its Subsidiaries’ properties and operations insurance policies carried with responsible companies in such amounts and covering all such risks as is customary in the industry in which the Company and its Subsidiaries do business in accordance with prevailing market conditions and availability.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General.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Article VI, Debt shall be deemed to be incurred by the Company or any of its Subsidiaries whenever the Company or such Subsidiary shall create, assume, guarantee (on a non-contingent basis) or otherwise become liable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Sections 7.1 and 7.2 hereof shall replace Sections 6.1 and 6.2 of the Base Indenture with respect to the Notes only.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Events of Default. </w:t>
      </w:r>
    </w:p>
    <w:p>
      <w:pPr>
        <w:pStyle w:val="TextBody"/>
        <w:bidi w:val="0"/>
        <w:spacing w:before="120" w:after="0"/>
        <w:jc w:val="left"/>
        <w:rPr/>
      </w:pPr>
      <w:r>
        <w:rPr/>
        <w:t>“</w:t>
      </w:r>
      <w:r>
        <w:rPr>
          <w:rFonts w:ascii="Times New Roman" w:hAnsi="Times New Roman"/>
          <w:b/>
          <w:sz w:val="20"/>
        </w:rPr>
        <w:t>Event of Default</w:t>
      </w:r>
      <w:r>
        <w:rPr>
          <w:rFonts w:ascii="Times New Roman" w:hAnsi="Times New Roman"/>
          <w:sz w:val="20"/>
        </w:rPr>
        <w:t xml:space="preserve">,” wherever used herein or in the Base Indenture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default for 30 days in the payment of any installment of interest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(b) default in the payment of the principal amount or Redemption Price due with respect to the Notes, when the same becomes due and payable;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valid extension of the Stated Maturity of the Notes in accordance with the terms of the Indenture shall not constitute a default in the payment of principal; </w:t>
      </w:r>
    </w:p>
    <w:p>
      <w:pPr>
        <w:pStyle w:val="TextBody"/>
        <w:bidi w:val="0"/>
        <w:spacing w:before="120" w:after="0"/>
        <w:jc w:val="left"/>
        <w:rPr>
          <w:rFonts w:ascii="Times New Roman" w:hAnsi="Times New Roman"/>
          <w:sz w:val="20"/>
        </w:rPr>
      </w:pPr>
      <w:r>
        <w:rPr>
          <w:rFonts w:ascii="Times New Roman" w:hAnsi="Times New Roman"/>
          <w:sz w:val="20"/>
        </w:rPr>
        <w:t xml:space="preserve">(c) failure by the Company or any of the Guarantors to comply with any of the Company’s or such Guarantor’s respective other agreements in the Notes or the Indenture with respect to the Notes upon receipt by the Company of notice of such default by the Trustee or by Holders of not less than 25% in aggregate principal amount of the Notes then outstanding and the Company’s failure to cure (or obtain a waiver of) such default within 60 days after it receives such notice; </w:t>
      </w:r>
    </w:p>
    <w:p>
      <w:pPr>
        <w:pStyle w:val="TextBody"/>
        <w:bidi w:val="0"/>
        <w:spacing w:before="120" w:after="0"/>
        <w:jc w:val="left"/>
        <w:rPr>
          <w:rFonts w:ascii="Times New Roman" w:hAnsi="Times New Roman"/>
          <w:sz w:val="20"/>
        </w:rPr>
      </w:pPr>
      <w:r>
        <w:rPr>
          <w:rFonts w:ascii="Times New Roman" w:hAnsi="Times New Roman"/>
          <w:sz w:val="20"/>
        </w:rPr>
        <w:t xml:space="preserve">(d) failure to pay any Debt (other than Non-Recourse Debt) for monies borrowed by the Company, any Guarantor or any of their respective Significant Subsidiaries in an outstanding principal amount in excess of $100,000,000 at final maturity or upon acceleration after the expiration of any applicable grace period, which Debt (other than Non-Recourse Debt) is, or has become, the primary obligation of the Company or such Guarantor and is not discharged, or such default in payment or acceleration is not cured or rescinded, within 60 days after written notice to the Company from the Trustee (or to the Company and the Trustee from Holders of at least twenty five percent (25%) in principal amount of the outstanding Notes); or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any Guarantor or any of their respective Significant Subsidiaries pursuant to or under or within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or proceeding seeking liquidation, reorganization or other relief with respect to the Company, any such Guarantor or any such Significant Subsidiary or its debts or seeking the appointment of a trustee, receiver, liquidator, custodian or other similar official of the Company, any such Guarantor or any such Significant Subsidiary or any substantial part of the property of the Company, any such Guarantor or any such Significant Subsidiary;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to any such relief or to the appointment of or taking possession by any such official in an involuntary case or other proceeding commenced against the Company, any such Guarantor or any such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(iv) makes a general assignment for the benefit of creditors; or </w:t>
      </w:r>
    </w:p>
    <w:p>
      <w:pPr>
        <w:pStyle w:val="TextBody"/>
        <w:bidi w:val="0"/>
        <w:spacing w:before="120" w:after="0"/>
        <w:jc w:val="left"/>
        <w:rPr>
          <w:rFonts w:ascii="Times New Roman" w:hAnsi="Times New Roman"/>
          <w:sz w:val="20"/>
        </w:rPr>
      </w:pPr>
      <w:r>
        <w:rPr>
          <w:rFonts w:ascii="Times New Roman" w:hAnsi="Times New Roman"/>
          <w:sz w:val="20"/>
        </w:rPr>
        <w:t xml:space="preserve">(f) an involuntary case or other proceeding shall be commenced against the Company, any Guarantor or any of their respective Significant Subsidiaries seeking liquidation, reorganization or other relief with respect to the Company, any such Guarantor or any such Significant Subsidiary or its debts under any bankruptcy, insolvency or other similar law now or hereafter in effect or seeking the appointment of a trustee, receiver, liquidator, custodian or other similar official of the Company, any such Guarantor or any such Significant Subsidiary or any substantial part of the property of the Company, any such Guarantor or any such Significant Subsidiary, and such involuntary case or other proceeding shall remain undismissed and unstayed for a period of thirty (30) calendar days; or </w:t>
      </w:r>
    </w:p>
    <w:p>
      <w:pPr>
        <w:pStyle w:val="TextBody"/>
        <w:bidi w:val="0"/>
        <w:spacing w:before="120" w:after="0"/>
        <w:jc w:val="left"/>
        <w:rPr>
          <w:rFonts w:ascii="Times New Roman" w:hAnsi="Times New Roman"/>
          <w:sz w:val="20"/>
        </w:rPr>
      </w:pPr>
      <w:r>
        <w:rPr>
          <w:rFonts w:ascii="Times New Roman" w:hAnsi="Times New Roman"/>
          <w:sz w:val="20"/>
        </w:rPr>
        <w:t xml:space="preserve">(g)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(i) is for relief against the Company, any Guarantor or any of their respective Significant Subsidiaries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(ii) appoints a trustee, receiver, liquidator, custodian or other similar official of the Company, any such Guarantor or any such Significant Subsidiary or any substantial part of the property of the Company, any such Guarantor or any such Significant Subsidiary; or </w:t>
      </w:r>
    </w:p>
    <w:p>
      <w:pPr>
        <w:pStyle w:val="TextBody"/>
        <w:bidi w:val="0"/>
        <w:spacing w:before="120" w:after="0"/>
        <w:jc w:val="left"/>
        <w:rPr>
          <w:rFonts w:ascii="Times New Roman" w:hAnsi="Times New Roman"/>
          <w:sz w:val="20"/>
        </w:rPr>
      </w:pPr>
      <w:r>
        <w:rPr>
          <w:rFonts w:ascii="Times New Roman" w:hAnsi="Times New Roman"/>
          <w:sz w:val="20"/>
        </w:rPr>
        <w:t xml:space="preserve">(iii) orders the liquidation of the Company, any such Guarantor or any such Significant Subsidiary, in each case in this clause (g), the order or decree remains unstayed and in effect for thirty (30) calendar days. </w:t>
      </w:r>
    </w:p>
    <w:p>
      <w:pPr>
        <w:pStyle w:val="TextBody"/>
        <w:bidi w:val="0"/>
        <w:spacing w:before="240" w:after="0"/>
        <w:jc w:val="left"/>
        <w:rPr>
          <w:rFonts w:ascii="Times New Roman" w:hAnsi="Times New Roman"/>
          <w:sz w:val="20"/>
        </w:rPr>
      </w:pPr>
      <w:r>
        <w:rPr>
          <w:rFonts w:ascii="Times New Roman" w:hAnsi="Times New Roman"/>
          <w:sz w:val="20"/>
        </w:rPr>
        <w:t xml:space="preserve">The term “Bankruptcy Law” means title 11, U.S. Code or any similar Federal or State law for the relief of debtors.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Acceleration of Maturity; Rescission and Annulment.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the Notes occurs and is continuing (other than an Event of Default referred to in Sections 7.1(e), 7.1(f) or 7.1(g), which shall result in an automatic acceleration), then in every such case the Trustee or the Holders of not less than 25% in principal amount of the outstanding Notes may declare the principal amount of and accrued and unpaid interest, if any, on all of the outstanding Notes to be due and payable immediately, by a written notice thereof to the Company and the Parent (and to the Trustee if given by Holders), and upon any such declaration such principal amount (or specified amount) and accrued and unpaid interest, if any, shall become immediately due and payable. If an Event of Default specified in Sections 7.1(e), 7.1(f) or 7.1(g) shall occur, the principal amount (or specified amount) of and accrued and unpaid interest, if any, on all outstanding Notes shall automatically become and be immediately due and payable without any declaration or other act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any time after the principal amount of and premium, if any, and interest on the Notes shall have been so declared due and payable, and before any judgment or decree for the payment of the monies due shall have been obtained or entered as hereinafter provided, Holders of a majority in aggregate principal amount of the Notes then outstanding on behalf of the Holders of all of the Notes then outstanding, by written notice to the Company and to the Trustee, may waive all Defaults or Events of Default and rescind and annul such declaration and its consequences, subject in all respects to Section 6.13 of the Base Indenture, if: (a) the Company or any Guarantor has deposited with the Trustee all required payments of the principal of, and premium, if any, and interest on, the Notes, plus the reasonable compensation and reimbursement for the Trustee’s expenses, disbursements and advances pursuant to Section 7.7 of the Base Indenture; and (b) all Events of Default, other than the non-payment of accelerated principal of (or specified portion thereof), or premium, if any, and interest on, the Notes that have become due solely because of such acceleration, have been cured or waived. No such rescission and annulment shall extend to or shall affect any subsequent Default or Event of Default, or shall impair any right consequent thereon. The Company shall notify in writing a Responsible Officer of the Trustee, promptly upon becoming aware thereof, of any Event of Default, as provided in Section 4.3 of the Base Indenture and the steps to be taken to cure such Event of Default.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Sections 8.1 and 8.2 hereof shall replace Sections 9.1 and 9.2 of the Base Indenture with respect to the Notes only.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Without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when authorized by resolutions of the board of directors of the Parent, and the Trustee may, from time to time and at any time, enter into an indenture or indentures supplemental without the consent of any Holder of the Notes hereto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in the Indenture; </w:t>
      </w:r>
      <w:r>
        <w:rPr>
          <w:rFonts w:ascii="Times New Roman" w:hAnsi="Times New Roman"/>
          <w:i/>
          <w:sz w:val="20"/>
        </w:rPr>
        <w:t xml:space="preserve">provided </w:t>
      </w:r>
      <w:r>
        <w:rPr>
          <w:rFonts w:ascii="Times New Roman" w:hAnsi="Times New Roman"/>
          <w:sz w:val="20"/>
        </w:rPr>
        <w:t xml:space="preserve">that this action shall not adversely affect the interests of the Holders of the Notes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(b) to comply with Section 6.3; </w:t>
      </w:r>
    </w:p>
    <w:p>
      <w:pPr>
        <w:pStyle w:val="TextBody"/>
        <w:bidi w:val="0"/>
        <w:spacing w:before="120" w:after="0"/>
        <w:jc w:val="left"/>
        <w:rPr>
          <w:rFonts w:ascii="Times New Roman" w:hAnsi="Times New Roman"/>
          <w:sz w:val="20"/>
        </w:rPr>
      </w:pPr>
      <w:r>
        <w:rPr>
          <w:rFonts w:ascii="Times New Roman" w:hAnsi="Times New Roman"/>
          <w:sz w:val="20"/>
        </w:rPr>
        <w:t xml:space="preserve">(c) to provide for uncertificated Notes in addition to or in place of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(d) to add guarantors with respect to the Notes or secure the Notes; </w:t>
      </w:r>
    </w:p>
    <w:p>
      <w:pPr>
        <w:pStyle w:val="TextBody"/>
        <w:bidi w:val="0"/>
        <w:spacing w:before="120" w:after="0"/>
        <w:jc w:val="left"/>
        <w:rPr>
          <w:rFonts w:ascii="Times New Roman" w:hAnsi="Times New Roman"/>
          <w:sz w:val="20"/>
        </w:rPr>
      </w:pPr>
      <w:r>
        <w:rPr>
          <w:rFonts w:ascii="Times New Roman" w:hAnsi="Times New Roman"/>
          <w:sz w:val="20"/>
        </w:rPr>
        <w:t xml:space="preserve">(e) to evidence a successor to the Company as obligor or to any Guarantor as guarantor under the Indenture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surrender any of the Company’s rights or powers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(g) to add covenants or events of default for the benefit of the Holders of any Notes; </w:t>
      </w:r>
    </w:p>
    <w:p>
      <w:pPr>
        <w:pStyle w:val="TextBody"/>
        <w:bidi w:val="0"/>
        <w:spacing w:before="120" w:after="0"/>
        <w:jc w:val="left"/>
        <w:rPr>
          <w:rFonts w:ascii="Times New Roman" w:hAnsi="Times New Roman"/>
          <w:sz w:val="20"/>
        </w:rPr>
      </w:pPr>
      <w:r>
        <w:rPr>
          <w:rFonts w:ascii="Times New Roman" w:hAnsi="Times New Roman"/>
          <w:sz w:val="20"/>
        </w:rPr>
        <w:t xml:space="preserve">(h) to comply with the applicable procedures of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(i) to make any change that does not adversely affect the interests of the Holders of any Notes then outstanding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(j) to provide for the issuance of Additional Notes in accordance with the limitations set forth in the Indenture, or change any of the provisions of the Indenture as may be necessary to provide for the acceptance of appointment of a successor Trustee or facilitate the administration of the trusts hereunder by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(k) to effect the appointment of a successor Trustee with respect to the Notes and to add to or change any of the provisions of the Indenture to provide for or facilitate administration by more than one Trustee; </w:t>
      </w:r>
    </w:p>
    <w:p>
      <w:pPr>
        <w:pStyle w:val="TextBody"/>
        <w:bidi w:val="0"/>
        <w:spacing w:before="120" w:after="0"/>
        <w:jc w:val="left"/>
        <w:rPr>
          <w:rFonts w:ascii="Times New Roman" w:hAnsi="Times New Roman"/>
          <w:sz w:val="20"/>
        </w:rPr>
      </w:pPr>
      <w:r>
        <w:rPr>
          <w:rFonts w:ascii="Times New Roman" w:hAnsi="Times New Roman"/>
          <w:sz w:val="20"/>
        </w:rPr>
        <w:t xml:space="preserve">(l) to comply with the requirements of the SEC in order to effect or maintain the qualification of the Indenture under the TIA; </w:t>
      </w:r>
    </w:p>
    <w:p>
      <w:pPr>
        <w:pStyle w:val="TextBody"/>
        <w:bidi w:val="0"/>
        <w:spacing w:before="120" w:after="0"/>
        <w:jc w:val="left"/>
        <w:rPr>
          <w:rFonts w:ascii="Times New Roman" w:hAnsi="Times New Roman"/>
          <w:sz w:val="20"/>
        </w:rPr>
      </w:pPr>
      <w:r>
        <w:rPr>
          <w:rFonts w:ascii="Times New Roman" w:hAnsi="Times New Roman"/>
          <w:sz w:val="20"/>
        </w:rPr>
        <w:t xml:space="preserve">(m) to reflect the release of any Guarantor as guarantor, in accordance with the provisions of the Indenture; and </w:t>
      </w:r>
    </w:p>
    <w:p>
      <w:pPr>
        <w:pStyle w:val="TextBody"/>
        <w:bidi w:val="0"/>
        <w:spacing w:before="120" w:after="0"/>
        <w:jc w:val="left"/>
        <w:rPr>
          <w:rFonts w:ascii="Times New Roman" w:hAnsi="Times New Roman"/>
          <w:sz w:val="20"/>
        </w:rPr>
      </w:pPr>
      <w:r>
        <w:rPr>
          <w:rFonts w:ascii="Times New Roman" w:hAnsi="Times New Roman"/>
          <w:sz w:val="20"/>
        </w:rPr>
        <w:t xml:space="preserve">(n) to conform the text of the Indenture, any Guarantee or the Notes to any provision of the description thereof set forth in the Prospectus to the extent that such provision in the Prospectus was intended to be a verbatim recitation of a provision of the Indenture, such Note Guarantee or the Notes (as certified in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accompanied by a copy of the resolutions of the board of directors of the Parent certified by the corresponding Secretary or Assistant Secretary, authorizing the execution of any supplemental indenture, the Trustee is hereby authorized to join with the Company and the Guarantors in the execution of any such supplemental indenture, to make any further appropriate agreements and stipulations that may be therein contained and to accept the conveyance, transfer and assignment of any property thereunder, but the Trustee shall not be obligated to, but may in its discretion, enter into any supplemental indenture that affects the Trustee’s own rights, duties or immunities under the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8.1 may be executed by the Company, the Guarantors and the Trustee without the consent of the Holders of any of the Notes at the time outstanding, notwithstanding any of the provisions of Section 8.2.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With the consent of the Holders of not less than a majority in aggregate principal amount of the Notes at the time outstanding, the Company, each Guarantor and the Trustee may, from time to time and at any time, enter into an indenture or indentures supplemental hereto for the purpose of adding any provisions to or changing in any manner or eliminating any of the provisions of the Indenture or any supplemental indenture or modifying in any manner the rights of the Holders of the Notes; </w:t>
      </w:r>
      <w:r>
        <w:rPr>
          <w:rFonts w:ascii="Times New Roman" w:hAnsi="Times New Roman"/>
          <w:i/>
          <w:sz w:val="20"/>
        </w:rPr>
        <w:t xml:space="preserve">provided </w:t>
      </w:r>
      <w:r>
        <w:rPr>
          <w:rFonts w:ascii="Times New Roman" w:hAnsi="Times New Roman"/>
          <w:sz w:val="20"/>
        </w:rPr>
        <w:t xml:space="preserve">that no such supplemental indenture shall, without the consent of the Holder of each Note so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reduce the amount of the Notes whose Holders must consent to an amendment, supplement or waiver; </w:t>
      </w:r>
    </w:p>
    <w:p>
      <w:pPr>
        <w:pStyle w:val="TextBody"/>
        <w:bidi w:val="0"/>
        <w:spacing w:before="12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(c) reduce the principal of, or premium, if any, on, or change the Stated Maturity of, the Notes; </w:t>
      </w:r>
    </w:p>
    <w:p>
      <w:pPr>
        <w:pStyle w:val="TextBody"/>
        <w:bidi w:val="0"/>
        <w:spacing w:before="120" w:after="0"/>
        <w:jc w:val="left"/>
        <w:rPr>
          <w:rFonts w:ascii="Times New Roman" w:hAnsi="Times New Roman"/>
          <w:sz w:val="20"/>
        </w:rPr>
      </w:pPr>
      <w:r>
        <w:rPr>
          <w:rFonts w:ascii="Times New Roman" w:hAnsi="Times New Roman"/>
          <w:sz w:val="20"/>
        </w:rPr>
        <w:t xml:space="preserve">(d) reduce the principal amount of discount securities payable upon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 waive a Default or Event of Default in the payment of the principal of, or premium, if any, or interest on, the Notes (except a rescission of acceleration of the Notes by the Holders of at least a majority in aggregate principal amount of the then outstanding Notes and a waiver of the payment default that resulted from such acceleration); </w:t>
      </w:r>
    </w:p>
    <w:p>
      <w:pPr>
        <w:pStyle w:val="TextBody"/>
        <w:bidi w:val="0"/>
        <w:spacing w:before="120" w:after="0"/>
        <w:jc w:val="left"/>
        <w:rPr>
          <w:rFonts w:ascii="Times New Roman" w:hAnsi="Times New Roman"/>
          <w:sz w:val="20"/>
        </w:rPr>
      </w:pPr>
      <w:r>
        <w:rPr>
          <w:rFonts w:ascii="Times New Roman" w:hAnsi="Times New Roman"/>
          <w:sz w:val="20"/>
        </w:rPr>
        <w:t xml:space="preserve">(f) make the principal of, or premium, if any, or interest on, the Notes payable in any currency other than that stated in the Notes; </w:t>
      </w:r>
    </w:p>
    <w:p>
      <w:pPr>
        <w:pStyle w:val="TextBody"/>
        <w:bidi w:val="0"/>
        <w:spacing w:before="120" w:after="0"/>
        <w:jc w:val="left"/>
        <w:rPr>
          <w:rFonts w:ascii="Times New Roman" w:hAnsi="Times New Roman"/>
          <w:sz w:val="20"/>
        </w:rPr>
      </w:pPr>
      <w:r>
        <w:rPr>
          <w:rFonts w:ascii="Times New Roman" w:hAnsi="Times New Roman"/>
          <w:sz w:val="20"/>
        </w:rPr>
        <w:t xml:space="preserve">(g) make any change in Section 6.8 of the Base Indenture, Section 6.13 of the Base Indenture or Section 8.2 of this Sixteenth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(h) waive a redemption payment with respect to the Notes; or </w:t>
      </w:r>
    </w:p>
    <w:p>
      <w:pPr>
        <w:pStyle w:val="TextBody"/>
        <w:bidi w:val="0"/>
        <w:spacing w:before="120" w:after="0"/>
        <w:jc w:val="left"/>
        <w:rPr>
          <w:rFonts w:ascii="Times New Roman" w:hAnsi="Times New Roman"/>
          <w:sz w:val="20"/>
        </w:rPr>
      </w:pPr>
      <w:r>
        <w:rPr>
          <w:rFonts w:ascii="Times New Roman" w:hAnsi="Times New Roman"/>
          <w:sz w:val="20"/>
        </w:rPr>
        <w:t xml:space="preserve">(i) release the Parent or any other Guarantor as a guarantor of the Notes other than as provided in the Indenture or modify the Note Guarantee in any manner adverse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accompanied by a copy of the resolutions of the board of directors of the Parent certified by the corresponding Secretary or Assistant Secretary, authorizing the execution of any such supplemental indenture, and upon the filing with the Trustee of evidence of the consent of Holders as aforesaid, the Trustee shall join with the Company and the Guarantors in the execution of such supplemental indenture unless such supplemental indenture affects the Trustee’s own rights, duties or immunities under the Indenture or otherwise, in which case the Trustee may in its discretion, but shall not be obligated to, enter into such supplemental indenture. In executing or accepting the additional trusts created by, any supplemental indenture permitted by this Article or the modification thereby of the trusts created by the Indenture, the Trustee shall be entitled to receive, and shall be fully protected in relying upon, an Opinion of Counsel or an Officer’s Certificate or both stating that the execution of such supplemental indenture is authorized or permitted by the Indenture, that all conditions precedent to the execution of such supplemental indenture have been complied with, and that the supplemental indenture is a legal, valid and binding obligation of the Company and each Guarantor, as applicable, enforceable against it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not be necessary for the consent of the Holders under this Section 8.2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Assumption by Parent.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Holders of the Notes, the Parent, or a Subsidiary thereof, may directly assume, by an indenture supplemental to the Indenture, executed and delivered to the Trustee, in form satisfactory to the Trustee, the due and punctual payment of the principal of, any premium and interest on all the Notes and the performance of every covenant of the Indenture on the part of the Company to be performed or observed. Upon any such assumption, the Parent or such Subsidiary shall succeed the Company, and be substituted for and may exercise every right and power of the Company, under the Indenture with the same effect as if the Parent or such Subsidiary had been the issuer of the Notes, and the Company shall be released from all obligations and covenants with respect to the Notes. No such assumption shall be permitted unless the Parent has delivered to the Trustee (i) an Officer’s Certificate and an Opinion of Counsel, each stating that such assumption and supplemental indenture comply with this Section 8.3 and Article V of the Base Indenture, and that all conditions precedent in the Indenture provided for relating to such transaction have been complied with and that, in the event of assumption by a Subsidiary, the Note Guarantee and all other covenants of the Parent in the Indenture remain in full force and effect and (ii) an opinion of independent counsel that the Holders of the Notes shall have no materially adverse United States federal tax consequences as a result of such assumption, and that, if any Notes are then listed on the New York Stock Exchange, that the Notes shall not be delisted as a result of such assumption.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HOLDERS OF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Purposes for Which Meetings May Be Called. </w:t>
      </w:r>
    </w:p>
    <w:p>
      <w:pPr>
        <w:pStyle w:val="TextBody"/>
        <w:bidi w:val="0"/>
        <w:spacing w:before="120" w:after="0"/>
        <w:jc w:val="left"/>
        <w:rPr>
          <w:rFonts w:ascii="Times New Roman" w:hAnsi="Times New Roman"/>
          <w:sz w:val="20"/>
        </w:rPr>
      </w:pPr>
      <w:r>
        <w:rPr>
          <w:rFonts w:ascii="Times New Roman" w:hAnsi="Times New Roman"/>
          <w:sz w:val="20"/>
        </w:rPr>
        <w:t xml:space="preserve">A meeting of Holders may be called at any time and from time to time pursuant to this Article IX to make, give or take any request, demand, authorization, direction, notice, consent, waiver or other act provided by the Indenture to be made, given or taken by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Call, Notice and Place of Meetings.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at any time call a meeting of Holders for any purpose specified in Section 9.1, to be held at such time and at such place in The City of New York, New York as the Trustee shall determine. Notice of every meeting of Holders, setting forth the time and the place of such meeting and in general terms the action proposed to be taken at such meeting, shall be given, in the manner provided in Section 10.2 of the Base Indenture, not less than 21 nor more than 180 days prior to the date fixed for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case at any time the Company, any Guarantor or the Holders of at least 10% in principal amount of the outstanding Notes shall have requested the Trustee to call a meeting of the Holders for any purpose specified in Section 9.1, by written request setting forth in reasonable detail the action proposed to be taken at the meeting, and the Trustee shall not have mailed notice of or made the first publication of the notice of such meeting within 21 days after receipt of such request or shall not thereafter proceed to cause the meeting to be held as provided herein, then the Company, such Guarantor, if applicable, or the Holders in the amount above specified, as the case may be, may determine the time and the place in the City of New York, New York, for such meeting and may call such meeting for such purposes by giving notice thereof as provided in clause (a) of this Section 9.2.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Persons Entitled to Vote at Meetings. </w:t>
      </w:r>
    </w:p>
    <w:p>
      <w:pPr>
        <w:pStyle w:val="TextBody"/>
        <w:bidi w:val="0"/>
        <w:spacing w:before="120" w:after="0"/>
        <w:jc w:val="left"/>
        <w:rPr>
          <w:rFonts w:ascii="Times New Roman" w:hAnsi="Times New Roman"/>
          <w:sz w:val="20"/>
        </w:rPr>
      </w:pPr>
      <w:r>
        <w:rPr>
          <w:rFonts w:ascii="Times New Roman" w:hAnsi="Times New Roman"/>
          <w:sz w:val="20"/>
        </w:rPr>
        <w:t xml:space="preserve">To be entitled to vote at any meeting of Holders, a person shall be (a) a Holder of one or more outstanding Notes, or (b) a person appointed by an instrument in writing as proxy for a Holder or Holders of one or more outstanding Notes by such Holder or Holders; </w:t>
      </w:r>
      <w:r>
        <w:rPr>
          <w:rFonts w:ascii="Times New Roman" w:hAnsi="Times New Roman"/>
          <w:i/>
          <w:sz w:val="20"/>
        </w:rPr>
        <w:t>provided</w:t>
      </w:r>
      <w:r>
        <w:rPr>
          <w:rFonts w:ascii="Times New Roman" w:hAnsi="Times New Roman"/>
          <w:sz w:val="20"/>
        </w:rPr>
        <w:t xml:space="preserve">, that none of the Company, any other obligor upon the Notes or any Affiliate of the Company shall be entitled to vote at any meeting of Holders or be counted for purposes of determining a quorum at any such meeting in respect of any Notes owned by such persons. The only persons who shall be entitled to be present or to speak at any meeting of Holders shall be the persons entitled to vote at such meeting and their counsel, any representatives of the Trustee and its counsel, any representatives of any Guarantor and its counsel and any representatives of the Company and its counsel.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Quorum; Action. </w:t>
      </w:r>
    </w:p>
    <w:p>
      <w:pPr>
        <w:pStyle w:val="TextBody"/>
        <w:bidi w:val="0"/>
        <w:spacing w:before="120" w:after="0"/>
        <w:jc w:val="left"/>
        <w:rPr>
          <w:rFonts w:ascii="Times New Roman" w:hAnsi="Times New Roman"/>
          <w:sz w:val="20"/>
        </w:rPr>
      </w:pPr>
      <w:r>
        <w:rPr>
          <w:rFonts w:ascii="Times New Roman" w:hAnsi="Times New Roman"/>
          <w:sz w:val="20"/>
        </w:rPr>
        <w:t xml:space="preserve">The persons entitled to vote a majority in principal amount of the outstanding Notes shall constitute a quorum for a meeting of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action is to be taken at the meeting with respect to a consent or waiver which may be given by the Holders of not less than a specified percentage in principal amount of the outstanding Notes, the persons holding or representing the specified percentage in principal amount of the outstanding Notes will constitute a quorum. In the absence of a quorum within 30 minutes after the time appointed for any such meeting, the meeting shall, if convened at the request of Holders,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9.2,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Notes which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Except as limited by the proviso to Section 8.2, any resolution presented at a meeting or adjourned meeting duly reconvened at which a quorum is present as aforesaid may be adopted only by the affirmative vote of the Holders of a majority in principal amount of the outstanding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limited by the proviso to Section 8.2, any resolution with respect to any request, demand, authorization, direction, notice, consent, waiver or other action which the Indenture expressly provides may be made, given or taken by the Holders of a specified percentage, which is less than a majority, in principal amount of the outstanding Notes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adopted at a meeting or an adjourned meeting duly reconvened and at which a quorum is present as aforesaid by the affirmative vote of the Holders of such specified percentage in principal amount of the outstanding Notes. Any such resolution passed or decision taken at any meeting of Holders duly held in accordance with this Section 9.4 shall be binding on all the Holders, whether or not such Holders were present or represented at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Determination of Voting Rights; Conduct and Adjournment of Meetings.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 other provisions of the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w:t>
      </w:r>
    </w:p>
    <w:p>
      <w:pPr>
        <w:pStyle w:val="TextBody"/>
        <w:bidi w:val="0"/>
        <w:spacing w:before="120" w:after="0"/>
        <w:jc w:val="left"/>
        <w:rPr>
          <w:rFonts w:ascii="Times New Roman" w:hAnsi="Times New Roman"/>
          <w:sz w:val="20"/>
        </w:rPr>
      </w:pPr>
      <w:r>
        <w:rPr>
          <w:rFonts w:ascii="Times New Roman" w:hAnsi="Times New Roman"/>
          <w:sz w:val="20"/>
        </w:rPr>
        <w:t xml:space="preserve">(b) The Trustee shall, by an instrument in writing, appoint a temporary chairman of the meeting, unless the meeting shall have been called by the Company or by Holders as provided in Section 9.2(b), in which case the Company, the Guarantors or the Holders calling the meeting, as the case may be, shall in like manner appoint a temporary chairman. A permanent chairman and a permanent secretary of the meeting shall be elected by vote of the persons entitled to vote a majority in principal amount of the outstanding Notes of such series represented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(c) At any meeting, each Holder or proxy shall be entitled to one vote for each $1,000 principal amount of Notes held or represented by him;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vote shall be cast or counted at any meeting in respect of any Note challenged as not outstanding and ruled by the chairman of the meeting to be not outstanding. The chairman of the meeting shall have no right to vote, except as a Holder or proxy. </w:t>
      </w:r>
    </w:p>
    <w:p>
      <w:pPr>
        <w:pStyle w:val="TextBody"/>
        <w:bidi w:val="0"/>
        <w:spacing w:before="120" w:after="0"/>
        <w:jc w:val="left"/>
        <w:rPr>
          <w:rFonts w:ascii="Times New Roman" w:hAnsi="Times New Roman"/>
          <w:sz w:val="20"/>
        </w:rPr>
      </w:pPr>
      <w:r>
        <w:rPr>
          <w:rFonts w:ascii="Times New Roman" w:hAnsi="Times New Roman"/>
          <w:sz w:val="20"/>
        </w:rPr>
        <w:t xml:space="preserve">(d) Any meeting of Holders duly called pursuant to Section 9.2 at which a quorum is present may be adjourned from time to time by persons entitled to vote a majority in principal amount of the outstanding Notes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Counting Votes and Recording Action of Meetings. </w:t>
      </w:r>
    </w:p>
    <w:p>
      <w:pPr>
        <w:pStyle w:val="TextBody"/>
        <w:bidi w:val="0"/>
        <w:spacing w:before="120" w:after="0"/>
        <w:jc w:val="left"/>
        <w:rPr>
          <w:rFonts w:ascii="Times New Roman" w:hAnsi="Times New Roman"/>
          <w:sz w:val="20"/>
        </w:rPr>
      </w:pPr>
      <w:r>
        <w:rPr>
          <w:rFonts w:ascii="Times New Roman" w:hAnsi="Times New Roman"/>
          <w:sz w:val="20"/>
        </w:rPr>
        <w:t xml:space="preserve">The vote upon any resolution submitted to any meeting of Holders shall be by written ballots on which shall be subscribed the signatures of the Holders or of their representatives by proxy and the principal amounts and serial numbers of the outstanding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triplicate of all votes cast at the meeting. A record, at least in triplicate,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9.2 and, if applicable, Section 9.4. Each copy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signed and verified by the affidavits of the permanent chairman and secretary of the meeting and one such copy shall be delivered to the Company and the Guarantors, and another to the Trustee to be preserved by the Trustee, the latter to have attached thereto the ballots voted at the meeting. Any record so signed and verified shall be conclusive evidence of the matters therein stated.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Evidence of Compliance with Conditions Precedent, Certificates to Trustee. </w:t>
      </w:r>
    </w:p>
    <w:p>
      <w:pPr>
        <w:pStyle w:val="TextBody"/>
        <w:bidi w:val="0"/>
        <w:spacing w:before="120" w:after="0"/>
        <w:jc w:val="left"/>
        <w:rPr>
          <w:rFonts w:ascii="Times New Roman" w:hAnsi="Times New Roman"/>
          <w:sz w:val="20"/>
        </w:rPr>
      </w:pPr>
      <w:r>
        <w:rPr>
          <w:rFonts w:ascii="Times New Roman" w:hAnsi="Times New Roman"/>
          <w:sz w:val="20"/>
        </w:rPr>
        <w:t xml:space="preserve">This Section 10.1 shall replace Sections 10.4 and 10.5 of the Base Indenture with respect to the Notes only.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demand by the Company to the Trustee to take any action under any of the provisions of the Indenture, the Company shall furnish to the Trustee an Officer’s Certificate in a form reasonably acceptable to the Trustee stating that all covenants and conditions precedent, if any, provided for in the Indenture relating to the proposed action have been complied with, and an Opinion of Counsel in a form reasonably acceptable to the Trustee stating that, in the opinion of such counsel, all such covenants and conditions precedent have been complied with. The Officer’s Certificate or Opinion of Counsel provided for in the Indenture and delivered to the Trustee with respect to compliance with a condition or covenant provided for in the Indenture shall include: (1) a statement that the person making such Officer’s Certificate or Opinion of Counsel has read such covenant or condition; (2) a brief statement as to the nature and scope of the examination or investigation upon which the statement or opinion contained in such Officer’s Certificate or Opinion of Counsel is based; (3) a statement that, in the opinion of such person, such person has made such examination or investigation as is necessary to enable such person to express an informed opinion as to whether or not such covenant or condition has been complied with; and (4) a statement as to whether or not, in the opinion of such person, such condition or covenant has been complied 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No Recourse Against Others.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10.2 shall replace Section 10.8 of the Base Indenture with respect to the Notes only.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in Article V of this Sixteenth Supplemental Indenture, no recourse for the payment of the principal of (including the Redemption Price upon redemption pursuant to Article IV) or premium, if any, or interest on any Note or for any claim based thereon or otherwise in respect thereof, and no recourse under or upon any obligation, covenant or agreement of the Company in this Sixteenth Supplemental Indenture or in any Note, or because of the creation of any indebtedness represented thereby, shall be had against any incorporator, stockholder, partner, member, manager, employee, agent, officer, director or subsidiary, as such, past, present or future, of any Guarantor, the Company or any of the Company’s Subsidiaries or of any successor thereto, either directly or through such Guarantor, the Company or any of the Company’s Subsidiaries or any successor thereto,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Sixteenth Supplemental Indenture and the issue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Trust Indenture Act Controls.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Sixteenth Supplemental Indenture limits, qualifies, or conflicts with another provision which is required or deemed to be included in this Sixteenth Supplemental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w:t>
      </w:r>
      <w:r>
        <w:rPr>
          <w:rFonts w:ascii="Times New Roman" w:hAnsi="Times New Roman"/>
          <w:sz w:val="20"/>
        </w:rPr>
        <w:t xml:space="preserve">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SIXTEENTH SUPPLEMENTAL INDENTURE AND THE NOTES, INCLUDING ANY CLAIM OR CONTROVERSY ARISING OUT OF OR RELATING TO THE BASE INDENTURE, SIXTEENTH SUPPLEMENTAL INDENTURE OR THE NOTES, SHALL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This Sixteenth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Sixteenth Supplemental Indenture and of signature pages by facsimile or PDF transmission shall constitute effective execution and delivery of this Sixteenth Supplemental Indenture as to the parties hereto and may be used in lieu of the original Sixteenth Supplemental Indenture for all purposes. The words “execution,” “signed,” “signature,” and words of like import in this Sixteenth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Sixteenth Supplemental Indenture to the contrary notwithstanding, (a) any Officer’s Certificate, Company Order, Opinion of Counsel, Note, Note Guarantee, opinion of counsel, instrument, agreement or other document delivered pursuant to this Sixteenth Supplemental Indenture may be executed, attested and transmitted by any of the foregoing electronic means and formats, (b) all references in Section 2.3 of the Base Indenture, Section 5.2 of this Sixteenth Supplemental Indenture or elsewhere in the Indenture to the execution, attestation or authentication of any Note, any Guarantee endorsed on any Note, or any certificate of authentication appearing on or attached to any Note by means of a manual or facsimile signature shall be deemed to include signatures that are made or transmitted by any of the foregoing electronic means or formats, and (c)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 in this Indenture that any signature be made under a corporate seal (or facsimile thereof) shall not be applicable to the Notes or any Note Guarantees. The Company agrees to assume all risks arising out of the use of using digital signatures, including without limitation the risk of the Trustee acting on unauthorized instructions. </w:t>
      </w:r>
    </w:p>
    <w:p>
      <w:pPr>
        <w:pStyle w:val="TextBody"/>
        <w:bidi w:val="0"/>
        <w:spacing w:before="240" w:after="0"/>
        <w:jc w:val="left"/>
        <w:rPr>
          <w:rFonts w:ascii="Times New Roman" w:hAnsi="Times New Roman"/>
          <w:sz w:val="20"/>
        </w:rPr>
      </w:pPr>
      <w:r>
        <w:rPr>
          <w:rFonts w:ascii="Times New Roman" w:hAnsi="Times New Roman"/>
          <w:sz w:val="20"/>
        </w:rPr>
        <w:t>This Sixteenth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hAnsi="Times New Roman"/>
          <w:b/>
          <w:sz w:val="20"/>
        </w:rPr>
        <w:t>Signature Law</w:t>
      </w:r>
      <w:r>
        <w:rPr>
          <w:rFonts w:ascii="Times New Roman" w:hAnsi="Times New Roman"/>
          <w:sz w:val="20"/>
        </w:rPr>
        <w:t xml:space="preserve">”);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Sixteenth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w:t>
      </w:r>
      <w:r>
        <w:rPr>
          <w:rFonts w:ascii="Times New Roman" w:hAnsi="Times New Roman"/>
          <w:sz w:val="20"/>
        </w:rPr>
        <w:t xml:space="preserve"> Successors. </w:t>
      </w:r>
    </w:p>
    <w:p>
      <w:pPr>
        <w:pStyle w:val="TextBody"/>
        <w:bidi w:val="0"/>
        <w:spacing w:before="120" w:after="0"/>
        <w:jc w:val="left"/>
        <w:rPr>
          <w:rFonts w:ascii="Times New Roman" w:hAnsi="Times New Roman"/>
          <w:sz w:val="20"/>
        </w:rPr>
      </w:pPr>
      <w:r>
        <w:rPr>
          <w:rFonts w:ascii="Times New Roman" w:hAnsi="Times New Roman"/>
          <w:sz w:val="20"/>
        </w:rPr>
        <w:t xml:space="preserve">All agreements of the Company and each Guarantor in this Sixteenth Supplemental Indenture and the Notes shall bind their respective successors.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Trustee in this Sixteenth Supplemental Indenture shall bind its successor.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w:t>
      </w:r>
      <w:r>
        <w:rPr>
          <w:rFonts w:ascii="Times New Roman" w:hAnsi="Times New Roman"/>
          <w:sz w:val="20"/>
        </w:rPr>
        <w:t xml:space="preserve"> Severability.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Sixteenth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w:t>
      </w:r>
      <w:r>
        <w:rPr>
          <w:rFonts w:ascii="Times New Roman" w:hAnsi="Times New Roman"/>
          <w:sz w:val="20"/>
        </w:rPr>
        <w:t xml:space="preserve">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headings of the Articles and Sections of this Sixteenth Supplemental Indenture have been inserted for convenience of reference only, are not to be considered a part hereof,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10.9</w:t>
      </w:r>
      <w:r>
        <w:rPr>
          <w:rFonts w:ascii="Times New Roman" w:hAnsi="Times New Roman"/>
          <w:sz w:val="20"/>
        </w:rPr>
        <w:t xml:space="preserve"> Ratifications. </w:t>
      </w:r>
    </w:p>
    <w:p>
      <w:pPr>
        <w:pStyle w:val="TextBody"/>
        <w:bidi w:val="0"/>
        <w:spacing w:before="120" w:after="0"/>
        <w:jc w:val="left"/>
        <w:rPr>
          <w:rFonts w:ascii="Times New Roman" w:hAnsi="Times New Roman"/>
          <w:sz w:val="20"/>
        </w:rPr>
      </w:pPr>
      <w:r>
        <w:rPr>
          <w:rFonts w:ascii="Times New Roman" w:hAnsi="Times New Roman"/>
          <w:sz w:val="20"/>
        </w:rPr>
        <w:t xml:space="preserve">The Base Indenture, as supplemented and amended by this Sixteenth Supplemental Indenture, is in all respects ratified and confirmed. The Indenture shall be read, taken and construed as one and the same instrument. All provisions included in this Sixteenth Supplemental Indenture with respect to the Notes supersede any conflicting provisions included in the Base Indenture unless not permitted by law. The Trustee accepts the trusts created by the Indenture, and agrees to perform the same upon the terms and conditions of the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10.10</w:t>
      </w:r>
      <w:r>
        <w:rPr>
          <w:rFonts w:ascii="Times New Roman" w:hAnsi="Times New Roman"/>
          <w:sz w:val="20"/>
        </w:rPr>
        <w:t xml:space="preserve"> Effectiveness.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Sixteenth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10.11</w:t>
      </w:r>
      <w:r>
        <w:rPr>
          <w:rFonts w:ascii="Times New Roman" w:hAnsi="Times New Roman"/>
          <w:sz w:val="20"/>
        </w:rPr>
        <w:t xml:space="preserve">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accepts the trusts created by the Indenture, and agrees to perform the same upon the terms and conditions of the Indenture. The Trustee shall not be responsible in any manner whatsoever for or in respect of the validity or sufficiency of this Sixteenth Supplemental Indenture or the due execution thereof by the Company. The recitals contained herein shall be taken as the statements solely of the Company, and the Trustee assumes no responsibility for the correctness thereof. If and when the Trustee shall be or become a creditor of the Company (or any other obligor upon the Notes), excluding any creditor relationship listed in TIA Section 311(b), the Trustee shall be subject to the provisions of the TIA regarding the collection of the claims against the Company (or any such other obligor). If the Trustee has or shall acquire a conflicting interest within the meaning of the TIA, the Trustee shall either eliminate such interest or resign, to the extent and in the manner provided by, and subject to the provisions of, the TIA and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Sixteenth Supplemental Indenture to be duly executed by their respective officers hereunto duly authorized,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65"/>
        <w:gridCol w:w="3528"/>
      </w:tblGrid>
      <w:tr>
        <w:trPr/>
        <w:tc>
          <w:tcPr>
            <w:tcW w:w="48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EXTRA SPACE STORAGE LP,</w:t>
            </w:r>
          </w:p>
        </w:tc>
      </w:tr>
      <w:tr>
        <w:trPr/>
        <w:tc>
          <w:tcPr>
            <w:tcW w:w="4082" w:type="dxa"/>
            <w:gridSpan w:val="3"/>
            <w:tcBorders/>
          </w:tcPr>
          <w:p>
            <w:pPr>
              <w:pStyle w:val="TableContents"/>
              <w:bidi w:val="0"/>
              <w:spacing w:before="0" w:after="283"/>
              <w:jc w:val="left"/>
              <w:rPr/>
            </w:pPr>
            <w:r>
              <w:rPr/>
              <w:t>as the 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ESS Holdings Business Trust I</w:t>
            </w:r>
          </w:p>
        </w:tc>
      </w:tr>
      <w:tr>
        <w:trPr/>
        <w:tc>
          <w:tcPr>
            <w:tcW w:w="489"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28" w:type="dxa"/>
            <w:tcBorders/>
          </w:tcPr>
          <w:p>
            <w:pPr>
              <w:pStyle w:val="TableContents"/>
              <w:bidi w:val="0"/>
              <w:spacing w:before="0" w:after="283"/>
              <w:jc w:val="left"/>
              <w:rPr/>
            </w:pPr>
            <w:r>
              <w:rPr/>
              <w:t>Its general partner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Norman</w:t>
            </w:r>
          </w:p>
        </w:tc>
      </w:tr>
      <w:tr>
        <w:trPr/>
        <w:tc>
          <w:tcPr>
            <w:tcW w:w="4082" w:type="dxa"/>
            <w:gridSpan w:val="3"/>
            <w:tcBorders/>
          </w:tcPr>
          <w:p>
            <w:pPr>
              <w:pStyle w:val="TableContents"/>
              <w:bidi w:val="0"/>
              <w:spacing w:before="0" w:after="283"/>
              <w:jc w:val="left"/>
              <w:rPr/>
            </w:pPr>
            <w:r>
              <w:rPr/>
              <w:t>Name: Jeff Norman</w:t>
            </w:r>
          </w:p>
        </w:tc>
      </w:tr>
      <w:tr>
        <w:trPr/>
        <w:tc>
          <w:tcPr>
            <w:tcW w:w="4082" w:type="dxa"/>
            <w:gridSpan w:val="3"/>
            <w:tcBorders/>
          </w:tcPr>
          <w:p>
            <w:pPr>
              <w:pStyle w:val="TableContents"/>
              <w:bidi w:val="0"/>
              <w:spacing w:before="0" w:after="283"/>
              <w:jc w:val="left"/>
              <w:rPr/>
            </w:pPr>
            <w:r>
              <w:rPr/>
              <w:t>Title: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EXTRA SPACE STORAGE INC.,</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Gwyn G. McNeal</w:t>
            </w:r>
          </w:p>
        </w:tc>
      </w:tr>
      <w:tr>
        <w:trPr/>
        <w:tc>
          <w:tcPr>
            <w:tcW w:w="4082" w:type="dxa"/>
            <w:gridSpan w:val="3"/>
            <w:tcBorders/>
          </w:tcPr>
          <w:p>
            <w:pPr>
              <w:pStyle w:val="TableContents"/>
              <w:bidi w:val="0"/>
              <w:spacing w:before="0" w:after="283"/>
              <w:jc w:val="left"/>
              <w:rPr/>
            </w:pPr>
            <w:r>
              <w:rPr/>
              <w:t>Name: Gwyn G. McNeal</w:t>
            </w:r>
          </w:p>
        </w:tc>
      </w:tr>
      <w:tr>
        <w:trPr/>
        <w:tc>
          <w:tcPr>
            <w:tcW w:w="4082" w:type="dxa"/>
            <w:gridSpan w:val="3"/>
            <w:tcBorders/>
          </w:tcPr>
          <w:p>
            <w:pPr>
              <w:pStyle w:val="TableContents"/>
              <w:bidi w:val="0"/>
              <w:spacing w:before="0" w:after="283"/>
              <w:jc w:val="left"/>
              <w:rPr/>
            </w:pPr>
            <w:r>
              <w:rPr/>
              <w:t>Title: Executive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ESS HOLDINGS BUSINESS TRUST I,</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Norman</w:t>
            </w:r>
          </w:p>
        </w:tc>
      </w:tr>
      <w:tr>
        <w:trPr/>
        <w:tc>
          <w:tcPr>
            <w:tcW w:w="4082" w:type="dxa"/>
            <w:gridSpan w:val="3"/>
            <w:tcBorders/>
          </w:tcPr>
          <w:p>
            <w:pPr>
              <w:pStyle w:val="TableContents"/>
              <w:bidi w:val="0"/>
              <w:spacing w:before="0" w:after="283"/>
              <w:jc w:val="left"/>
              <w:rPr/>
            </w:pPr>
            <w:r>
              <w:rPr/>
              <w:t>Name: Jeff Norman</w:t>
            </w:r>
          </w:p>
        </w:tc>
      </w:tr>
      <w:tr>
        <w:trPr/>
        <w:tc>
          <w:tcPr>
            <w:tcW w:w="4082" w:type="dxa"/>
            <w:gridSpan w:val="3"/>
            <w:tcBorders/>
          </w:tcPr>
          <w:p>
            <w:pPr>
              <w:pStyle w:val="TableContents"/>
              <w:bidi w:val="0"/>
              <w:spacing w:before="0" w:after="283"/>
              <w:jc w:val="left"/>
              <w:rPr/>
            </w:pPr>
            <w:r>
              <w:rPr/>
              <w:t>Title: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ESS HOLDINGS BUSINESS TRUST II,</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Gwyn G. McNeal</w:t>
            </w:r>
          </w:p>
        </w:tc>
      </w:tr>
      <w:tr>
        <w:trPr/>
        <w:tc>
          <w:tcPr>
            <w:tcW w:w="4082" w:type="dxa"/>
            <w:gridSpan w:val="3"/>
            <w:tcBorders/>
          </w:tcPr>
          <w:p>
            <w:pPr>
              <w:pStyle w:val="TableContents"/>
              <w:bidi w:val="0"/>
              <w:spacing w:before="0" w:after="283"/>
              <w:jc w:val="left"/>
              <w:rPr/>
            </w:pPr>
            <w:r>
              <w:rPr/>
              <w:t>Name: Gwyn G. McNeal</w:t>
            </w:r>
          </w:p>
        </w:tc>
      </w:tr>
      <w:tr>
        <w:trPr/>
        <w:tc>
          <w:tcPr>
            <w:tcW w:w="4082" w:type="dxa"/>
            <w:gridSpan w:val="3"/>
            <w:tcBorders/>
          </w:tcPr>
          <w:p>
            <w:pPr>
              <w:pStyle w:val="TableContents"/>
              <w:bidi w:val="0"/>
              <w:spacing w:before="0" w:after="283"/>
              <w:jc w:val="left"/>
              <w:rPr/>
            </w:pPr>
            <w:r>
              <w:rPr/>
              <w:t>Title: Trustee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Sixteenth</w:t>
      </w:r>
      <w:r>
        <w:rPr>
          <w:rFonts w:ascii="Times New Roman" w:hAnsi="Times New Roman"/>
          <w:sz w:val="20"/>
        </w:rPr>
        <w:t xml:space="preserve"> </w:t>
      </w:r>
      <w:r>
        <w:rPr>
          <w:rFonts w:ascii="Times New Roman" w:hAnsi="Times New Roman"/>
          <w:i/>
          <w:sz w:val="20"/>
        </w:rPr>
        <w:t>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7"/>
        <w:gridCol w:w="120"/>
        <w:gridCol w:w="3305"/>
      </w:tblGrid>
      <w:tr>
        <w:trPr/>
        <w:tc>
          <w:tcPr>
            <w:tcW w:w="6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N.A., as the Trustee</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Troy Clement</w:t>
            </w:r>
          </w:p>
        </w:tc>
      </w:tr>
      <w:tr>
        <w:trPr/>
        <w:tc>
          <w:tcPr>
            <w:tcW w:w="4082" w:type="dxa"/>
            <w:gridSpan w:val="3"/>
            <w:tcBorders/>
          </w:tcPr>
          <w:p>
            <w:pPr>
              <w:pStyle w:val="TableContents"/>
              <w:bidi w:val="0"/>
              <w:spacing w:before="0" w:after="283"/>
              <w:jc w:val="left"/>
              <w:rPr/>
            </w:pPr>
            <w:r>
              <w:rPr/>
              <w:t>Name: Troy Clement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Sixteenth</w:t>
      </w:r>
      <w:r>
        <w:rPr>
          <w:rFonts w:ascii="Times New Roman" w:hAnsi="Times New Roman"/>
          <w:sz w:val="20"/>
        </w:rPr>
        <w:t xml:space="preserve"> </w:t>
      </w:r>
      <w:r>
        <w:rPr>
          <w:rFonts w:ascii="Times New Roman" w:hAnsi="Times New Roman"/>
          <w:i/>
          <w:sz w:val="20"/>
        </w:rPr>
        <w:t>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EXTRA SPACE STORAGE LP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SIXTEENTH SUPPLEMENTAL INDENTURE GOVERNING THIS NOTE) OR ITS NOMINEE IN CUSTODY FOR THE BENEFIT OF THE BENEFICIAL OWNERS HEREOF, AND IS NOT TRANSFERABLE TO ANY PERSON UNDER ANY CIRCUMSTANCES EXCEPT THAT (I) THE TRUSTEE MAY MAKE SUCH NOTATIONS HEREON AS MAY BE REQUIRED PURSUANT TO SECTION 3.2 OF THE SIXTEENTH SUPPLEMENTAL INDENTURE, (II) THIS GLOBAL NOTE MAY BE EXCHANGED IN WHOLE BUT NOT IN PART PURSUANT TO SECTION 3.2(a) OF THE SIXTEENTH SUPPLEMENTAL INDENTURE, (III) THIS GLOBAL NOTE MAY BE DELIVERED TO THE TRUSTEE FOR CANCELLATION PURSUANT TO SECTION 2.12 OF THE BASE INDENTURE AND (IV) THIS GLOBAL NOTE MAY BE TRANSFERRED TO A SUCCESSOR DEPOSITARY WITH THE PRIOR WRITTEN CONSENT OF EXTRA SPACE STORAGE LP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EXTRA SPACE STORAGE LP </w:t>
      </w:r>
    </w:p>
    <w:p>
      <w:pPr>
        <w:pStyle w:val="TextBody"/>
        <w:bidi w:val="0"/>
        <w:spacing w:before="240" w:after="0"/>
        <w:jc w:val="center"/>
        <w:rPr>
          <w:rFonts w:ascii="Times New Roman" w:hAnsi="Times New Roman"/>
          <w:b/>
          <w:sz w:val="20"/>
        </w:rPr>
      </w:pPr>
      <w:r>
        <w:rPr>
          <w:rFonts w:ascii="Times New Roman" w:hAnsi="Times New Roman"/>
          <w:b/>
          <w:sz w:val="20"/>
        </w:rPr>
        <w:t xml:space="preserve">4.900% SENIOR NOTES DUE 2032 </w:t>
      </w:r>
    </w:p>
    <w:p>
      <w:pPr>
        <w:pStyle w:val="TextBody"/>
        <w:bidi w:val="0"/>
        <w:spacing w:before="240" w:after="0"/>
        <w:jc w:val="left"/>
        <w:rPr>
          <w:rFonts w:ascii="Times New Roman" w:hAnsi="Times New Roman"/>
          <w:b/>
          <w:sz w:val="20"/>
        </w:rPr>
      </w:pPr>
      <w:r>
        <w:rPr>
          <w:rFonts w:ascii="Times New Roman" w:hAnsi="Times New Roman"/>
          <w:b/>
          <w:sz w:val="20"/>
        </w:rPr>
        <w:t xml:space="preserve">Certificate No. [] </w:t>
      </w:r>
    </w:p>
    <w:p>
      <w:pPr>
        <w:pStyle w:val="TextBody"/>
        <w:bidi w:val="0"/>
        <w:spacing w:before="240" w:after="0"/>
        <w:jc w:val="left"/>
        <w:rPr>
          <w:rFonts w:ascii="Times New Roman" w:hAnsi="Times New Roman"/>
          <w:sz w:val="20"/>
        </w:rPr>
      </w:pPr>
      <w:r>
        <w:rPr>
          <w:rFonts w:ascii="Times New Roman" w:hAnsi="Times New Roman"/>
          <w:b/>
          <w:sz w:val="20"/>
        </w:rPr>
        <w:t xml:space="preserve">CUSIP No.: </w:t>
      </w:r>
      <w:r>
        <w:rPr>
          <w:rFonts w:ascii="Times New Roman" w:hAnsi="Times New Roman"/>
          <w:sz w:val="20"/>
        </w:rPr>
        <w:t xml:space="preserve">30225V AW7 </w:t>
      </w:r>
    </w:p>
    <w:p>
      <w:pPr>
        <w:pStyle w:val="TextBody"/>
        <w:bidi w:val="0"/>
        <w:spacing w:before="240" w:after="0"/>
        <w:jc w:val="left"/>
        <w:rPr>
          <w:rFonts w:ascii="Times New Roman" w:hAnsi="Times New Roman"/>
          <w:sz w:val="20"/>
        </w:rPr>
      </w:pPr>
      <w:r>
        <w:rPr>
          <w:rFonts w:ascii="Times New Roman" w:hAnsi="Times New Roman"/>
          <w:b/>
          <w:sz w:val="20"/>
        </w:rPr>
        <w:t xml:space="preserve">ISIN: </w:t>
      </w:r>
      <w:r>
        <w:rPr>
          <w:rFonts w:ascii="Times New Roman" w:hAnsi="Times New Roman"/>
          <w:sz w:val="20"/>
        </w:rPr>
        <w:t xml:space="preserve">US30225VAW72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Extra Space Storage LP, a Delaware limited partnership (herein called the “</w:t>
      </w:r>
      <w:r>
        <w:rPr>
          <w:rFonts w:ascii="Times New Roman" w:hAnsi="Times New Roman"/>
          <w:b/>
          <w:sz w:val="20"/>
        </w:rPr>
        <w:t>Company</w:t>
      </w:r>
      <w:r>
        <w:rPr>
          <w:rFonts w:ascii="Times New Roman" w:hAnsi="Times New Roman"/>
          <w:sz w:val="20"/>
        </w:rPr>
        <w:t xml:space="preserve">,” which term includes any successor corporation under the Indenture referred to on the reverse hereof), for value received hereby promises to pay to Cede &amp; Co., or its registered assigns, the principal sum of [] DOLLARS ($[])[, or such lesser amount as is set forth in the Schedule of Exchanges of Interests in the Global Note on the other side of this Note,] on February 1, 2032 at the office or agency of the Company maintained for that purpose in accordance with the terms of the Indenture, in such coin or currency of the United States of America as at the time of payment shall be legal tender for the payment of public and private debts, and to pay interest semi-annually in arrears on February 1 and August 1 of each year, commencing on February 1, 2027, to the Holder in whose name the Note is registered in the security register on the preceding January 15 or July 15, whether or not a Business Day, as the case may be, in accordance with the terms of the Indenture. Interest on the Notes will accrue from and including July 6, 2026. Interest on the Notes will be computed on the basis of a 360-day year consisting of twelve 30-day months. The Company shall pay interest on any Notes in certificated form by check mailed to the address of the Holder entitled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Holder of any Notes in certificated form in the aggregate principal amount of more than $2,000,000 may specify by written notice to the Company that it pay interest by wire transfer of immediately available funds to the account specified by the Holder in such notice, or on any Global Notes by wire transfer of immediately available funds to the account of the Depositary or its nominee. This Note shall not be valid or become obligatory for any purpose until the certificate of authentication hereon shall have been signed manually by the Trustee or a duly authorized authenticating agent under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July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EXTRA SPACE STORAGE LP</w:t>
            </w:r>
          </w:p>
        </w:tc>
      </w:tr>
      <w:tr>
        <w:trPr/>
        <w:tc>
          <w:tcPr>
            <w:tcW w:w="4082" w:type="dxa"/>
            <w:gridSpan w:val="3"/>
            <w:tcBorders/>
          </w:tcPr>
          <w:p>
            <w:pPr>
              <w:pStyle w:val="TableContents"/>
              <w:bidi w:val="0"/>
              <w:spacing w:before="0" w:after="283"/>
              <w:jc w:val="left"/>
              <w:rPr/>
            </w:pPr>
            <w:r>
              <w:rPr/>
              <w:t>By: ESS Holdings Business Trust I,</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Its general partner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described in the within-named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July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1"/>
        <w:gridCol w:w="60"/>
        <w:gridCol w:w="3631"/>
      </w:tblGrid>
      <w:tr>
        <w:trPr/>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N.A.,</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391" w:type="dxa"/>
            <w:tcBorders/>
            <w:vAlign w:val="center"/>
          </w:tcPr>
          <w:p>
            <w:pPr>
              <w:pStyle w:val="TableContents"/>
              <w:bidi w:val="0"/>
              <w:spacing w:before="0" w:after="283"/>
              <w:jc w:val="left"/>
              <w:rPr>
                <w:sz w:val="4"/>
                <w:szCs w:val="4"/>
              </w:rPr>
            </w:pPr>
            <w:r>
              <w:rPr>
                <w:sz w:val="4"/>
                <w:szCs w:val="4"/>
              </w:rPr>
            </w:r>
          </w:p>
        </w:tc>
        <w:tc>
          <w:tcPr>
            <w:tcW w:w="369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1" w:type="dxa"/>
            <w:tcBorders/>
          </w:tcPr>
          <w:p>
            <w:pPr>
              <w:pStyle w:val="TableContents"/>
              <w:pBdr>
                <w:bottom w:val="single" w:sz="2" w:space="1" w:color="000000"/>
              </w:pBdr>
              <w:bidi w:val="0"/>
              <w:spacing w:before="0" w:after="20"/>
              <w:jc w:val="left"/>
              <w:rPr/>
            </w:pPr>
            <w:r>
              <w:rPr/>
              <w:t> </w:t>
            </w:r>
          </w:p>
        </w:tc>
      </w:tr>
      <w:tr>
        <w:trPr/>
        <w:tc>
          <w:tcPr>
            <w:tcW w:w="39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1" w:type="dxa"/>
            <w:tcBorders/>
          </w:tcPr>
          <w:p>
            <w:pPr>
              <w:pStyle w:val="TableContents"/>
              <w:bidi w:val="0"/>
              <w:spacing w:before="0" w:after="283"/>
              <w:jc w:val="center"/>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SIDE OF NOTE] </w:t>
      </w:r>
    </w:p>
    <w:p>
      <w:pPr>
        <w:pStyle w:val="TextBody"/>
        <w:bidi w:val="0"/>
        <w:spacing w:before="240" w:after="0"/>
        <w:jc w:val="center"/>
        <w:rPr>
          <w:rFonts w:ascii="Times New Roman" w:hAnsi="Times New Roman"/>
          <w:b/>
          <w:sz w:val="20"/>
        </w:rPr>
      </w:pPr>
      <w:r>
        <w:rPr>
          <w:rFonts w:ascii="Times New Roman" w:hAnsi="Times New Roman"/>
          <w:b/>
          <w:sz w:val="20"/>
        </w:rPr>
        <w:t xml:space="preserve">EXTRA SPACE STORAGE LP </w:t>
      </w:r>
    </w:p>
    <w:p>
      <w:pPr>
        <w:pStyle w:val="TextBody"/>
        <w:bidi w:val="0"/>
        <w:spacing w:before="240" w:after="0"/>
        <w:jc w:val="center"/>
        <w:rPr>
          <w:rFonts w:ascii="Times New Roman" w:hAnsi="Times New Roman"/>
          <w:b/>
          <w:sz w:val="20"/>
        </w:rPr>
      </w:pPr>
      <w:r>
        <w:rPr>
          <w:rFonts w:ascii="Times New Roman" w:hAnsi="Times New Roman"/>
          <w:b/>
          <w:sz w:val="20"/>
        </w:rPr>
        <w:t xml:space="preserve">4.900% SENIOR NOTES DUE 2032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of the Company, designated as its 4.900% Senior Notes due 2032 (herein called the “</w:t>
      </w:r>
      <w:r>
        <w:rPr>
          <w:rFonts w:ascii="Times New Roman" w:hAnsi="Times New Roman"/>
          <w:b/>
          <w:sz w:val="20"/>
        </w:rPr>
        <w:t>Notes</w:t>
      </w:r>
      <w:r>
        <w:rPr>
          <w:rFonts w:ascii="Times New Roman" w:hAnsi="Times New Roman"/>
          <w:sz w:val="20"/>
        </w:rPr>
        <w:t>”), issued under and pursuant to an Indenture dated as of May 11, 2021 (herein called the “</w:t>
      </w:r>
      <w:r>
        <w:rPr>
          <w:rFonts w:ascii="Times New Roman" w:hAnsi="Times New Roman"/>
          <w:b/>
          <w:sz w:val="20"/>
        </w:rPr>
        <w:t>Base Indenture</w:t>
      </w:r>
      <w:r>
        <w:rPr>
          <w:rFonts w:ascii="Times New Roman" w:hAnsi="Times New Roman"/>
          <w:sz w:val="20"/>
        </w:rPr>
        <w:t>”), among the Company, the Guarantors and Computershare Trust Company, N.A. (as successor to Wells Fargo Bank, National Association), as trustee (herein called the “</w:t>
      </w:r>
      <w:r>
        <w:rPr>
          <w:rFonts w:ascii="Times New Roman" w:hAnsi="Times New Roman"/>
          <w:b/>
          <w:sz w:val="20"/>
        </w:rPr>
        <w:t>Trustee</w:t>
      </w:r>
      <w:r>
        <w:rPr>
          <w:rFonts w:ascii="Times New Roman" w:hAnsi="Times New Roman"/>
          <w:sz w:val="20"/>
        </w:rPr>
        <w:t>”), as supplemented by the Sixteenth Supplemental Indenture, dated as of July 6, 2026 (herein called the “</w:t>
      </w:r>
      <w:r>
        <w:rPr>
          <w:rFonts w:ascii="Times New Roman" w:hAnsi="Times New Roman"/>
          <w:b/>
          <w:sz w:val="20"/>
        </w:rPr>
        <w:t>Sixteenth 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Company, the Guarantors and the Holders of the Notes. Capitalized terms used but not otherwise defined in this Note shall have the respective meanings ascribed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Sections 7.1(e), 7.1(f) and 7.1(g) of the Sixteenth Supplemental Indenture with respect to the Company) occurs and is continuing, the principal of, premium, if any, and accrued and unpaid interest on all Notes may be declared to be due and payable by either the Trustee or the Holders of at least 25% in aggregate principal amount of the Notes then outstanding, and, upon said declaration the same shall be immediately due and payable. If an Event of Default specified in Sections 7.1(e), 7.1(f) and 7.1(g) of the Sixteenth Supplemental Indenture occurs, the principal of and premium, if any, and interest accrued and unpaid on all the Notes shall be immediately and automatically due and payable without necessity of further action.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Company, the Guarantors and the Trustee, with the consent of the Holders of not less than a majority in aggregate principal amount of the Notes at the time outstanding, to execute supplemental indentures adding any provisions to or changing in any manner or eliminating any of the provisions of the Indenture or of any supplemental indenture or modifying in any manner the rights of the Holders of the Notes, subject to exceptions set forth in Section 8.2 of the Sixteenth Supplemental Indenture. Subject to the provisions of the Indenture, the Holders of not less than a majority in aggregate principal amount of the Notes at the time outstanding may, on behalf of the Holders of all of the Notes, waive any past default or Event of Default, subject to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impair, as among the Company and the Holder of the Notes, the obligation of the Company, which is absolute and unconditional, to pay the principal of, premium, if any, and interest on this Note at the place, at the respective times, at the rate and in the coin or currency prescribed herein and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shall be computed on the basis of a 360-day year consisting of twelve 30-day months.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issuable in fully registered form, without coupons, in minimum denominations of $2,000 principal amount and any multiple of $1,000. At the office or agency of the Company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have the right to redeem the Notes under certain circumstances as set forth in Section 4.1, Section 4.2 and Section 4.3 of the Sixteenth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redemption through the operation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Guarantor to the Holders of the Notes and to the Trustee pursuant to the Note Guarantee and the Indenture are expressly set forth in Article V of the Sixteenth Supplemental Indenture and reference is hereby made to such Indenture for the precise terms of the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provided in Article V of the Sixteenth Supplemental Indenture, no recourse for the payment of the principal of (including the Redemption Price (as defined in Section 4.1 of the Sixteenth Supplemental Indenture) upon redemption pursuant to Article IV of the Sixteenth Supplemental Indenture) or any premium, if any, or interest on this Note, or for any claim based hereon or otherwise in respect hereof, and no recourse under or upon any obligation, covenant or agreement of the Company in the Indenture or in any Note, or because of the creation of any indebtedness represented thereby, shall be had against any incorporator, stockholder, partner, member, manager, employee, agent, officer, director or subsidiary, as such, past, present or future, of any Guarantor, the Company or any of the Company’s Subsidiaries or of any successor thereto, either directly or through such Guarantor, the Company or any of the Company’s subsidiaries or of any successor thereto, whether by virtue of any constitution, statute or rule of law, or by the enforcement of any assessment or penalty or otherwise; it being expressly understood that all such liability is hereby expressly waived and released as a condition of, and as consideration for, the execution of the Indenture and the issue of this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101"/>
        <w:gridCol w:w="6941"/>
      </w:tblGrid>
      <w:tr>
        <w:trPr/>
        <w:tc>
          <w:tcPr>
            <w:tcW w:w="316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941"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 or (we) assign and transfer this Note to:</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6941" w:type="dxa"/>
            <w:tcBorders>
              <w:bottom w:val="single" w:sz="2" w:space="0" w:color="000000"/>
            </w:tcBorders>
            <w:tcMar>
              <w:bottom w:w="28" w:type="dxa"/>
            </w:tcMar>
          </w:tcPr>
          <w:p>
            <w:pPr>
              <w:pStyle w:val="TableContents"/>
              <w:bidi w:val="0"/>
              <w:spacing w:before="0" w:after="283"/>
              <w:jc w:val="left"/>
              <w:rPr/>
            </w:pPr>
            <w:r>
              <w:rPr/>
              <w:t> </w:t>
            </w:r>
          </w:p>
        </w:tc>
      </w:tr>
      <w:tr>
        <w:trPr/>
        <w:tc>
          <w:tcPr>
            <w:tcW w:w="316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941" w:type="dxa"/>
            <w:tcBorders/>
          </w:tcPr>
          <w:p>
            <w:pPr>
              <w:pStyle w:val="TableContents"/>
              <w:bidi w:val="0"/>
              <w:spacing w:before="0" w:after="283"/>
              <w:jc w:val="left"/>
              <w:rPr/>
            </w:pPr>
            <w:r>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Date:</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317"/>
        <w:gridCol w:w="60"/>
        <w:gridCol w:w="1705"/>
      </w:tblGrid>
      <w:tr>
        <w:trPr/>
        <w:tc>
          <w:tcPr>
            <w:tcW w:w="23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2317" w:type="dxa"/>
            <w:tcBorders/>
          </w:tcPr>
          <w:p>
            <w:pPr>
              <w:pStyle w:val="TableContents"/>
              <w:bidi w:val="0"/>
              <w:spacing w:before="0" w:after="283"/>
              <w:jc w:val="left"/>
              <w:rPr/>
            </w:pPr>
            <w:r>
              <w:rPr/>
              <w:t>Signature Guarantee*:</w:t>
            </w:r>
          </w:p>
        </w:tc>
        <w:tc>
          <w:tcPr>
            <w:tcW w:w="60" w:type="dxa"/>
            <w:tcBorders/>
            <w:vAlign w:val="bottom"/>
          </w:tcPr>
          <w:p>
            <w:pPr>
              <w:pStyle w:val="TableContents"/>
              <w:bidi w:val="0"/>
              <w:spacing w:before="0" w:after="283"/>
              <w:jc w:val="left"/>
              <w:rPr/>
            </w:pPr>
            <w:r>
              <w:rPr/>
              <w:t> </w:t>
            </w:r>
          </w:p>
        </w:tc>
        <w:tc>
          <w:tcPr>
            <w:tcW w:w="170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39"/>
        <w:gridCol w:w="102"/>
        <w:gridCol w:w="2042"/>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 Exchange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w:t>
            </w:r>
          </w:p>
          <w:p>
            <w:pPr>
              <w:pStyle w:val="TableContents"/>
              <w:bidi w:val="0"/>
              <w:spacing w:before="0" w:after="0"/>
              <w:jc w:val="center"/>
              <w:rPr>
                <w:rFonts w:ascii="Times New Roman" w:hAnsi="Times New Roman"/>
                <w:sz w:val="16"/>
              </w:rPr>
            </w:pPr>
            <w:r>
              <w:rPr>
                <w:rFonts w:ascii="Times New Roman" w:hAnsi="Times New Roman"/>
                <w:sz w:val="16"/>
              </w:rPr>
              <w:t>in principal amount</w:t>
            </w:r>
          </w:p>
          <w:p>
            <w:pPr>
              <w:pStyle w:val="TableContents"/>
              <w:bidi w:val="0"/>
              <w:spacing w:before="0" w:after="0"/>
              <w:jc w:val="center"/>
              <w:rPr>
                <w:rFonts w:ascii="Times New Roman" w:hAnsi="Times New Roman"/>
                <w:sz w:val="16"/>
              </w:rPr>
            </w:pPr>
            <w:r>
              <w:rPr>
                <w:rFonts w:ascii="Times New Roman" w:hAnsi="Times New Roman"/>
                <w:sz w:val="16"/>
              </w:rPr>
              <w:t>at maturity of 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1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w:t>
            </w:r>
          </w:p>
          <w:p>
            <w:pPr>
              <w:pStyle w:val="TableContents"/>
              <w:bidi w:val="0"/>
              <w:spacing w:before="0" w:after="0"/>
              <w:jc w:val="center"/>
              <w:rPr>
                <w:rFonts w:ascii="Times New Roman" w:hAnsi="Times New Roman"/>
                <w:sz w:val="16"/>
              </w:rPr>
            </w:pPr>
            <w:r>
              <w:rPr>
                <w:rFonts w:ascii="Times New Roman" w:hAnsi="Times New Roman"/>
                <w:sz w:val="16"/>
              </w:rPr>
              <w:t>in principal amount</w:t>
            </w:r>
          </w:p>
          <w:p>
            <w:pPr>
              <w:pStyle w:val="TableContents"/>
              <w:bidi w:val="0"/>
              <w:spacing w:before="0" w:after="0"/>
              <w:jc w:val="center"/>
              <w:rPr>
                <w:rFonts w:ascii="Times New Roman" w:hAnsi="Times New Roman"/>
                <w:sz w:val="16"/>
              </w:rPr>
            </w:pPr>
            <w:r>
              <w:rPr>
                <w:rFonts w:ascii="Times New Roman" w:hAnsi="Times New Roman"/>
                <w:sz w:val="16"/>
              </w:rPr>
              <w:t>at maturity of this</w:t>
            </w:r>
          </w:p>
          <w:p>
            <w:pPr>
              <w:pStyle w:val="TableContents"/>
              <w:bidi w:val="0"/>
              <w:spacing w:before="0" w:after="20"/>
              <w:jc w:val="center"/>
              <w:rPr>
                <w:rFonts w:ascii="Times New Roman" w:hAnsi="Times New Roman"/>
                <w:sz w:val="16"/>
              </w:rPr>
            </w:pPr>
            <w:r>
              <w:rPr>
                <w:rFonts w:ascii="Times New Roman" w:hAnsi="Times New Roman"/>
                <w:sz w:val="16"/>
              </w:rPr>
              <w:t>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 of this Global</w:t>
            </w:r>
          </w:p>
          <w:p>
            <w:pPr>
              <w:pStyle w:val="TableContents"/>
              <w:bidi w:val="0"/>
              <w:spacing w:before="0" w:after="0"/>
              <w:jc w:val="center"/>
              <w:rPr>
                <w:rFonts w:ascii="Times New Roman" w:hAnsi="Times New Roman"/>
                <w:sz w:val="16"/>
              </w:rPr>
            </w:pPr>
            <w:r>
              <w:rPr>
                <w:rFonts w:ascii="Times New Roman" w:hAnsi="Times New Roman"/>
                <w:sz w:val="16"/>
              </w:rPr>
              <w:t>Note following such</w:t>
            </w:r>
          </w:p>
          <w:p>
            <w:pPr>
              <w:pStyle w:val="TableContents"/>
              <w:bidi w:val="0"/>
              <w:spacing w:before="0" w:after="20"/>
              <w:jc w:val="center"/>
              <w:rPr>
                <w:rFonts w:ascii="Times New Roman" w:hAnsi="Times New Roman"/>
                <w:sz w:val="16"/>
              </w:rPr>
            </w:pPr>
            <w:r>
              <w:rPr>
                <w:rFonts w:ascii="Times New Roman" w:hAnsi="Times New Roman"/>
                <w:sz w:val="16"/>
              </w:rPr>
              <w:t>decrease (or 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officer</w:t>
            </w:r>
          </w:p>
          <w:p>
            <w:pPr>
              <w:pStyle w:val="TableContents"/>
              <w:bidi w:val="0"/>
              <w:spacing w:before="0" w:after="0"/>
              <w:jc w:val="center"/>
              <w:rPr>
                <w:rFonts w:ascii="Times New Roman" w:hAnsi="Times New Roman"/>
                <w:sz w:val="16"/>
              </w:rPr>
            </w:pPr>
            <w:r>
              <w:rPr>
                <w:rFonts w:ascii="Times New Roman" w:hAnsi="Times New Roman"/>
                <w:sz w:val="16"/>
              </w:rPr>
              <w:t>of Trustee or</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r>
        <w:trPr/>
        <w:tc>
          <w:tcPr>
            <w:tcW w:w="183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Note is issued in global form. </w:t>
            </w:r>
          </w:p>
        </w:tc>
      </w:tr>
    </w:tbl>
    <w:p>
      <w:pPr>
        <w:pStyle w:val="TextBody"/>
        <w:bidi w:val="0"/>
        <w:spacing w:before="0" w:after="0"/>
        <w:jc w:val="right"/>
        <w:rPr>
          <w:rFonts w:ascii="Times New Roman" w:hAnsi="Times New Roman"/>
          <w:b/>
          <w:sz w:val="20"/>
        </w:rPr>
      </w:pPr>
      <w:bookmarkStart w:id="4" w:name="d152545dex51.htm"/>
      <w:bookmarkStart w:id="5" w:name="ksd152545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86"/>
        <w:gridCol w:w="97"/>
        <w:gridCol w:w="1920"/>
        <w:gridCol w:w="123"/>
        <w:gridCol w:w="1510"/>
        <w:gridCol w:w="123"/>
        <w:gridCol w:w="2246"/>
      </w:tblGrid>
      <w:tr>
        <w:trPr/>
        <w:tc>
          <w:tcPr>
            <w:tcW w:w="4186"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879" w:type="dxa"/>
            <w:gridSpan w:val="3"/>
            <w:tcBorders/>
          </w:tcPr>
          <w:p>
            <w:pPr>
              <w:pStyle w:val="TableContents"/>
              <w:bidi w:val="0"/>
              <w:spacing w:before="0" w:after="283"/>
              <w:jc w:val="left"/>
              <w:rPr/>
            </w:pPr>
            <w:r>
              <w:rPr/>
              <w:t>12670 High Bluff Drive</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879" w:type="dxa"/>
            <w:gridSpan w:val="3"/>
            <w:tcBorders/>
          </w:tcPr>
          <w:p>
            <w:pPr>
              <w:pStyle w:val="TableContents"/>
              <w:bidi w:val="0"/>
              <w:spacing w:before="0" w:after="283"/>
              <w:jc w:val="left"/>
              <w:rPr/>
            </w:pPr>
            <w:r>
              <w:rPr/>
              <w:t>San Diego, California 92130</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879" w:type="dxa"/>
            <w:gridSpan w:val="3"/>
            <w:tcBorders/>
          </w:tcPr>
          <w:p>
            <w:pPr>
              <w:pStyle w:val="TableContents"/>
              <w:bidi w:val="0"/>
              <w:spacing w:before="0" w:after="283"/>
              <w:jc w:val="left"/>
              <w:rPr/>
            </w:pPr>
            <w:r>
              <w:rPr/>
              <w:t>Tel: +1.858.523.5400 Fax: +1.858.523.5450</w:t>
            </w:r>
          </w:p>
        </w:tc>
      </w:tr>
      <w:tr>
        <w:trPr/>
        <w:tc>
          <w:tcPr>
            <w:tcW w:w="4186" w:type="dxa"/>
            <w:tcBorders/>
          </w:tcPr>
          <w:p>
            <w:pPr>
              <w:pStyle w:val="TableContents"/>
              <w:bidi w:val="0"/>
              <w:spacing w:before="0" w:after="283"/>
              <w:jc w:val="left"/>
              <w:rPr/>
            </w:pPr>
            <w:r>
              <w:rPr/>
              <w:drawing>
                <wp:inline distT="0" distB="0" distL="0" distR="0">
                  <wp:extent cx="26384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638425" cy="257175"/>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www.lw.com</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sz w:val="4"/>
                <w:szCs w:val="4"/>
              </w:rPr>
            </w:pPr>
            <w:r>
              <w:rPr>
                <w:sz w:val="4"/>
                <w:szCs w:val="4"/>
              </w:rPr>
            </w:r>
          </w:p>
        </w:tc>
      </w:tr>
      <w:tr>
        <w:trPr>
          <w:trHeight w:val="120" w:hRule="atLeast"/>
        </w:trPr>
        <w:tc>
          <w:tcPr>
            <w:tcW w:w="4186" w:type="dxa"/>
            <w:tcBorders/>
            <w:vAlign w:val="center"/>
          </w:tcPr>
          <w:p>
            <w:pPr>
              <w:pStyle w:val="TableContents"/>
              <w:bidi w:val="0"/>
              <w:spacing w:before="0" w:after="283"/>
              <w:jc w:val="left"/>
              <w:rPr>
                <w:sz w:val="4"/>
                <w:szCs w:val="4"/>
              </w:rPr>
            </w:pPr>
            <w:r>
              <w:rPr>
                <w:sz w:val="4"/>
                <w:szCs w:val="4"/>
              </w:rPr>
            </w:r>
          </w:p>
        </w:tc>
        <w:tc>
          <w:tcPr>
            <w:tcW w:w="2017" w:type="dxa"/>
            <w:gridSpan w:val="2"/>
            <w:tcBorders/>
            <w:vAlign w:val="center"/>
          </w:tcPr>
          <w:p>
            <w:pPr>
              <w:pStyle w:val="TableContents"/>
              <w:bidi w:val="0"/>
              <w:spacing w:before="0" w:after="283"/>
              <w:jc w:val="left"/>
              <w:rPr>
                <w:sz w:val="4"/>
                <w:szCs w:val="4"/>
              </w:rPr>
            </w:pPr>
            <w:r>
              <w:rPr>
                <w:sz w:val="4"/>
                <w:szCs w:val="4"/>
              </w:rPr>
            </w:r>
          </w:p>
        </w:tc>
        <w:tc>
          <w:tcPr>
            <w:tcW w:w="4002" w:type="dxa"/>
            <w:gridSpan w:val="4"/>
            <w:tcBorders/>
            <w:vAlign w:val="center"/>
          </w:tcPr>
          <w:p>
            <w:pPr>
              <w:pStyle w:val="TableContents"/>
              <w:bidi w:val="0"/>
              <w:spacing w:before="0" w:after="283"/>
              <w:jc w:val="left"/>
              <w:rPr>
                <w:sz w:val="4"/>
                <w:szCs w:val="4"/>
              </w:rPr>
            </w:pPr>
            <w:r>
              <w:rPr>
                <w:sz w:val="4"/>
                <w:szCs w:val="4"/>
              </w:rPr>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879" w:type="dxa"/>
            <w:gridSpan w:val="3"/>
            <w:tcBorders/>
          </w:tcPr>
          <w:p>
            <w:pPr>
              <w:pStyle w:val="TableContents"/>
              <w:bidi w:val="0"/>
              <w:spacing w:before="0" w:after="283"/>
              <w:jc w:val="left"/>
              <w:rPr/>
            </w:pPr>
            <w:r>
              <w:rPr/>
              <w:t>FIRM / AFFILIATE OFFICES</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Austin</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Milan</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Beijing</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Munich</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Boston</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New York</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Brussels</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Orange County</w:t>
            </w:r>
          </w:p>
        </w:tc>
      </w:tr>
      <w:tr>
        <w:trPr/>
        <w:tc>
          <w:tcPr>
            <w:tcW w:w="4186" w:type="dxa"/>
            <w:tcBorders/>
          </w:tcPr>
          <w:p>
            <w:pPr>
              <w:pStyle w:val="TableContents"/>
              <w:bidi w:val="0"/>
              <w:spacing w:before="0" w:after="283"/>
              <w:jc w:val="left"/>
              <w:rPr/>
            </w:pPr>
            <w:r>
              <w:rPr/>
              <w:t>July 6, 2026</w:t>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Century City</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Paris</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Chicago</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Riyadh</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Dubai</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San Diego</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Düsseldorf</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San Francisco</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Frankfurt</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Seoul</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Hamburg</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Silicon Valley</w:t>
            </w:r>
          </w:p>
        </w:tc>
      </w:tr>
      <w:tr>
        <w:trPr/>
        <w:tc>
          <w:tcPr>
            <w:tcW w:w="4186"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Hong Kong</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Singapore</w:t>
            </w:r>
          </w:p>
        </w:tc>
      </w:tr>
      <w:tr>
        <w:trPr/>
        <w:tc>
          <w:tcPr>
            <w:tcW w:w="4186" w:type="dxa"/>
            <w:tcBorders/>
          </w:tcPr>
          <w:p>
            <w:pPr>
              <w:pStyle w:val="TableContents"/>
              <w:bidi w:val="0"/>
              <w:spacing w:before="0" w:after="283"/>
              <w:jc w:val="left"/>
              <w:rPr/>
            </w:pPr>
            <w:r>
              <w:rPr/>
              <w:t>Extra Space Storage Inc.</w:t>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Houston</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Tel Aviv</w:t>
            </w:r>
          </w:p>
        </w:tc>
      </w:tr>
      <w:tr>
        <w:trPr/>
        <w:tc>
          <w:tcPr>
            <w:tcW w:w="4186" w:type="dxa"/>
            <w:tcBorders/>
          </w:tcPr>
          <w:p>
            <w:pPr>
              <w:pStyle w:val="TableContents"/>
              <w:bidi w:val="0"/>
              <w:spacing w:before="0" w:after="283"/>
              <w:jc w:val="left"/>
              <w:rPr/>
            </w:pPr>
            <w:r>
              <w:rPr/>
              <w:t>Extra Space Storage LP</w:t>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London</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Tokyo</w:t>
            </w:r>
          </w:p>
        </w:tc>
      </w:tr>
      <w:tr>
        <w:trPr/>
        <w:tc>
          <w:tcPr>
            <w:tcW w:w="4186" w:type="dxa"/>
            <w:tcBorders/>
          </w:tcPr>
          <w:p>
            <w:pPr>
              <w:pStyle w:val="TableContents"/>
              <w:bidi w:val="0"/>
              <w:spacing w:before="0" w:after="283"/>
              <w:jc w:val="left"/>
              <w:rPr/>
            </w:pPr>
            <w:r>
              <w:rPr/>
              <w:t>2795 East Cottonwood Parkway, Suite 300</w:t>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Los Angeles</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Washington, D.C.</w:t>
            </w:r>
          </w:p>
        </w:tc>
      </w:tr>
      <w:tr>
        <w:trPr/>
        <w:tc>
          <w:tcPr>
            <w:tcW w:w="4186" w:type="dxa"/>
            <w:tcBorders/>
          </w:tcPr>
          <w:p>
            <w:pPr>
              <w:pStyle w:val="TableContents"/>
              <w:bidi w:val="0"/>
              <w:spacing w:before="0" w:after="283"/>
              <w:jc w:val="left"/>
              <w:rPr/>
            </w:pPr>
            <w:r>
              <w:rPr/>
              <w:t>Salt Lake City, Utah 84121</w:t>
            </w:r>
          </w:p>
        </w:tc>
        <w:tc>
          <w:tcPr>
            <w:tcW w:w="97"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10" w:type="dxa"/>
            <w:tcBorders/>
          </w:tcPr>
          <w:p>
            <w:pPr>
              <w:pStyle w:val="TableContents"/>
              <w:bidi w:val="0"/>
              <w:spacing w:before="0" w:after="283"/>
              <w:jc w:val="left"/>
              <w:rPr/>
            </w:pPr>
            <w:r>
              <w:rPr/>
              <w:t>Madrid</w:t>
            </w:r>
          </w:p>
        </w:tc>
        <w:tc>
          <w:tcPr>
            <w:tcW w:w="123"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
        <w:gridCol w:w="101"/>
        <w:gridCol w:w="407"/>
        <w:gridCol w:w="102"/>
        <w:gridCol w:w="8881"/>
      </w:tblGrid>
      <w:tr>
        <w:trPr/>
        <w:tc>
          <w:tcPr>
            <w:tcW w:w="71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881" w:type="dxa"/>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Re:</w:t>
            </w:r>
          </w:p>
        </w:tc>
        <w:tc>
          <w:tcPr>
            <w:tcW w:w="102" w:type="dxa"/>
            <w:tcBorders/>
            <w:vAlign w:val="bottom"/>
          </w:tcPr>
          <w:p>
            <w:pPr>
              <w:pStyle w:val="TableContents"/>
              <w:bidi w:val="0"/>
              <w:spacing w:before="0" w:after="283"/>
              <w:jc w:val="left"/>
              <w:rPr/>
            </w:pPr>
            <w:r>
              <w:rPr/>
              <w:t> </w:t>
            </w:r>
          </w:p>
        </w:tc>
        <w:tc>
          <w:tcPr>
            <w:tcW w:w="8881" w:type="dxa"/>
            <w:tcBorders/>
          </w:tcPr>
          <w:p>
            <w:pPr>
              <w:pStyle w:val="TableContents"/>
              <w:bidi w:val="0"/>
              <w:spacing w:before="0" w:after="283"/>
              <w:jc w:val="left"/>
              <w:rPr>
                <w:u w:val="single"/>
              </w:rPr>
            </w:pPr>
            <w:r>
              <w:rPr>
                <w:u w:val="single"/>
              </w:rPr>
              <w:t>Registration Statement on Form S-3 and Prospectus Supplement; $550,000,000 Aggregate Principal Amount of Extra Space Storage LP’s 4.900% Senior Notes Due 2032</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addressees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Extra Space Storage Inc., a Maryland corporation (the “</w:t>
      </w:r>
      <w:r>
        <w:rPr>
          <w:rFonts w:ascii="Times New Roman" w:hAnsi="Times New Roman"/>
          <w:b/>
          <w:i/>
          <w:sz w:val="20"/>
        </w:rPr>
        <w:t>Company</w:t>
      </w:r>
      <w:r>
        <w:rPr>
          <w:rFonts w:ascii="Times New Roman" w:hAnsi="Times New Roman"/>
          <w:sz w:val="20"/>
        </w:rPr>
        <w:t>”), Extra Space Storage LP, a Delaware limited partnership (the “</w:t>
      </w:r>
      <w:r>
        <w:rPr>
          <w:rFonts w:ascii="Times New Roman" w:hAnsi="Times New Roman"/>
          <w:b/>
          <w:i/>
          <w:sz w:val="20"/>
        </w:rPr>
        <w:t>Operating Partnership</w:t>
      </w:r>
      <w:r>
        <w:rPr>
          <w:rFonts w:ascii="Times New Roman" w:hAnsi="Times New Roman"/>
          <w:sz w:val="20"/>
        </w:rPr>
        <w:t>”), ESS Holdings Business Trust I, a Massachusetts business trust (“</w:t>
      </w:r>
      <w:r>
        <w:rPr>
          <w:rFonts w:ascii="Times New Roman" w:hAnsi="Times New Roman"/>
          <w:b/>
          <w:i/>
          <w:sz w:val="20"/>
        </w:rPr>
        <w:t>EHBT I</w:t>
      </w:r>
      <w:r>
        <w:rPr>
          <w:rFonts w:ascii="Times New Roman" w:hAnsi="Times New Roman"/>
          <w:sz w:val="20"/>
        </w:rPr>
        <w:t>”), and ESS Holdings Business Trust II, a Massachusetts business trust (“</w:t>
      </w:r>
      <w:r>
        <w:rPr>
          <w:rFonts w:ascii="Times New Roman" w:hAnsi="Times New Roman"/>
          <w:b/>
          <w:i/>
          <w:sz w:val="20"/>
        </w:rPr>
        <w:t>EHBT II</w:t>
      </w:r>
      <w:r>
        <w:rPr>
          <w:rFonts w:ascii="Times New Roman" w:hAnsi="Times New Roman"/>
          <w:sz w:val="20"/>
        </w:rPr>
        <w:t>” and, together with EHBT I and the Company, the “</w:t>
      </w:r>
      <w:r>
        <w:rPr>
          <w:rFonts w:ascii="Times New Roman" w:hAnsi="Times New Roman"/>
          <w:b/>
          <w:i/>
          <w:sz w:val="20"/>
        </w:rPr>
        <w:t>Guarantors</w:t>
      </w:r>
      <w:r>
        <w:rPr>
          <w:rFonts w:ascii="Times New Roman" w:hAnsi="Times New Roman"/>
          <w:sz w:val="20"/>
        </w:rPr>
        <w:t>”), in connection with the issuance of $550,000,000 aggregate principal amount of the Operating Partnership’s 4.900% Senior Notes due 2032 (the “</w:t>
      </w:r>
      <w:r>
        <w:rPr>
          <w:rFonts w:ascii="Times New Roman" w:hAnsi="Times New Roman"/>
          <w:b/>
          <w:i/>
          <w:sz w:val="20"/>
        </w:rPr>
        <w:t>Notes</w:t>
      </w:r>
      <w:r>
        <w:rPr>
          <w:rFonts w:ascii="Times New Roman" w:hAnsi="Times New Roman"/>
          <w:sz w:val="20"/>
        </w:rPr>
        <w:t>”) and the guarantee of the Notes (the “</w:t>
      </w:r>
      <w:r>
        <w:rPr>
          <w:rFonts w:ascii="Times New Roman" w:hAnsi="Times New Roman"/>
          <w:b/>
          <w:i/>
          <w:sz w:val="20"/>
        </w:rPr>
        <w:t>Guarantees</w:t>
      </w:r>
      <w:r>
        <w:rPr>
          <w:rFonts w:ascii="Times New Roman" w:hAnsi="Times New Roman"/>
          <w:sz w:val="20"/>
        </w:rPr>
        <w:t>”) by the Guarantors, under an indenture dated as of May 11, 2021 (the “</w:t>
      </w:r>
      <w:r>
        <w:rPr>
          <w:rFonts w:ascii="Times New Roman" w:hAnsi="Times New Roman"/>
          <w:b/>
          <w:i/>
          <w:sz w:val="20"/>
        </w:rPr>
        <w:t>Base Indenture</w:t>
      </w:r>
      <w:r>
        <w:rPr>
          <w:rFonts w:ascii="Times New Roman" w:hAnsi="Times New Roman"/>
          <w:sz w:val="20"/>
        </w:rPr>
        <w:t>”) among the Operating Partnership, the Guarantors and Computershare Trust Company, N.A., as successor trustee to Wells Fargo Bank, National Association, as trustee (the “</w:t>
      </w:r>
      <w:r>
        <w:rPr>
          <w:rFonts w:ascii="Times New Roman" w:hAnsi="Times New Roman"/>
          <w:b/>
          <w:i/>
          <w:sz w:val="20"/>
        </w:rPr>
        <w:t>Trustee</w:t>
      </w:r>
      <w:r>
        <w:rPr>
          <w:rFonts w:ascii="Times New Roman" w:hAnsi="Times New Roman"/>
          <w:sz w:val="20"/>
        </w:rPr>
        <w:t>”), as supplemented by the Sixteenth Supplemental Indenture dated as of the date hereof, among the Operating Partnership, the Guarantors and the Trustee (the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and pursuant to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April 15, 2024 (Registration No. 333-278690) (as so filed and as amended, the “</w:t>
      </w:r>
      <w:r>
        <w:rPr>
          <w:rFonts w:ascii="Times New Roman" w:hAnsi="Times New Roman"/>
          <w:b/>
          <w:i/>
          <w:sz w:val="20"/>
        </w:rPr>
        <w:t>Registration Statement</w:t>
      </w:r>
      <w:r>
        <w:rPr>
          <w:rFonts w:ascii="Times New Roman" w:hAnsi="Times New Roman"/>
          <w:sz w:val="20"/>
        </w:rPr>
        <w:t>”), a base prospectus dated April 15, 2024 included as part of the Registration Statement (the “</w:t>
      </w:r>
      <w:r>
        <w:rPr>
          <w:rFonts w:ascii="Times New Roman" w:hAnsi="Times New Roman"/>
          <w:b/>
          <w:i/>
          <w:sz w:val="20"/>
        </w:rPr>
        <w:t>Base Prospectus</w:t>
      </w:r>
      <w:r>
        <w:rPr>
          <w:rFonts w:ascii="Times New Roman" w:hAnsi="Times New Roman"/>
          <w:sz w:val="20"/>
        </w:rPr>
        <w:t>”), a preliminary prospectus supplement dated June 24, 2026 filed with the Commission pursuant to Rule 424(b) under the Act, a prospectus supplement dated June 24,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and an underwriting agreement dated June 24, 2026 (the “</w:t>
      </w:r>
      <w:r>
        <w:rPr>
          <w:rFonts w:ascii="Times New Roman" w:hAnsi="Times New Roman"/>
          <w:b/>
          <w:i/>
          <w:sz w:val="20"/>
        </w:rPr>
        <w:t>Underwriting Agreement</w:t>
      </w:r>
      <w:r>
        <w:rPr>
          <w:rFonts w:ascii="Times New Roman" w:hAnsi="Times New Roman"/>
          <w:sz w:val="20"/>
        </w:rPr>
        <w:t xml:space="preserve">”) among the Operating Partnership, the Guarantors and Wells Fargo Securities, LLC, J.P. Morgan Securities LLC and Truist Securities, Inc., as representatives of the several underwriters named therein. This opinion is being furnished in connection with the requirements of Item 601(b)(5) of Regulation S-K under the Act, and no opinion is expressed herein as to any matter pertaining to the contents of the Registration Statement or Prospectus, other than as expressly stated herein with respect to the issue of the Notes and the Guarantees.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6,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09750"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809750" cy="161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Operating Partnership, the Guarantors and others as to factual matters without having independently verified such factual matters. We are opining herein as to general limited partnership law of the State of Delaware, and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 Various issues pertaining to Maryland law, including the due authorization of the Notes and Guarantee by the Company, are addressed in the opinion of Venable LLP, separately provided to you. Various issues pertaining to Massachusetts law, including the due authorization of the Guarantee by EHBT I and EHBT II, are addressed in the opinion of Verrill Dana LLP, separately provided to you. We express no opinion with respect to those matters herein, and to the extent elements of those opinions are necessary to the conclusions expressed herein, we have, with your consent, assumed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the Notes and the Guarantees will be legally valid and binding obligations of the Operating Partnership and the Guarantors, as applicable, enforceable against the Operating Partnership and the Guarantors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subject to: (a) the effects of bankruptcy, insolvency, reorganization, preference, fraudulent transfer, moratorium or other similar laws relating to or affecting the rights and remedies of creditors; (b) the effects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(c) the invalidity under certain circumstances under law or court decisions of provisions providing for the indemnification of or contribution to a party with respect to a liability where such indemnification or contribution is contrary to public policy. We express no opinion with respect to (i) consents to, or restrictions upon, governing law, jurisdiction, venue, service of process, arbitration, remedies or judicial relief; (ii) advance waivers of claims, defenses, rights granted by law, or notice, opportunity for hearing, evidentiary requirements, statutes of limitation, trial by jury or at law, or other procedural rights; (iii) waivers of rights or defenses contained in Sections 4.4 of the Base Indenture and Section 5.1(b) of the Supplemental Indenture (except, with respect to Section 5.1(b) of the Supplemental Indenture, to the extent such waiver is limited to the fullest extent that the Guarantors may do so under applicable law) and waivers of broadly or vaguely stated rights; (iv) provisions to the effect that a guarantor is liable as a primary obligor and not as a surety and provisions purporting to waive modifications of any guaranteed obligation to the extent such modification constitutes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July 6,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809750" cy="161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809750" cy="161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novation; (v) provisions for the payment of attorneys’ fees where such payment is contrary to law or public policy; (vi) provisions prohibiting, restricting, or requiring consent to assignment or transfer of any agreement, right or property; (vii) provisions for liquidated damages, default interest, late charges, monetary penalties, prepayment or make-whole premiums or other economic remedies to the extent such provisions are deemed to constitute a penalty; (viii) provisions permitting, upon acceleration of any indebtedness (including the Notes), collection of that portion of the stated principal amount thereof which might be determined to constitute unearned interest thereon; and (ix)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the Notes, the Indenture and the Guarantees (collectively, the “</w:t>
      </w:r>
      <w:r>
        <w:rPr>
          <w:rFonts w:ascii="Times New Roman" w:hAnsi="Times New Roman"/>
          <w:b/>
          <w:i/>
          <w:sz w:val="20"/>
        </w:rPr>
        <w:t>Documents</w:t>
      </w:r>
      <w:r>
        <w:rPr>
          <w:rFonts w:ascii="Times New Roman" w:hAnsi="Times New Roman"/>
          <w:sz w:val="20"/>
        </w:rPr>
        <w:t xml:space="preserve">”) have been duly authorized, executed and delivered by the parties thereto other than the Operating Partnership, (b) that the Documents constitute legally valid and binding obligations of the parties thereto, enforceable against each of them in accordance with their respective terms other than the Operating Partnership and each of the Guarantors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July 6, 2026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6" w:name="d152545dex52.htm"/>
      <w:bookmarkStart w:id="7" w:name="ksd152545dex52"/>
      <w:bookmarkEnd w:id="6"/>
      <w:bookmarkEnd w:id="7"/>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vMerge w:val="restart"/>
            <w:tcBorders/>
          </w:tcPr>
          <w:p>
            <w:pPr>
              <w:pStyle w:val="TableContents"/>
              <w:bidi w:val="0"/>
              <w:spacing w:before="0" w:after="283"/>
              <w:jc w:val="left"/>
              <w:rPr/>
            </w:pPr>
            <w:r>
              <w:rPr/>
              <w:drawing>
                <wp:inline distT="0" distB="0" distL="0" distR="0">
                  <wp:extent cx="2000250"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2000250" cy="4286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t>750 E. PRATT STREET SUITE 900 BALTIMORE, MD 21202</w:t>
            </w:r>
          </w:p>
        </w:tc>
      </w:tr>
      <w:tr>
        <w:trPr/>
        <w:tc>
          <w:tcPr>
            <w:tcW w:w="5103"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b/>
              </w:rPr>
              <w:t>T</w:t>
            </w:r>
            <w:r>
              <w:rPr/>
              <w:t xml:space="preserve"> 410.244.7400 </w:t>
            </w:r>
            <w:r>
              <w:rPr>
                <w:b/>
              </w:rPr>
              <w:t xml:space="preserve">F </w:t>
            </w:r>
            <w:r>
              <w:rPr/>
              <w:t>410.244.7742 www.Venable.com</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July 6, 2026 </w:t>
      </w:r>
    </w:p>
    <w:p>
      <w:pPr>
        <w:pStyle w:val="TextBody"/>
        <w:bidi w:val="0"/>
        <w:spacing w:before="24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2795 East Cottonwood Parkway </w:t>
      </w:r>
    </w:p>
    <w:p>
      <w:pPr>
        <w:pStyle w:val="TextBody"/>
        <w:bidi w:val="0"/>
        <w:spacing w:before="0" w:after="0"/>
        <w:jc w:val="left"/>
        <w:rPr>
          <w:rFonts w:ascii="Times New Roman" w:hAnsi="Times New Roman"/>
          <w:sz w:val="20"/>
        </w:rPr>
      </w:pPr>
      <w:r>
        <w:rPr>
          <w:rFonts w:ascii="Times New Roman" w:hAnsi="Times New Roman"/>
          <w:sz w:val="20"/>
        </w:rPr>
        <w:t xml:space="preserve">Suite 300 </w:t>
      </w:r>
    </w:p>
    <w:p>
      <w:pPr>
        <w:pStyle w:val="TextBody"/>
        <w:bidi w:val="0"/>
        <w:spacing w:before="0" w:after="0"/>
        <w:jc w:val="left"/>
        <w:rPr>
          <w:rFonts w:ascii="Times New Roman" w:hAnsi="Times New Roman"/>
          <w:sz w:val="20"/>
        </w:rPr>
      </w:pPr>
      <w:r>
        <w:rPr>
          <w:rFonts w:ascii="Times New Roman" w:hAnsi="Times New Roman"/>
          <w:sz w:val="20"/>
        </w:rPr>
        <w:t xml:space="preserve">Salt Lake City, Utah 84121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 (Registration No. 333-278690)</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Extra Space Storage Inc., a Maryland corporation (the “Company”), in connection with certain matters of Maryland law arising out of the issuance and sale by Extra Space Storage LP, a Delaware limited partnership (the “Operating Partnership”), of $550,000,000 in aggregate principal amount of 4.900% Senior Notes due 2032 (the “Notes”) and the guarantee by each of the Company, ESS Holdings Business Trust I, a Massachusetts business trust (“ESS Holdings Business Trust I”), and ESS Holdings Business Trust II, a Massachusetts business trust (together with the Company and ESS Holdings Business Trust I, the “Guarantors”), of the obligations of the Operating Partnership under the Notes, each covered by the above-referenced Registration Statement, and all amendments thereto (collectively, the “Registration Statement”), filed by the Guarantors and the Operating Partnership with the United States Securities and Exchange Commission (the “Commission”) under the Securities Act of 1933, as amended (the “1933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and the related form of prospectus included therein, substantially in the form in which it was transmitted to the Commission under the 1933 Act, related to the offering and guarantee of the Notes; </w:t>
      </w:r>
    </w:p>
    <w:p>
      <w:pPr>
        <w:pStyle w:val="TextBody"/>
        <w:bidi w:val="0"/>
        <w:spacing w:before="120" w:after="0"/>
        <w:jc w:val="left"/>
        <w:rPr>
          <w:rFonts w:ascii="Times New Roman" w:hAnsi="Times New Roman"/>
          <w:sz w:val="20"/>
        </w:rPr>
      </w:pPr>
      <w:r>
        <w:rPr>
          <w:rFonts w:ascii="Times New Roman" w:hAnsi="Times New Roman"/>
          <w:sz w:val="20"/>
        </w:rPr>
        <w:t xml:space="preserve">2. The Prospectus Supplement, dated June 24, 2026, in the form filed with the Commission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3. The charter of the Company, certified by the State Department of Assessments and Taxation of Maryland (the “SDAT”); </w:t>
      </w:r>
    </w:p>
    <w:p>
      <w:pPr>
        <w:pStyle w:val="TextBody"/>
        <w:bidi w:val="0"/>
        <w:spacing w:before="120" w:after="0"/>
        <w:jc w:val="left"/>
        <w:rPr>
          <w:rFonts w:ascii="Times New Roman" w:hAnsi="Times New Roman"/>
          <w:sz w:val="20"/>
        </w:rPr>
      </w:pPr>
      <w:r>
        <w:rPr>
          <w:rFonts w:ascii="Times New Roman" w:hAnsi="Times New Roman"/>
          <w:sz w:val="20"/>
        </w:rPr>
        <w:t xml:space="preserve">4. The Second Amended and Restated Bylaws of the Company, certified as of the date hereof by an officer of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0025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2000250" cy="428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July 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p>
    <w:p>
      <w:pPr>
        <w:pStyle w:val="TextBody"/>
        <w:bidi w:val="0"/>
        <w:spacing w:before="120" w:after="0"/>
        <w:jc w:val="left"/>
        <w:rPr>
          <w:rFonts w:ascii="Times New Roman" w:hAnsi="Times New Roman"/>
          <w:sz w:val="20"/>
        </w:rPr>
      </w:pPr>
      <w:r>
        <w:rPr>
          <w:rFonts w:ascii="Times New Roman" w:hAnsi="Times New Roman"/>
          <w:sz w:val="20"/>
        </w:rPr>
        <w:t xml:space="preserve">6. Resolutions adopted by the Board of Directors of the Company (the “Board”), and by a duly authorized committee of the Board, relating to, among other matters, (a) the sale and issuance of the Notes by the Operating Partnership, (b) the guarantee of the Notes by each of the Guarantors and (c) the execution and delivery of the Transaction Documents (as defined below), certified as of the date hereof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7. The Indenture, dated as of May 11, 2021 (the “Base Indenture”), as supplemented by the Sixteenth Supplemental Indenture relating to the Notes, dated as of July 6, 2026 (the “Supplemental Indenture” and, together with the Base Indenture, the “Indenture”), by and among the Operating Partnership, the Guarantors and Computershare Trust Company, N.A., as successor trustee to Wells Fargo Bank, National Association; </w:t>
      </w:r>
    </w:p>
    <w:p>
      <w:pPr>
        <w:pStyle w:val="TextBody"/>
        <w:bidi w:val="0"/>
        <w:spacing w:before="120" w:after="0"/>
        <w:jc w:val="left"/>
        <w:rPr>
          <w:rFonts w:ascii="Times New Roman" w:hAnsi="Times New Roman"/>
          <w:sz w:val="20"/>
        </w:rPr>
      </w:pPr>
      <w:r>
        <w:rPr>
          <w:rFonts w:ascii="Times New Roman" w:hAnsi="Times New Roman"/>
          <w:sz w:val="20"/>
        </w:rPr>
        <w:t xml:space="preserve">8. The Guarantee by the Guarantors, dated as of July 6, 2026, contained in the Indenture (the “Guarantee” and, together with the Indenture,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9. A certificate executed by an officer of the Company, dated as of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10.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another person, is legally competent to do so. </w:t>
      </w:r>
    </w:p>
    <w:p>
      <w:pPr>
        <w:pStyle w:val="TextBody"/>
        <w:bidi w:val="0"/>
        <w:spacing w:before="12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12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0025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2000250" cy="428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July 6,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phrase “known to us” is limited to the actual knowledge, without independent inquiry, of the lawyers currently at our firm who have performed legal services in connection with the issuance of this opinion.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validly existing under and by virtue of the laws of the State of Maryland and is in good standing with the SDAT. </w:t>
      </w:r>
    </w:p>
    <w:p>
      <w:pPr>
        <w:pStyle w:val="TextBody"/>
        <w:bidi w:val="0"/>
        <w:spacing w:before="120" w:after="0"/>
        <w:jc w:val="left"/>
        <w:rPr>
          <w:rFonts w:ascii="Times New Roman" w:hAnsi="Times New Roman"/>
          <w:sz w:val="20"/>
        </w:rPr>
      </w:pPr>
      <w:r>
        <w:rPr>
          <w:rFonts w:ascii="Times New Roman" w:hAnsi="Times New Roman"/>
          <w:sz w:val="20"/>
        </w:rPr>
        <w:t xml:space="preserve">2. The Company has the corporate power to enter into and perform its obligations under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3. The Transaction Documents have been duly authorized, executed and, so far as is known to us,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federal or state laws regarding fraudulent transfers or the laws, codes or regulations of any municipality or other local jurisdiction. The opinion expressed herein is subject to the effect of any judicial decision which may permit the introduction of parol evidence to modify the terms or the interpretation of agreements. We note that the Transaction Documents are governed by the laws of the State of New York. To the extent that any matter as to which our opinion is expressed herein would be governed by the laws of any jurisdiction other than the State of Maryland, we do not express any opinion on such matter.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000250" cy="42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2000250" cy="428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July 6,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Notes (the “Current Report”), which is incorporated by reference in the Registration Statement. Latham &amp; Watkins LLP, counsel to the Company and the Operating Partnership, may rely on this opinion in connection with its opinion of even date herewith relating to the Notes. We hereby consent to the filing of this opinion as an exhibit to the Current Report and to the use of the name of our firm therein. In giving this consent, we do not admit that we are within the category of persons whose consent is required by Section 7 of the 1933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Venable LLP</w:t>
            </w:r>
          </w:p>
        </w:tc>
      </w:tr>
    </w:tbl>
    <w:p>
      <w:pPr>
        <w:pStyle w:val="TextBody"/>
        <w:bidi w:val="0"/>
        <w:spacing w:before="0" w:after="0"/>
        <w:jc w:val="right"/>
        <w:rPr>
          <w:rFonts w:ascii="Times New Roman" w:hAnsi="Times New Roman"/>
          <w:b/>
          <w:sz w:val="20"/>
        </w:rPr>
      </w:pPr>
      <w:bookmarkStart w:id="8" w:name="d152545dex53.htm"/>
      <w:bookmarkStart w:id="9" w:name="ksd152545dex53"/>
      <w:bookmarkEnd w:id="8"/>
      <w:bookmarkEnd w:id="9"/>
      <w:r>
        <w:rPr>
          <w:rFonts w:ascii="Times New Roman" w:hAnsi="Times New Roman"/>
          <w:b/>
          <w:sz w:val="20"/>
        </w:rPr>
        <w:t xml:space="preserve">Exhibit 5.3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77175" cy="1181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7877175" cy="1181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6, 2026 </w:t>
      </w:r>
    </w:p>
    <w:p>
      <w:pPr>
        <w:pStyle w:val="TextBody"/>
        <w:bidi w:val="0"/>
        <w:spacing w:before="24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Extra Space Storage LP </w:t>
      </w:r>
    </w:p>
    <w:p>
      <w:pPr>
        <w:pStyle w:val="TextBody"/>
        <w:bidi w:val="0"/>
        <w:spacing w:before="0" w:after="0"/>
        <w:jc w:val="left"/>
        <w:rPr>
          <w:rFonts w:ascii="Times New Roman" w:hAnsi="Times New Roman"/>
          <w:sz w:val="20"/>
        </w:rPr>
      </w:pPr>
      <w:r>
        <w:rPr>
          <w:rFonts w:ascii="Times New Roman" w:hAnsi="Times New Roman"/>
          <w:sz w:val="20"/>
        </w:rPr>
        <w:t xml:space="preserve">2795 East Cottonwood Parkway </w:t>
      </w:r>
    </w:p>
    <w:p>
      <w:pPr>
        <w:pStyle w:val="TextBody"/>
        <w:bidi w:val="0"/>
        <w:spacing w:before="0" w:after="0"/>
        <w:jc w:val="left"/>
        <w:rPr>
          <w:rFonts w:ascii="Times New Roman" w:hAnsi="Times New Roman"/>
          <w:sz w:val="20"/>
        </w:rPr>
      </w:pPr>
      <w:r>
        <w:rPr>
          <w:rFonts w:ascii="Times New Roman" w:hAnsi="Times New Roman"/>
          <w:sz w:val="20"/>
        </w:rPr>
        <w:t xml:space="preserve">Suite 300 </w:t>
      </w:r>
    </w:p>
    <w:p>
      <w:pPr>
        <w:pStyle w:val="TextBody"/>
        <w:bidi w:val="0"/>
        <w:spacing w:before="0" w:after="0"/>
        <w:jc w:val="left"/>
        <w:rPr>
          <w:rFonts w:ascii="Times New Roman" w:hAnsi="Times New Roman"/>
          <w:sz w:val="20"/>
        </w:rPr>
      </w:pPr>
      <w:r>
        <w:rPr>
          <w:rFonts w:ascii="Times New Roman" w:hAnsi="Times New Roman"/>
          <w:sz w:val="20"/>
        </w:rPr>
        <w:t xml:space="preserve">Salt Lake City, UT 84121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Registration Statement on Form S-3 (Registration No.</w:t>
            </w:r>
            <w:r>
              <w:rPr>
                <w:rFonts w:ascii="Times New Roman" w:hAnsi="Times New Roman"/>
                <w:sz w:val="20"/>
              </w:rPr>
              <w:t> </w:t>
            </w:r>
            <w:r>
              <w:rPr>
                <w:rFonts w:ascii="Times New Roman" w:hAnsi="Times New Roman"/>
                <w:b/>
                <w:sz w:val="20"/>
              </w:rPr>
              <w:t>333-278690</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special Massachusetts counsel to ESS Holdings Business Trust I, a Massachusetts business trust (“ESS I”), and ESS Holdings Business Trust II, a Massachusetts business trust (“ESS II”) (each a “Trust” and collectively the “Trusts”), in connection with the issuance by Extra Space Storage LP, a Delaware limited partnership (the “Operating Partnership”), of $550,000,000 aggregate principal amount of its 4.900% Senior Notes due 2032 (the “Notes”) and the guarantee of the Notes (the “Guarantee”) by the Trusts and Extra Space Storage Inc., a Maryland corporation (collectively, the “Guarantors”), under an Indenture dated as of May 11, 2021 among the Operating Partnership, the Guarantors, and Computershare Trust Company, N.A. as successor trustee to Wells Fargo Bank, National Association, as supplemented by the Sixteenth Supplemental Indenture dated as of July 6, 2026 (as so supplemented, the “Indenture”). The Notes and the Guarantee are covered by the above-referenced Registration Statement, as amended to date (the “Registration Statement”), filed with the Securities and Exchange Commission (the “Commission”) under the Securities Act of 1933, as amended (the “Act”). </w:t>
      </w:r>
    </w:p>
    <w:p>
      <w:pPr>
        <w:pStyle w:val="TextBody"/>
        <w:bidi w:val="0"/>
        <w:spacing w:before="240" w:after="0"/>
        <w:jc w:val="left"/>
        <w:rPr>
          <w:rFonts w:ascii="Times New Roman" w:hAnsi="Times New Roman"/>
          <w:sz w:val="20"/>
        </w:rPr>
      </w:pPr>
      <w:r>
        <w:rPr>
          <w:rFonts w:ascii="Times New Roman" w:hAnsi="Times New Roman"/>
          <w:sz w:val="20"/>
        </w:rPr>
        <w:t xml:space="preserve">In such capacity, we have examined the following documents (the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including the base prospectus thereof dated April 15, 2024, (i) a preliminary prospectus supplement dated June 24, 2026, and (ii) a final prospectus supplement dated June 24, 2026 (the base prospectus as so supplemented,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(including the Guarantee contained therein) and the form of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and Declaration of Trust of ESS I, dated and filed with the Secretary of the Commonwealth of Massachusetts (the “Secretary”) on May 5, 2004, as amended by a Certificate of Amendment dated September 12, 2005 and filed with the Secretary on September 15, 2005, an Incumbency Certificate dated and filed with the Secretary on October 13, 2016, an Incumbency Certificate dated May 24, 2017 and filed with the Secretary on May 25, 2017, a Unanimous Written Consent dated August 15, 2017 and filed with the Secretary on August 18, 2017, a Unanimous Written Consent in Lieu of Meeting of the Board of Directors of the Trust dated August 1, 2025, and filed with the Secretary on August 1, 2025, and a Report of Voluntary Associations and Trusts, dated May 29, 2026, each of the foregoing as certified by the Secretary on June 16,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rFonts w:ascii="Times New Roman" w:hAnsi="Times New Roman"/>
          <w:sz w:val="20"/>
        </w:rPr>
      </w:pPr>
      <w:r>
        <w:rPr>
          <w:rFonts w:ascii="Times New Roman" w:hAnsi="Times New Roman"/>
          <w:sz w:val="20"/>
        </w:rPr>
        <w:t xml:space="preserve">July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 and Declaration of Trust of ESS II, dated and filed with the Secretary on May 5, 2004, as amended by a Certificate of Amendment dated September 12, 2005 and filed with the Secretary on September 15, 2005, an Incumbency Certificate dated and filed with the Secretary on October 13, 2016, an Incumbency Certificate dated May 24, 2017 and filed with the Secretary on May 25, 2017, a Unanimous Written Consent in Lieu of Meeting of the Board of Directors of the Trust dated August 15, 2017 and filed with the Secretary on August 18, 2017, a Unanimous Written Consent in Lieu of Meeting of the Board of Directors of the Trust dated and filed with the Secretary on August 1, 2025, and a Report of Voluntary Associations and Trusts, dated May 29, 2026, each of the foregoing as certified by the Secretary on June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Trustee’s Certificate of each Trust, dated as of the date hereof, certifying as to the accuracy and completeness of copies of the Agreement and Declaration of Trust of each Trust, the identity of the trustees of each Trust (the “Trustees”), and the adoption of certain resolutions by the Trustees relating to the Notes and the Guarantee;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of the Secretary, each dated June 15, 2026, attesting to the legal existence of each Trust (the “Legal Existence Certificates”).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without verification (i) the genuineness of all signatures, including the compliance of all electronic signatures with all laws relating thereto, (ii) the authenticity of all documents, agreements, and instruments submitted to us as originals, (iii) the conformity to original documents, agreements, and instruments of all documents, agreements, and instruments submitted to us as copies or specimens, (iv) the authenticity of the originals of such documents, agreements, and instruments submitted to us as copies or specimens, (v) the accuracy of the matters set forth in the documents, agreements, and instruments we reviewed, (vi) the accuracy and valid issuance of all public documents, and (vii) the legal capacity and competency of each natural person executing any of the Documents. In reaching the opinions set forth below, we have further assumed that each Trust has received an economic benefit that is fair and sufficient to support its execution and delivery of the Indenture. In addition, we call your attention to the fact that we do not represent the Trusts generally. Accordingly, in rendering the opinions set forth herein we have relied exclusively on the Documents.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assumptions and qualifications set forth below, it is our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the Legal Existence Certificates and as of the date of the Legal Existence Certificates, each Trust is a trust validly existing and authorized to transact business in the Commonwealth of Massachusetts.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Trustees have power and authority as trustees sufficient for the execution and delivery of the Indenture (including the Guarantee contained therein) on behalf of their respective Trusts and the performance of their obligations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Extra Space Storage Inc.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rFonts w:ascii="Times New Roman" w:hAnsi="Times New Roman"/>
          <w:sz w:val="20"/>
        </w:rPr>
      </w:pPr>
      <w:r>
        <w:rPr>
          <w:rFonts w:ascii="Times New Roman" w:hAnsi="Times New Roman"/>
          <w:sz w:val="20"/>
        </w:rPr>
        <w:t xml:space="preserve">July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of the Indenture (including the Guarantee contained therein) by each Trust have been duly authorized by all necessary trustee action of such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opining only as to the matters expressly set forth herein, and no opinion should be inferred as to any other matters. Our opinions are limited solely to the laws of the Commonwealth of Massachusetts. We note that the Indenture states that it shall be governed by the laws of the State of New York. Accordingly, we have assumed and express no opinion as to the enforceability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being furnished to you for submission to the Commission as an exhibit to the Registration Statement. Latham &amp; Watkins LLP, counsel to the Operating Partnership, may rely on this opinion letter in connection with its opinion of even date herewith relating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the use of our name under the caption “Legal Matters” in the Prospectus included in the Registration Statement. In giving this consent, we do not admit that we are within the category of persons whose consent is required by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Verrill Dana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89490/000119312521157616/d469365dex4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29380</Words>
  <Characters>149906</Characters>
  <CharactersWithSpaces>179599</CharactersWithSpaces>
  <Paragraphs>1490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EX-5.3</dc:title>
</cp:coreProperties>
</file>