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Norman Jeffrey Jay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2795 E COTTONWOOD PARKWAY, SUITE 300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Extra Space Storage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EXR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03/01/2026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Executive VP and CFO</w:t>
      </w:r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620" w:space="30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13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9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SALT LAKE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UT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84121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CITY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03/01/2026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3,443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151.03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16,928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0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Restricted stock awards vest 25% annually over four years, beginning on the first anniversary of the grant date.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580"/>
        <w:spacing w:after="0" w:line="22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Grace Kunde, Attorney-in-  </w:t>
      </w:r>
      <w:r>
        <w:rPr>
          <w:rFonts w:ascii="Times New Roman" w:cs="Times New Roman" w:eastAsia="Times New Roman" w:hAnsi="Times New Roman"/>
          <w:sz w:val="34"/>
          <w:szCs w:val="34"/>
          <w:color w:val="0000FF"/>
          <w:vertAlign w:val="subscript"/>
        </w:rPr>
        <w:t>03/03/2026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-27305</wp:posOffset>
            </wp:positionV>
            <wp:extent cx="131953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95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18923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2074827" TargetMode="External"/><Relationship Id="rId14" Type="http://schemas.openxmlformats.org/officeDocument/2006/relationships/hyperlink" Target="http://www.sec.gov/cgi-bin/browse-edgar?action=getcompany&amp;CIK=000128949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2026-03-03T20:12:21Z</dcterms:created>
  <dcterms:modified xsi:type="dcterms:W3CDTF">2026-03-03T20:12:21Z</dcterms:modified>
</cp:coreProperties>
</file>