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142240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161290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25, 2007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142875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EXTRA SPACE STORAGE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30" w:right="279" w:bottom="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001-32269</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000" w:space="720"/>
            <w:col w:w="3340" w:space="720"/>
            <w:col w:w="2600"/>
          </w:cols>
          <w:pgMar w:left="240" w:top="530" w:right="279" w:bottom="0" w:gutter="0" w:footer="0" w:header="0"/>
          <w:type w:val="continuous"/>
        </w:sectPr>
      </w:pP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(801) 562-5556</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30" w:right="279" w:bottom="0" w:gutter="0" w:footer="0" w:header="0"/>
          <w:type w:val="continuous"/>
        </w:sectPr>
      </w:pP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On June 26, 2007, Extra Space Storage Inc. (the “Company”), announced that its operating partnership subsidiary, Extra Space Storage LP (the “Operating Partnership”), closed the acquisition of 12 of the 13 self-storage facilities (the “Properties”) under the previously announced contribution agreement, dated June 15, 2007 (the “Contribution Agreement”), with various limited partnerships affiliated with AAAAA Rent-A-Space (the “Contributors”). The Operating Partnership expects to complete the acquisition of the remaining Property in mid-July. The Operating Partnership issued to the primary owners of the Contributors a total of 909,075 newly designated Series A Participating Redeemable Preferred Units (the “Series A Preferred Units”) of the Operating Partnership in exchange for the 12 Properties.</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The aggregate value of the contribution consideration for all 13 Properties will be approximately $150.2 million, including the issuance of approximately</w:t>
      </w:r>
    </w:p>
    <w:p>
      <w:pPr>
        <w:spacing w:after="0" w:line="3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$130 million of Series A Preferred Units and the assumption of an aggregate of approximately $20 million of third-party debt, approximately $12 million of which will be prepaid upon the acquisition of the Properties. The foregoing description of the Contribution Agreement does not purport to be complete and is qualified in its entirety by reference to the complete text of the Contribution Agreement, which is filed as Exhibit 10.1 to our current report on Form 8-K dated June 18, 2007, and incorporated herein by reference.</w:t>
      </w:r>
    </w:p>
    <w:p>
      <w:pPr>
        <w:spacing w:after="0" w:line="190" w:lineRule="exact"/>
        <w:rPr>
          <w:sz w:val="24"/>
          <w:szCs w:val="24"/>
          <w:color w:val="auto"/>
        </w:rPr>
      </w:pPr>
    </w:p>
    <w:p>
      <w:pPr>
        <w:ind w:right="20"/>
        <w:spacing w:after="0" w:line="270" w:lineRule="auto"/>
        <w:rPr>
          <w:sz w:val="20"/>
          <w:szCs w:val="20"/>
          <w:color w:val="auto"/>
        </w:rPr>
      </w:pPr>
      <w:r>
        <w:rPr>
          <w:rFonts w:ascii="Arial" w:cs="Arial" w:eastAsia="Arial" w:hAnsi="Arial"/>
          <w:sz w:val="17"/>
          <w:szCs w:val="17"/>
          <w:color w:val="auto"/>
        </w:rPr>
        <w:t>On June 25, 2007, the Operating Partnership entered into a Second Amended and Restated Agreement of Limited Partnership (the “Partnership Agreement”) which provides for the designation and issuance of the Series A Preferred Units. The Series A Preferred Units will have priority over all other partnership interests of the Operating Partnership with respect to distributions and liquidation. In addition, the Series A Preferred Units will be redeemable at the option of the Contributors on or after September 1, 2008, which redemption obligation may be satisfied, at the Company’s option, in cash or shares of its common stock. If the Company satisfies this redemption obligation in shares of its common stock, the total number of shares of common stock to be delivered will be equal to the aggregate liquidation value of the Series A Preferred Units tendered for redemption divided by the average closing price of the Company’s common stock for the ten trading days prior to the notice of redemption. The foregoing description of the Partnership Agreement does not purport to be complete and is qualified in its entirety by reference to the complete text of the Partnership Agreement, which is filed as Exhibit 10.1 to this report, and incorporated herein by reference.</w:t>
      </w:r>
    </w:p>
    <w:p>
      <w:pPr>
        <w:spacing w:after="0" w:line="182"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On June 25, 2007, the Operating Partnership loaned to the primary owners of the Contributors, approximately $100.0 million (the “Contributor Loans”). The Contributor Loans will bear interest at 4.85% per annum and will be secured by a pledge of the Series A Preferred Units. The Contributor Loans will be due</w:t>
      </w:r>
    </w:p>
    <w:p>
      <w:pPr>
        <w:sectPr>
          <w:pgSz w:w="11900" w:h="16838" w:orient="portrait"/>
          <w:cols w:equalWidth="0" w:num="1">
            <w:col w:w="11380"/>
          </w:cols>
          <w:pgMar w:left="240" w:top="530" w:right="279" w:bottom="0" w:gutter="0" w:footer="0" w:header="0"/>
          <w:type w:val="continuous"/>
        </w:sectPr>
      </w:pPr>
    </w:p>
    <w:bookmarkStart w:id="1" w:name="page2"/>
    <w:bookmarkEnd w:id="1"/>
    <w:p>
      <w:pPr>
        <w:ind w:right="60"/>
        <w:spacing w:after="0" w:line="312" w:lineRule="auto"/>
        <w:rPr>
          <w:sz w:val="20"/>
          <w:szCs w:val="20"/>
          <w:color w:val="auto"/>
        </w:rPr>
      </w:pPr>
      <w:r>
        <w:rPr>
          <w:rFonts w:ascii="Arial" w:cs="Arial" w:eastAsia="Arial" w:hAnsi="Arial"/>
          <w:sz w:val="16"/>
          <w:szCs w:val="16"/>
          <w:color w:val="auto"/>
        </w:rPr>
        <w:t>upon the earlier of a redemption of the Series A Preferred Units and the tenth anniversary after the Contributor Loans are made. The foregoing description of the Contributor Loans does not purport to be complete and is qualified in its entirety by reference to the complete text of the promissory note and pledge agreement relating to the Contributor Loans, which are filed as Exhibits 10.2 and 10.3 to this report, respectively, and incorporated herein by reference.</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issuance of the Series A Preferred Units, the Company also entered into registration rights agreements (each a “Registration Rights Agreement”) with the primary owners of the Contributors. Pursuant to the terms of the Registration Rights Agreements, the Company has agreed to use commercially reasonable efforts to file with the Securities and Exchange Commission a shelf registration statement on or before the end of September 2008 with respect to shares of the Company’s common stock issuable upon exchange of the Series A Preferred Units and to use commercially reasonable efforts to cause such shelf registration statement to become effective as soon as practicable thereafter. The foregoing description of the Registration Rights Agreements does not purport to be complete and is qualified in its entirety by reference to the complete text of the Registration Rights Agreements, a form of which is filed as Exhibit 10.4 to this report, and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information required by this Item 2.01 with respect to the acquisition of the Properties is incorporated by reference from Item 1.01 of this report.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information required by this Item 3.02 with respect to the issuance of the Series A Preferred Units of the Operating Partnership is incorporated by reference from Item 1.01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 June 26, 2007, the Company issued a press release regarding the closing of the acquisition of 12 Properties pursuant to the Contribution Agreement described above. A copy of the press release is attached hereto as Exhibit 99.1. The information contained in Item 7.01 of this Current Report, including Exhibit 99.1, is being furnished and shall not be deemed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the financial statements relating to the completed acquisition described above that are required to be filed as part of this Form 8-K: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Properties Acquired.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required by this item will be filed by amendment not later than 71 calendar days after the date that this Form 8-K must be filed.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information required by this item will be filed by amendment not later than 71 calendar days after the date that this Form 8-K must be filed.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 The following exhibits are filed herewith: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Second Amended and Restated Agreement of Limited Partnership of Extra Space Storage LP, dated June 25, 2007.</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Promissory Note, dated June 25, 2007, among Extra Space Storage LP, H. James Knuppe and Barbara Knuppe.</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Pledge Agreement, dated June 25, 2007, among Extra Space Storage LP, H. James Knuppe and Barbara Knuppe.</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 among Extra Space Storage LP, H. James Knuppe and Barbara Knuppe.</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Press release, dated June 26, 2007.</w:t>
            </w:r>
          </w:p>
        </w:tc>
      </w:tr>
      <w:tr>
        <w:trPr>
          <w:trHeight w:val="86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380" w:type="dxa"/>
            <w:vAlign w:val="bottom"/>
            <w:gridSpan w:val="2"/>
          </w:tcPr>
          <w:p>
            <w:pPr>
              <w:ind w:left="462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3"/>
          </w:tcPr>
          <w:p>
            <w:pPr>
              <w:ind w:left="2340"/>
              <w:spacing w:after="0"/>
              <w:rPr>
                <w:sz w:val="20"/>
                <w:szCs w:val="20"/>
                <w:color w:val="auto"/>
              </w:rPr>
            </w:pPr>
            <w:r>
              <w:rPr>
                <w:rFonts w:ascii="Arial" w:cs="Arial" w:eastAsia="Arial" w:hAnsi="Arial"/>
                <w:sz w:val="18"/>
                <w:szCs w:val="18"/>
                <w:color w:val="auto"/>
              </w:rPr>
              <w:t>EXTRA SPACE STORAGE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June 26, 2007</w:t>
            </w:r>
          </w:p>
        </w:tc>
        <w:tc>
          <w:tcPr>
            <w:tcW w:w="7640" w:type="dxa"/>
            <w:vAlign w:val="bottom"/>
            <w:gridSpan w:val="3"/>
          </w:tcPr>
          <w:p>
            <w:pPr>
              <w:ind w:left="2340"/>
              <w:spacing w:after="0"/>
              <w:rPr>
                <w:sz w:val="20"/>
                <w:szCs w:val="20"/>
                <w:color w:val="auto"/>
              </w:rPr>
            </w:pPr>
            <w:r>
              <w:rPr>
                <w:rFonts w:ascii="Arial" w:cs="Arial" w:eastAsia="Arial" w:hAnsi="Arial"/>
                <w:sz w:val="18"/>
                <w:szCs w:val="18"/>
                <w:color w:val="auto"/>
              </w:rPr>
              <w:t>By   /s/ Kent W. Christensen</w:t>
            </w:r>
          </w:p>
        </w:tc>
      </w:tr>
      <w:tr>
        <w:trPr>
          <w:trHeight w:val="195"/>
        </w:trPr>
        <w:tc>
          <w:tcPr>
            <w:tcW w:w="37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Kent W. Christensen</w:t>
            </w:r>
          </w:p>
        </w:tc>
      </w:tr>
      <w:tr>
        <w:trPr>
          <w:trHeight w:val="216"/>
        </w:trPr>
        <w:tc>
          <w:tcPr>
            <w:tcW w:w="3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6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3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Second Amended and Restated Agreement of Limited Partnership of Extra Space Storage LP, dated June 25, 2007.</w:t>
            </w:r>
          </w:p>
        </w:tc>
        <w:tc>
          <w:tcPr>
            <w:tcW w:w="40" w:type="dxa"/>
            <w:vAlign w:val="bottom"/>
          </w:tcPr>
          <w:p>
            <w:pPr>
              <w:spacing w:after="0"/>
              <w:rPr>
                <w:sz w:val="16"/>
                <w:szCs w:val="16"/>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Promissory Note, dated June 25, 2007, among Extra Space Storage LP, H. James Knuppe and Barbara Knuppe.</w:t>
            </w:r>
          </w:p>
        </w:tc>
        <w:tc>
          <w:tcPr>
            <w:tcW w:w="40" w:type="dxa"/>
            <w:vAlign w:val="bottom"/>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Pledge Agreement, dated June 25, 2007, among Extra Space Storage LP, H. James Knuppe and Barbara Knuppe.</w:t>
            </w:r>
          </w:p>
        </w:tc>
        <w:tc>
          <w:tcPr>
            <w:tcW w:w="40" w:type="dxa"/>
            <w:vAlign w:val="bottom"/>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 among Extra Space Storage LP, H. James Knuppe and Barbara Knuppe.</w:t>
            </w:r>
          </w:p>
        </w:tc>
        <w:tc>
          <w:tcPr>
            <w:tcW w:w="40" w:type="dxa"/>
            <w:vAlign w:val="bottom"/>
          </w:tcPr>
          <w:p>
            <w:pPr>
              <w:spacing w:after="0"/>
              <w:rPr>
                <w:sz w:val="18"/>
                <w:szCs w:val="18"/>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Press release, dated June 26, 2007.</w:t>
            </w:r>
          </w:p>
        </w:tc>
        <w:tc>
          <w:tcPr>
            <w:tcW w:w="40" w:type="dxa"/>
            <w:vAlign w:val="bottom"/>
          </w:tcPr>
          <w:p>
            <w:pPr>
              <w:spacing w:after="0"/>
              <w:rPr>
                <w:sz w:val="20"/>
                <w:szCs w:val="20"/>
                <w:color w:val="auto"/>
              </w:rPr>
            </w:pPr>
          </w:p>
        </w:tc>
      </w:tr>
      <w:tr>
        <w:trPr>
          <w:trHeight w:val="645"/>
        </w:trPr>
        <w:tc>
          <w:tcPr>
            <w:tcW w:w="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64" w:right="199" w:bottom="1440" w:gutter="0" w:footer="0" w:header="0"/>
        </w:sectPr>
      </w:pPr>
    </w:p>
    <w:bookmarkStart w:id="3" w:name="page4"/>
    <w:bookmarkEnd w:id="3"/>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OF LIMITED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EXTRA SPACE STORAGE 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289560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(THE “SECURITIES ACT”), OR THE SECURITIES LAWS OF ANY STATE AND MAY NOT BE SOLD, TRANSFERRED OR OTHERWISE DISPOSED OF IN THE ABSENCE OF SUCH REGISTRATION, UNLESS THE TRANSFEROR DELIVERS TO THE PARTNERSHIP AN OPINION OF COUNSEL SATISFACTORY TO THE PARTNERSHIP, IN FORM AND SUBSTANCE SATISFACTORY TO THE PARTNERSHIP, TO THE EFFECT THAT THE PROPOSED SALE, TRANSFER OR OTHER DISPOSITION MAY BE EFFECTED WITHOUT REGISTRATION UNDER THE SECURITIES ACT AND UNDER APPLICABLE STATE SECURITIES OR “BLUE SKY”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JUNE 25,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6960" w:type="dxa"/>
            <w:vAlign w:val="bottom"/>
          </w:tcPr>
          <w:p>
            <w:pPr>
              <w:ind w:left="25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648"/>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DEFINED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ORGANIZATIONAL MATTERS</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218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6960" w:type="dxa"/>
            <w:vAlign w:val="bottom"/>
          </w:tcPr>
          <w:p>
            <w:pPr>
              <w:ind w:left="200"/>
              <w:spacing w:after="0"/>
              <w:rPr>
                <w:sz w:val="20"/>
                <w:szCs w:val="20"/>
                <w:color w:val="auto"/>
              </w:rPr>
            </w:pPr>
            <w:r>
              <w:rPr>
                <w:rFonts w:ascii="Arial" w:cs="Arial" w:eastAsia="Arial" w:hAnsi="Arial"/>
                <w:sz w:val="18"/>
                <w:szCs w:val="18"/>
                <w:color w:val="auto"/>
              </w:rPr>
              <w:t>Organization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6960" w:type="dxa"/>
            <w:vAlign w:val="bottom"/>
          </w:tcPr>
          <w:p>
            <w:pPr>
              <w:ind w:left="200"/>
              <w:spacing w:after="0"/>
              <w:rPr>
                <w:sz w:val="20"/>
                <w:szCs w:val="20"/>
                <w:color w:val="auto"/>
              </w:rPr>
            </w:pPr>
            <w:r>
              <w:rPr>
                <w:rFonts w:ascii="Arial" w:cs="Arial" w:eastAsia="Arial" w:hAnsi="Arial"/>
                <w:sz w:val="18"/>
                <w:szCs w:val="18"/>
                <w:color w:val="auto"/>
              </w:rPr>
              <w:t>Name</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6960" w:type="dxa"/>
            <w:vAlign w:val="bottom"/>
          </w:tcPr>
          <w:p>
            <w:pPr>
              <w:ind w:left="200"/>
              <w:spacing w:after="0"/>
              <w:rPr>
                <w:sz w:val="20"/>
                <w:szCs w:val="20"/>
                <w:color w:val="auto"/>
              </w:rPr>
            </w:pPr>
            <w:r>
              <w:rPr>
                <w:rFonts w:ascii="Arial" w:cs="Arial" w:eastAsia="Arial" w:hAnsi="Arial"/>
                <w:sz w:val="18"/>
                <w:szCs w:val="18"/>
                <w:color w:val="auto"/>
              </w:rPr>
              <w:t>Registered Office and Agent; Principal Office</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6960" w:type="dxa"/>
            <w:vAlign w:val="bottom"/>
          </w:tcPr>
          <w:p>
            <w:pPr>
              <w:ind w:left="200"/>
              <w:spacing w:after="0"/>
              <w:rPr>
                <w:sz w:val="20"/>
                <w:szCs w:val="20"/>
                <w:color w:val="auto"/>
              </w:rPr>
            </w:pPr>
            <w:r>
              <w:rPr>
                <w:rFonts w:ascii="Arial" w:cs="Arial" w:eastAsia="Arial" w:hAnsi="Arial"/>
                <w:sz w:val="18"/>
                <w:szCs w:val="18"/>
                <w:color w:val="auto"/>
              </w:rPr>
              <w:t>Power of Attorney</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18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6960" w:type="dxa"/>
            <w:vAlign w:val="bottom"/>
          </w:tcPr>
          <w:p>
            <w:pPr>
              <w:ind w:left="200"/>
              <w:spacing w:after="0"/>
              <w:rPr>
                <w:sz w:val="20"/>
                <w:szCs w:val="20"/>
                <w:color w:val="auto"/>
              </w:rPr>
            </w:pPr>
            <w:r>
              <w:rPr>
                <w:rFonts w:ascii="Arial" w:cs="Arial" w:eastAsia="Arial" w:hAnsi="Arial"/>
                <w:sz w:val="18"/>
                <w:szCs w:val="18"/>
                <w:color w:val="auto"/>
              </w:rPr>
              <w:t>Term</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2180" w:type="dxa"/>
            <w:vAlign w:val="bottom"/>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PURPOSE</w:t>
            </w:r>
          </w:p>
        </w:tc>
        <w:tc>
          <w:tcPr>
            <w:tcW w:w="69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21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6960" w:type="dxa"/>
            <w:vAlign w:val="bottom"/>
          </w:tcPr>
          <w:p>
            <w:pPr>
              <w:ind w:left="200"/>
              <w:spacing w:after="0"/>
              <w:rPr>
                <w:sz w:val="20"/>
                <w:szCs w:val="20"/>
                <w:color w:val="auto"/>
              </w:rPr>
            </w:pPr>
            <w:r>
              <w:rPr>
                <w:rFonts w:ascii="Arial" w:cs="Arial" w:eastAsia="Arial" w:hAnsi="Arial"/>
                <w:sz w:val="18"/>
                <w:szCs w:val="18"/>
                <w:color w:val="auto"/>
              </w:rPr>
              <w:t>Purpose and Business</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6960" w:type="dxa"/>
            <w:vAlign w:val="bottom"/>
          </w:tcPr>
          <w:p>
            <w:pPr>
              <w:ind w:left="200"/>
              <w:spacing w:after="0"/>
              <w:rPr>
                <w:sz w:val="20"/>
                <w:szCs w:val="20"/>
                <w:color w:val="auto"/>
              </w:rPr>
            </w:pPr>
            <w:r>
              <w:rPr>
                <w:rFonts w:ascii="Arial" w:cs="Arial" w:eastAsia="Arial" w:hAnsi="Arial"/>
                <w:sz w:val="18"/>
                <w:szCs w:val="18"/>
                <w:color w:val="auto"/>
              </w:rPr>
              <w:t>Powers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6960" w:type="dxa"/>
            <w:vAlign w:val="bottom"/>
          </w:tcPr>
          <w:p>
            <w:pPr>
              <w:ind w:left="200"/>
              <w:spacing w:after="0"/>
              <w:rPr>
                <w:sz w:val="20"/>
                <w:szCs w:val="20"/>
                <w:color w:val="auto"/>
              </w:rPr>
            </w:pPr>
            <w:r>
              <w:rPr>
                <w:rFonts w:ascii="Arial" w:cs="Arial" w:eastAsia="Arial" w:hAnsi="Arial"/>
                <w:sz w:val="18"/>
                <w:szCs w:val="18"/>
                <w:color w:val="auto"/>
              </w:rPr>
              <w:t>Partnership Only for Partnership Purposes Specified</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18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6960" w:type="dxa"/>
            <w:vAlign w:val="bottom"/>
          </w:tcPr>
          <w:p>
            <w:pPr>
              <w:ind w:left="200"/>
              <w:spacing w:after="0"/>
              <w:rPr>
                <w:sz w:val="20"/>
                <w:szCs w:val="20"/>
                <w:color w:val="auto"/>
              </w:rPr>
            </w:pPr>
            <w:r>
              <w:rPr>
                <w:rFonts w:ascii="Arial" w:cs="Arial" w:eastAsia="Arial" w:hAnsi="Arial"/>
                <w:sz w:val="18"/>
                <w:szCs w:val="18"/>
                <w:color w:val="auto"/>
              </w:rPr>
              <w:t>Representations and Warranties by the Parties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CAPITAL CONTRIBUTIONS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21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6960" w:type="dxa"/>
            <w:vAlign w:val="bottom"/>
          </w:tcPr>
          <w:p>
            <w:pPr>
              <w:ind w:left="200"/>
              <w:spacing w:after="0"/>
              <w:rPr>
                <w:sz w:val="20"/>
                <w:szCs w:val="20"/>
                <w:color w:val="auto"/>
              </w:rPr>
            </w:pPr>
            <w:r>
              <w:rPr>
                <w:rFonts w:ascii="Arial" w:cs="Arial" w:eastAsia="Arial" w:hAnsi="Arial"/>
                <w:sz w:val="18"/>
                <w:szCs w:val="18"/>
                <w:color w:val="auto"/>
              </w:rPr>
              <w:t>Capital Contributions of the Partners</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6960" w:type="dxa"/>
            <w:vAlign w:val="bottom"/>
          </w:tcPr>
          <w:p>
            <w:pPr>
              <w:ind w:left="200"/>
              <w:spacing w:after="0"/>
              <w:rPr>
                <w:sz w:val="20"/>
                <w:szCs w:val="20"/>
                <w:color w:val="auto"/>
              </w:rPr>
            </w:pPr>
            <w:r>
              <w:rPr>
                <w:rFonts w:ascii="Arial" w:cs="Arial" w:eastAsia="Arial" w:hAnsi="Arial"/>
                <w:sz w:val="18"/>
                <w:szCs w:val="18"/>
                <w:color w:val="auto"/>
              </w:rPr>
              <w:t>Classes of Partnership Units</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6960" w:type="dxa"/>
            <w:vAlign w:val="bottom"/>
          </w:tcPr>
          <w:p>
            <w:pPr>
              <w:ind w:left="200"/>
              <w:spacing w:after="0"/>
              <w:rPr>
                <w:sz w:val="20"/>
                <w:szCs w:val="20"/>
                <w:color w:val="auto"/>
              </w:rPr>
            </w:pPr>
            <w:r>
              <w:rPr>
                <w:rFonts w:ascii="Arial" w:cs="Arial" w:eastAsia="Arial" w:hAnsi="Arial"/>
                <w:sz w:val="18"/>
                <w:szCs w:val="18"/>
                <w:color w:val="auto"/>
              </w:rPr>
              <w:t>Issuances of Additional Partnership Interests</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6960" w:type="dxa"/>
            <w:vAlign w:val="bottom"/>
          </w:tcPr>
          <w:p>
            <w:pPr>
              <w:ind w:left="200"/>
              <w:spacing w:after="0"/>
              <w:rPr>
                <w:sz w:val="20"/>
                <w:szCs w:val="20"/>
                <w:color w:val="auto"/>
              </w:rPr>
            </w:pPr>
            <w:r>
              <w:rPr>
                <w:rFonts w:ascii="Arial" w:cs="Arial" w:eastAsia="Arial" w:hAnsi="Arial"/>
                <w:sz w:val="18"/>
                <w:szCs w:val="18"/>
                <w:color w:val="auto"/>
              </w:rPr>
              <w:t>Additional Funds and Capital Contributions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6960" w:type="dxa"/>
            <w:vAlign w:val="bottom"/>
          </w:tcPr>
          <w:p>
            <w:pPr>
              <w:ind w:left="200"/>
              <w:spacing w:after="0"/>
              <w:rPr>
                <w:sz w:val="20"/>
                <w:szCs w:val="20"/>
                <w:color w:val="auto"/>
              </w:rPr>
            </w:pPr>
            <w:r>
              <w:rPr>
                <w:rFonts w:ascii="Arial" w:cs="Arial" w:eastAsia="Arial" w:hAnsi="Arial"/>
                <w:sz w:val="18"/>
                <w:szCs w:val="18"/>
                <w:color w:val="auto"/>
              </w:rPr>
              <w:t>Stock Option Plan</w:t>
            </w: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6960" w:type="dxa"/>
            <w:vAlign w:val="bottom"/>
          </w:tcPr>
          <w:p>
            <w:pPr>
              <w:ind w:left="200"/>
              <w:spacing w:after="0"/>
              <w:rPr>
                <w:sz w:val="20"/>
                <w:szCs w:val="20"/>
                <w:color w:val="auto"/>
              </w:rPr>
            </w:pPr>
            <w:r>
              <w:rPr>
                <w:rFonts w:ascii="Arial" w:cs="Arial" w:eastAsia="Arial" w:hAnsi="Arial"/>
                <w:sz w:val="18"/>
                <w:szCs w:val="18"/>
                <w:color w:val="auto"/>
              </w:rPr>
              <w:t>No Interest; No Return</w:t>
            </w:r>
          </w:p>
        </w:tc>
        <w:tc>
          <w:tcPr>
            <w:tcW w:w="2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6960" w:type="dxa"/>
            <w:vAlign w:val="bottom"/>
          </w:tcPr>
          <w:p>
            <w:pPr>
              <w:ind w:left="200"/>
              <w:spacing w:after="0"/>
              <w:rPr>
                <w:sz w:val="20"/>
                <w:szCs w:val="20"/>
                <w:color w:val="auto"/>
              </w:rPr>
            </w:pPr>
            <w:r>
              <w:rPr>
                <w:rFonts w:ascii="Arial" w:cs="Arial" w:eastAsia="Arial" w:hAnsi="Arial"/>
                <w:sz w:val="18"/>
                <w:szCs w:val="18"/>
                <w:color w:val="auto"/>
              </w:rPr>
              <w:t>Conversion or Redemption of Contingent Conversion Units</w:t>
            </w:r>
          </w:p>
        </w:tc>
        <w:tc>
          <w:tcPr>
            <w:tcW w:w="2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6960" w:type="dxa"/>
            <w:vAlign w:val="bottom"/>
          </w:tcPr>
          <w:p>
            <w:pPr>
              <w:ind w:left="200"/>
              <w:spacing w:after="0"/>
              <w:rPr>
                <w:sz w:val="20"/>
                <w:szCs w:val="20"/>
                <w:color w:val="auto"/>
              </w:rPr>
            </w:pPr>
            <w:r>
              <w:rPr>
                <w:rFonts w:ascii="Arial" w:cs="Arial" w:eastAsia="Arial" w:hAnsi="Arial"/>
                <w:sz w:val="18"/>
                <w:szCs w:val="18"/>
                <w:color w:val="auto"/>
              </w:rPr>
              <w:t>Other Contribution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18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6960" w:type="dxa"/>
            <w:vAlign w:val="bottom"/>
          </w:tcPr>
          <w:p>
            <w:pPr>
              <w:ind w:left="200"/>
              <w:spacing w:after="0"/>
              <w:rPr>
                <w:sz w:val="20"/>
                <w:szCs w:val="20"/>
                <w:color w:val="auto"/>
              </w:rPr>
            </w:pPr>
            <w:r>
              <w:rPr>
                <w:rFonts w:ascii="Arial" w:cs="Arial" w:eastAsia="Arial" w:hAnsi="Arial"/>
                <w:sz w:val="18"/>
                <w:szCs w:val="18"/>
                <w:color w:val="auto"/>
              </w:rPr>
              <w:t>Not Publicly Traded</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DISTRIBUTIONS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21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6960" w:type="dxa"/>
            <w:vAlign w:val="bottom"/>
          </w:tcPr>
          <w:p>
            <w:pPr>
              <w:ind w:left="200"/>
              <w:spacing w:after="0"/>
              <w:rPr>
                <w:sz w:val="20"/>
                <w:szCs w:val="20"/>
                <w:color w:val="auto"/>
              </w:rPr>
            </w:pPr>
            <w:r>
              <w:rPr>
                <w:rFonts w:ascii="Arial" w:cs="Arial" w:eastAsia="Arial" w:hAnsi="Arial"/>
                <w:sz w:val="18"/>
                <w:szCs w:val="18"/>
                <w:color w:val="auto"/>
              </w:rPr>
              <w:t>Requirement and Characterization of Distributions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6960" w:type="dxa"/>
            <w:vAlign w:val="bottom"/>
          </w:tcPr>
          <w:p>
            <w:pPr>
              <w:ind w:left="200"/>
              <w:spacing w:after="0"/>
              <w:rPr>
                <w:sz w:val="20"/>
                <w:szCs w:val="20"/>
                <w:color w:val="auto"/>
              </w:rPr>
            </w:pPr>
            <w:r>
              <w:rPr>
                <w:rFonts w:ascii="Arial" w:cs="Arial" w:eastAsia="Arial" w:hAnsi="Arial"/>
                <w:sz w:val="18"/>
                <w:szCs w:val="18"/>
                <w:color w:val="auto"/>
              </w:rPr>
              <w:t>Distributions In-Kind</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6960" w:type="dxa"/>
            <w:vAlign w:val="bottom"/>
          </w:tcPr>
          <w:p>
            <w:pPr>
              <w:ind w:left="200"/>
              <w:spacing w:after="0"/>
              <w:rPr>
                <w:sz w:val="20"/>
                <w:szCs w:val="20"/>
                <w:color w:val="auto"/>
              </w:rPr>
            </w:pPr>
            <w:r>
              <w:rPr>
                <w:rFonts w:ascii="Arial" w:cs="Arial" w:eastAsia="Arial" w:hAnsi="Arial"/>
                <w:sz w:val="18"/>
                <w:szCs w:val="18"/>
                <w:color w:val="auto"/>
              </w:rPr>
              <w:t>Amounts Withheld</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6960" w:type="dxa"/>
            <w:vAlign w:val="bottom"/>
          </w:tcPr>
          <w:p>
            <w:pPr>
              <w:ind w:left="200"/>
              <w:spacing w:after="0"/>
              <w:rPr>
                <w:sz w:val="20"/>
                <w:szCs w:val="20"/>
                <w:color w:val="auto"/>
              </w:rPr>
            </w:pPr>
            <w:r>
              <w:rPr>
                <w:rFonts w:ascii="Arial" w:cs="Arial" w:eastAsia="Arial" w:hAnsi="Arial"/>
                <w:sz w:val="18"/>
                <w:szCs w:val="18"/>
                <w:color w:val="auto"/>
              </w:rPr>
              <w:t>Distributions Upon Liquidation</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6960" w:type="dxa"/>
            <w:vAlign w:val="bottom"/>
          </w:tcPr>
          <w:p>
            <w:pPr>
              <w:ind w:left="200"/>
              <w:spacing w:after="0"/>
              <w:rPr>
                <w:sz w:val="20"/>
                <w:szCs w:val="20"/>
                <w:color w:val="auto"/>
              </w:rPr>
            </w:pPr>
            <w:r>
              <w:rPr>
                <w:rFonts w:ascii="Arial" w:cs="Arial" w:eastAsia="Arial" w:hAnsi="Arial"/>
                <w:sz w:val="18"/>
                <w:szCs w:val="18"/>
                <w:color w:val="auto"/>
              </w:rPr>
              <w:t>Distributions to Reflect Issuance of Additional Partnership Units</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18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6960" w:type="dxa"/>
            <w:vAlign w:val="bottom"/>
          </w:tcPr>
          <w:p>
            <w:pPr>
              <w:ind w:left="200"/>
              <w:spacing w:after="0"/>
              <w:rPr>
                <w:sz w:val="20"/>
                <w:szCs w:val="20"/>
                <w:color w:val="auto"/>
              </w:rPr>
            </w:pPr>
            <w:r>
              <w:rPr>
                <w:rFonts w:ascii="Arial" w:cs="Arial" w:eastAsia="Arial" w:hAnsi="Arial"/>
                <w:sz w:val="18"/>
                <w:szCs w:val="18"/>
                <w:color w:val="auto"/>
              </w:rPr>
              <w:t>Restricted Distributions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ALLOCATIONS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218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6960" w:type="dxa"/>
            <w:vAlign w:val="bottom"/>
          </w:tcPr>
          <w:p>
            <w:pPr>
              <w:ind w:left="200"/>
              <w:spacing w:after="0"/>
              <w:rPr>
                <w:sz w:val="20"/>
                <w:szCs w:val="20"/>
                <w:color w:val="auto"/>
              </w:rPr>
            </w:pPr>
            <w:r>
              <w:rPr>
                <w:rFonts w:ascii="Arial" w:cs="Arial" w:eastAsia="Arial" w:hAnsi="Arial"/>
                <w:sz w:val="18"/>
                <w:szCs w:val="18"/>
                <w:color w:val="auto"/>
              </w:rPr>
              <w:t>Timing and Amount of Allocations of Net Income and Net Loss</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70"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6820" w:type="dxa"/>
            <w:vAlign w:val="bottom"/>
          </w:tcPr>
          <w:p>
            <w:pPr>
              <w:ind w:left="40"/>
              <w:spacing w:after="0"/>
              <w:rPr>
                <w:sz w:val="20"/>
                <w:szCs w:val="20"/>
                <w:color w:val="auto"/>
              </w:rPr>
            </w:pPr>
            <w:r>
              <w:rPr>
                <w:rFonts w:ascii="Arial" w:cs="Arial" w:eastAsia="Arial" w:hAnsi="Arial"/>
                <w:sz w:val="18"/>
                <w:szCs w:val="18"/>
                <w:color w:val="auto"/>
              </w:rPr>
              <w:t>General Allocations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6820" w:type="dxa"/>
            <w:vAlign w:val="bottom"/>
          </w:tcPr>
          <w:p>
            <w:pPr>
              <w:ind w:left="40"/>
              <w:spacing w:after="0"/>
              <w:rPr>
                <w:sz w:val="20"/>
                <w:szCs w:val="20"/>
                <w:color w:val="auto"/>
              </w:rPr>
            </w:pPr>
            <w:r>
              <w:rPr>
                <w:rFonts w:ascii="Arial" w:cs="Arial" w:eastAsia="Arial" w:hAnsi="Arial"/>
                <w:sz w:val="18"/>
                <w:szCs w:val="18"/>
                <w:color w:val="auto"/>
              </w:rPr>
              <w:t>Additional Allocation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6820" w:type="dxa"/>
            <w:vAlign w:val="bottom"/>
          </w:tcPr>
          <w:p>
            <w:pPr>
              <w:ind w:left="40"/>
              <w:spacing w:after="0"/>
              <w:rPr>
                <w:sz w:val="20"/>
                <w:szCs w:val="20"/>
                <w:color w:val="auto"/>
              </w:rPr>
            </w:pPr>
            <w:r>
              <w:rPr>
                <w:rFonts w:ascii="Arial" w:cs="Arial" w:eastAsia="Arial" w:hAnsi="Arial"/>
                <w:sz w:val="18"/>
                <w:szCs w:val="18"/>
                <w:color w:val="auto"/>
              </w:rPr>
              <w:t>Tax Allocations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MANAGEMENT AND OPERATIONS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6820" w:type="dxa"/>
            <w:vAlign w:val="bottom"/>
          </w:tcPr>
          <w:p>
            <w:pPr>
              <w:ind w:left="40"/>
              <w:spacing w:after="0"/>
              <w:rPr>
                <w:sz w:val="20"/>
                <w:szCs w:val="20"/>
                <w:color w:val="auto"/>
              </w:rPr>
            </w:pPr>
            <w:r>
              <w:rPr>
                <w:rFonts w:ascii="Arial" w:cs="Arial" w:eastAsia="Arial" w:hAnsi="Arial"/>
                <w:sz w:val="18"/>
                <w:szCs w:val="18"/>
                <w:color w:val="auto"/>
              </w:rPr>
              <w:t>Management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6820" w:type="dxa"/>
            <w:vAlign w:val="bottom"/>
          </w:tcPr>
          <w:p>
            <w:pPr>
              <w:ind w:left="40"/>
              <w:spacing w:after="0"/>
              <w:rPr>
                <w:sz w:val="20"/>
                <w:szCs w:val="20"/>
                <w:color w:val="auto"/>
              </w:rPr>
            </w:pPr>
            <w:r>
              <w:rPr>
                <w:rFonts w:ascii="Arial" w:cs="Arial" w:eastAsia="Arial" w:hAnsi="Arial"/>
                <w:sz w:val="18"/>
                <w:szCs w:val="18"/>
                <w:color w:val="auto"/>
              </w:rPr>
              <w:t>Certificate of Limited Partnership</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6820" w:type="dxa"/>
            <w:vAlign w:val="bottom"/>
          </w:tcPr>
          <w:p>
            <w:pPr>
              <w:ind w:left="40"/>
              <w:spacing w:after="0"/>
              <w:rPr>
                <w:sz w:val="20"/>
                <w:szCs w:val="20"/>
                <w:color w:val="auto"/>
              </w:rPr>
            </w:pPr>
            <w:r>
              <w:rPr>
                <w:rFonts w:ascii="Arial" w:cs="Arial" w:eastAsia="Arial" w:hAnsi="Arial"/>
                <w:sz w:val="18"/>
                <w:szCs w:val="18"/>
                <w:color w:val="auto"/>
              </w:rPr>
              <w:t>Restrictions on General Partner’s Authority</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6820" w:type="dxa"/>
            <w:vAlign w:val="bottom"/>
          </w:tcPr>
          <w:p>
            <w:pPr>
              <w:ind w:left="40"/>
              <w:spacing w:after="0"/>
              <w:rPr>
                <w:sz w:val="20"/>
                <w:szCs w:val="20"/>
                <w:color w:val="auto"/>
              </w:rPr>
            </w:pPr>
            <w:r>
              <w:rPr>
                <w:rFonts w:ascii="Arial" w:cs="Arial" w:eastAsia="Arial" w:hAnsi="Arial"/>
                <w:sz w:val="18"/>
                <w:szCs w:val="18"/>
                <w:color w:val="auto"/>
              </w:rPr>
              <w:t>Reimbursement of the General Partner and Parent</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6820" w:type="dxa"/>
            <w:vAlign w:val="bottom"/>
          </w:tcPr>
          <w:p>
            <w:pPr>
              <w:ind w:left="40"/>
              <w:spacing w:after="0"/>
              <w:rPr>
                <w:sz w:val="20"/>
                <w:szCs w:val="20"/>
                <w:color w:val="auto"/>
              </w:rPr>
            </w:pPr>
            <w:r>
              <w:rPr>
                <w:rFonts w:ascii="Arial" w:cs="Arial" w:eastAsia="Arial" w:hAnsi="Arial"/>
                <w:sz w:val="18"/>
                <w:szCs w:val="18"/>
                <w:color w:val="auto"/>
              </w:rPr>
              <w:t>Outside Activities of the General Partner</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864"/>
        </w:trPr>
        <w:tc>
          <w:tcPr>
            <w:tcW w:w="2340" w:type="dxa"/>
            <w:vAlign w:val="bottom"/>
          </w:tcPr>
          <w:p>
            <w:pPr>
              <w:spacing w:after="0"/>
              <w:rPr>
                <w:sz w:val="24"/>
                <w:szCs w:val="24"/>
                <w:color w:val="auto"/>
              </w:rPr>
            </w:pPr>
          </w:p>
        </w:tc>
        <w:tc>
          <w:tcPr>
            <w:tcW w:w="6820" w:type="dxa"/>
            <w:vAlign w:val="bottom"/>
          </w:tcPr>
          <w:p>
            <w:pPr>
              <w:ind w:left="3340"/>
              <w:spacing w:after="0"/>
              <w:rPr>
                <w:sz w:val="20"/>
                <w:szCs w:val="20"/>
                <w:color w:val="auto"/>
              </w:rPr>
            </w:pPr>
            <w:r>
              <w:rPr>
                <w:rFonts w:ascii="Arial" w:cs="Arial" w:eastAsia="Arial" w:hAnsi="Arial"/>
                <w:sz w:val="18"/>
                <w:szCs w:val="18"/>
                <w:color w:val="auto"/>
              </w:rPr>
              <w:t>i</w:t>
            </w:r>
          </w:p>
        </w:tc>
        <w:tc>
          <w:tcPr>
            <w:tcW w:w="2300" w:type="dxa"/>
            <w:vAlign w:val="bottom"/>
          </w:tcPr>
          <w:p>
            <w:pPr>
              <w:spacing w:after="0"/>
              <w:rPr>
                <w:sz w:val="24"/>
                <w:szCs w:val="24"/>
                <w:color w:val="auto"/>
              </w:rPr>
            </w:pPr>
          </w:p>
        </w:tc>
      </w:tr>
      <w:tr>
        <w:trPr>
          <w:trHeight w:val="375"/>
        </w:trPr>
        <w:tc>
          <w:tcPr>
            <w:tcW w:w="2340" w:type="dxa"/>
            <w:vAlign w:val="bottom"/>
            <w:tcBorders>
              <w:bottom w:val="single" w:sz="8" w:color="010101"/>
            </w:tcBorders>
          </w:tcPr>
          <w:p>
            <w:pPr>
              <w:spacing w:after="0"/>
              <w:rPr>
                <w:sz w:val="24"/>
                <w:szCs w:val="24"/>
                <w:color w:val="auto"/>
              </w:rPr>
            </w:pPr>
          </w:p>
        </w:tc>
        <w:tc>
          <w:tcPr>
            <w:tcW w:w="682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r>
      <w:tr>
        <w:trPr>
          <w:trHeight w:val="590"/>
        </w:trPr>
        <w:tc>
          <w:tcPr>
            <w:tcW w:w="234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6820" w:type="dxa"/>
            <w:vAlign w:val="bottom"/>
          </w:tcPr>
          <w:p>
            <w:pPr>
              <w:ind w:left="40"/>
              <w:spacing w:after="0"/>
              <w:rPr>
                <w:sz w:val="20"/>
                <w:szCs w:val="20"/>
                <w:color w:val="auto"/>
              </w:rPr>
            </w:pPr>
            <w:r>
              <w:rPr>
                <w:rFonts w:ascii="Arial" w:cs="Arial" w:eastAsia="Arial" w:hAnsi="Arial"/>
                <w:sz w:val="18"/>
                <w:szCs w:val="18"/>
                <w:color w:val="auto"/>
              </w:rPr>
              <w:t>Contracts with Affiliates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7.7</w:t>
            </w:r>
          </w:p>
        </w:tc>
        <w:tc>
          <w:tcPr>
            <w:tcW w:w="682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7.8</w:t>
            </w:r>
          </w:p>
        </w:tc>
        <w:tc>
          <w:tcPr>
            <w:tcW w:w="6820" w:type="dxa"/>
            <w:vAlign w:val="bottom"/>
          </w:tcPr>
          <w:p>
            <w:pPr>
              <w:ind w:left="40"/>
              <w:spacing w:after="0"/>
              <w:rPr>
                <w:sz w:val="20"/>
                <w:szCs w:val="20"/>
                <w:color w:val="auto"/>
              </w:rPr>
            </w:pPr>
            <w:r>
              <w:rPr>
                <w:rFonts w:ascii="Arial" w:cs="Arial" w:eastAsia="Arial" w:hAnsi="Arial"/>
                <w:sz w:val="18"/>
                <w:szCs w:val="18"/>
                <w:color w:val="auto"/>
              </w:rPr>
              <w:t>Liability of the General Partner</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7.9</w:t>
            </w:r>
          </w:p>
        </w:tc>
        <w:tc>
          <w:tcPr>
            <w:tcW w:w="6820" w:type="dxa"/>
            <w:vAlign w:val="bottom"/>
          </w:tcPr>
          <w:p>
            <w:pPr>
              <w:ind w:left="40"/>
              <w:spacing w:after="0"/>
              <w:rPr>
                <w:sz w:val="20"/>
                <w:szCs w:val="20"/>
                <w:color w:val="auto"/>
              </w:rPr>
            </w:pPr>
            <w:r>
              <w:rPr>
                <w:rFonts w:ascii="Arial" w:cs="Arial" w:eastAsia="Arial" w:hAnsi="Arial"/>
                <w:sz w:val="18"/>
                <w:szCs w:val="18"/>
                <w:color w:val="auto"/>
              </w:rPr>
              <w:t>Other Matters Concerning the General Partner and the Parent</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6820" w:type="dxa"/>
            <w:vAlign w:val="bottom"/>
          </w:tcPr>
          <w:p>
            <w:pPr>
              <w:ind w:left="40"/>
              <w:spacing w:after="0"/>
              <w:rPr>
                <w:sz w:val="20"/>
                <w:szCs w:val="20"/>
                <w:color w:val="auto"/>
              </w:rPr>
            </w:pPr>
            <w:r>
              <w:rPr>
                <w:rFonts w:ascii="Arial" w:cs="Arial" w:eastAsia="Arial" w:hAnsi="Arial"/>
                <w:sz w:val="18"/>
                <w:szCs w:val="18"/>
                <w:color w:val="auto"/>
              </w:rPr>
              <w:t>Title to Partnership Assets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7.11</w:t>
            </w:r>
          </w:p>
        </w:tc>
        <w:tc>
          <w:tcPr>
            <w:tcW w:w="6820" w:type="dxa"/>
            <w:vAlign w:val="bottom"/>
          </w:tcPr>
          <w:p>
            <w:pPr>
              <w:ind w:left="40"/>
              <w:spacing w:after="0"/>
              <w:rPr>
                <w:sz w:val="20"/>
                <w:szCs w:val="20"/>
                <w:color w:val="auto"/>
              </w:rPr>
            </w:pPr>
            <w:r>
              <w:rPr>
                <w:rFonts w:ascii="Arial" w:cs="Arial" w:eastAsia="Arial" w:hAnsi="Arial"/>
                <w:sz w:val="18"/>
                <w:szCs w:val="18"/>
                <w:color w:val="auto"/>
              </w:rPr>
              <w:t>Reliance by Third Parties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RIGHTS AND OBLIGATIONS OF LIMITED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682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6820" w:type="dxa"/>
            <w:vAlign w:val="bottom"/>
          </w:tcPr>
          <w:p>
            <w:pPr>
              <w:ind w:left="40"/>
              <w:spacing w:after="0"/>
              <w:rPr>
                <w:sz w:val="20"/>
                <w:szCs w:val="20"/>
                <w:color w:val="auto"/>
              </w:rPr>
            </w:pPr>
            <w:r>
              <w:rPr>
                <w:rFonts w:ascii="Arial" w:cs="Arial" w:eastAsia="Arial" w:hAnsi="Arial"/>
                <w:sz w:val="18"/>
                <w:szCs w:val="18"/>
                <w:color w:val="auto"/>
              </w:rPr>
              <w:t>Management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6820" w:type="dxa"/>
            <w:vAlign w:val="bottom"/>
          </w:tcPr>
          <w:p>
            <w:pPr>
              <w:ind w:left="40"/>
              <w:spacing w:after="0"/>
              <w:rPr>
                <w:sz w:val="20"/>
                <w:szCs w:val="20"/>
                <w:color w:val="auto"/>
              </w:rPr>
            </w:pPr>
            <w:r>
              <w:rPr>
                <w:rFonts w:ascii="Arial" w:cs="Arial" w:eastAsia="Arial" w:hAnsi="Arial"/>
                <w:sz w:val="18"/>
                <w:szCs w:val="18"/>
                <w:color w:val="auto"/>
              </w:rPr>
              <w:t>Outside Activities of Limited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6820" w:type="dxa"/>
            <w:vAlign w:val="bottom"/>
          </w:tcPr>
          <w:p>
            <w:pPr>
              <w:ind w:left="40"/>
              <w:spacing w:after="0"/>
              <w:rPr>
                <w:sz w:val="20"/>
                <w:szCs w:val="20"/>
                <w:color w:val="auto"/>
              </w:rPr>
            </w:pPr>
            <w:r>
              <w:rPr>
                <w:rFonts w:ascii="Arial" w:cs="Arial" w:eastAsia="Arial" w:hAnsi="Arial"/>
                <w:sz w:val="18"/>
                <w:szCs w:val="18"/>
                <w:color w:val="auto"/>
              </w:rPr>
              <w:t>Return of Capital</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6820" w:type="dxa"/>
            <w:vAlign w:val="bottom"/>
          </w:tcPr>
          <w:p>
            <w:pPr>
              <w:ind w:left="40"/>
              <w:spacing w:after="0"/>
              <w:rPr>
                <w:sz w:val="20"/>
                <w:szCs w:val="20"/>
                <w:color w:val="auto"/>
              </w:rPr>
            </w:pPr>
            <w:r>
              <w:rPr>
                <w:rFonts w:ascii="Arial" w:cs="Arial" w:eastAsia="Arial" w:hAnsi="Arial"/>
                <w:sz w:val="18"/>
                <w:szCs w:val="18"/>
                <w:color w:val="auto"/>
              </w:rPr>
              <w:t>Adjustment Factor</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6820" w:type="dxa"/>
            <w:vAlign w:val="bottom"/>
          </w:tcPr>
          <w:p>
            <w:pPr>
              <w:ind w:left="40"/>
              <w:spacing w:after="0"/>
              <w:rPr>
                <w:sz w:val="20"/>
                <w:szCs w:val="20"/>
                <w:color w:val="auto"/>
              </w:rPr>
            </w:pPr>
            <w:r>
              <w:rPr>
                <w:rFonts w:ascii="Arial" w:cs="Arial" w:eastAsia="Arial" w:hAnsi="Arial"/>
                <w:sz w:val="18"/>
                <w:szCs w:val="18"/>
                <w:color w:val="auto"/>
              </w:rPr>
              <w:t>Redemption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BOOKS, RECORDS, ACCOUNTING AND REPORTS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6820" w:type="dxa"/>
            <w:vAlign w:val="bottom"/>
          </w:tcPr>
          <w:p>
            <w:pPr>
              <w:ind w:left="40"/>
              <w:spacing w:after="0"/>
              <w:rPr>
                <w:sz w:val="20"/>
                <w:szCs w:val="20"/>
                <w:color w:val="auto"/>
              </w:rPr>
            </w:pPr>
            <w:r>
              <w:rPr>
                <w:rFonts w:ascii="Arial" w:cs="Arial" w:eastAsia="Arial" w:hAnsi="Arial"/>
                <w:sz w:val="18"/>
                <w:szCs w:val="18"/>
                <w:color w:val="auto"/>
              </w:rPr>
              <w:t>Records and Accounting</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6820" w:type="dxa"/>
            <w:vAlign w:val="bottom"/>
          </w:tcPr>
          <w:p>
            <w:pPr>
              <w:ind w:left="40"/>
              <w:spacing w:after="0"/>
              <w:rPr>
                <w:sz w:val="20"/>
                <w:szCs w:val="20"/>
                <w:color w:val="auto"/>
              </w:rPr>
            </w:pPr>
            <w:r>
              <w:rPr>
                <w:rFonts w:ascii="Arial" w:cs="Arial" w:eastAsia="Arial" w:hAnsi="Arial"/>
                <w:sz w:val="18"/>
                <w:szCs w:val="18"/>
                <w:color w:val="auto"/>
              </w:rPr>
              <w:t>Partnership Year</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6820" w:type="dxa"/>
            <w:vAlign w:val="bottom"/>
          </w:tcPr>
          <w:p>
            <w:pPr>
              <w:ind w:left="40"/>
              <w:spacing w:after="0"/>
              <w:rPr>
                <w:sz w:val="20"/>
                <w:szCs w:val="20"/>
                <w:color w:val="auto"/>
              </w:rPr>
            </w:pPr>
            <w:r>
              <w:rPr>
                <w:rFonts w:ascii="Arial" w:cs="Arial" w:eastAsia="Arial" w:hAnsi="Arial"/>
                <w:sz w:val="18"/>
                <w:szCs w:val="18"/>
                <w:color w:val="auto"/>
              </w:rPr>
              <w:t>Reports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2340" w:type="dxa"/>
            <w:vAlign w:val="bottom"/>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TAX MATTERS</w:t>
            </w:r>
          </w:p>
        </w:tc>
        <w:tc>
          <w:tcPr>
            <w:tcW w:w="68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6820" w:type="dxa"/>
            <w:vAlign w:val="bottom"/>
          </w:tcPr>
          <w:p>
            <w:pPr>
              <w:ind w:left="40"/>
              <w:spacing w:after="0"/>
              <w:rPr>
                <w:sz w:val="20"/>
                <w:szCs w:val="20"/>
                <w:color w:val="auto"/>
              </w:rPr>
            </w:pPr>
            <w:r>
              <w:rPr>
                <w:rFonts w:ascii="Arial" w:cs="Arial" w:eastAsia="Arial" w:hAnsi="Arial"/>
                <w:sz w:val="18"/>
                <w:szCs w:val="18"/>
                <w:color w:val="auto"/>
              </w:rPr>
              <w:t>Preparation of Tax Returns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6820" w:type="dxa"/>
            <w:vAlign w:val="bottom"/>
          </w:tcPr>
          <w:p>
            <w:pPr>
              <w:ind w:left="40"/>
              <w:spacing w:after="0"/>
              <w:rPr>
                <w:sz w:val="20"/>
                <w:szCs w:val="20"/>
                <w:color w:val="auto"/>
              </w:rPr>
            </w:pPr>
            <w:r>
              <w:rPr>
                <w:rFonts w:ascii="Arial" w:cs="Arial" w:eastAsia="Arial" w:hAnsi="Arial"/>
                <w:sz w:val="18"/>
                <w:szCs w:val="18"/>
                <w:color w:val="auto"/>
              </w:rPr>
              <w:t>Tax Elections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6820" w:type="dxa"/>
            <w:vAlign w:val="bottom"/>
          </w:tcPr>
          <w:p>
            <w:pPr>
              <w:ind w:left="40"/>
              <w:spacing w:after="0"/>
              <w:rPr>
                <w:sz w:val="20"/>
                <w:szCs w:val="20"/>
                <w:color w:val="auto"/>
              </w:rPr>
            </w:pPr>
            <w:r>
              <w:rPr>
                <w:rFonts w:ascii="Arial" w:cs="Arial" w:eastAsia="Arial" w:hAnsi="Arial"/>
                <w:sz w:val="18"/>
                <w:szCs w:val="18"/>
                <w:color w:val="auto"/>
              </w:rPr>
              <w:t>Tax Matters Partner</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6820" w:type="dxa"/>
            <w:vAlign w:val="bottom"/>
          </w:tcPr>
          <w:p>
            <w:pPr>
              <w:ind w:left="40"/>
              <w:spacing w:after="0"/>
              <w:rPr>
                <w:sz w:val="20"/>
                <w:szCs w:val="20"/>
                <w:color w:val="auto"/>
              </w:rPr>
            </w:pPr>
            <w:r>
              <w:rPr>
                <w:rFonts w:ascii="Arial" w:cs="Arial" w:eastAsia="Arial" w:hAnsi="Arial"/>
                <w:sz w:val="18"/>
                <w:szCs w:val="18"/>
                <w:color w:val="auto"/>
              </w:rPr>
              <w:t>Withholding</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10.5</w:t>
            </w:r>
          </w:p>
        </w:tc>
        <w:tc>
          <w:tcPr>
            <w:tcW w:w="6820" w:type="dxa"/>
            <w:vAlign w:val="bottom"/>
          </w:tcPr>
          <w:p>
            <w:pPr>
              <w:ind w:left="40"/>
              <w:spacing w:after="0"/>
              <w:rPr>
                <w:sz w:val="20"/>
                <w:szCs w:val="20"/>
                <w:color w:val="auto"/>
              </w:rPr>
            </w:pPr>
            <w:r>
              <w:rPr>
                <w:rFonts w:ascii="Arial" w:cs="Arial" w:eastAsia="Arial" w:hAnsi="Arial"/>
                <w:sz w:val="18"/>
                <w:szCs w:val="18"/>
                <w:color w:val="auto"/>
              </w:rPr>
              <w:t>Organizational 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TRANSFERS AND WITHDRAWALS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6820" w:type="dxa"/>
            <w:vAlign w:val="bottom"/>
          </w:tcPr>
          <w:p>
            <w:pPr>
              <w:ind w:left="40"/>
              <w:spacing w:after="0"/>
              <w:rPr>
                <w:sz w:val="20"/>
                <w:szCs w:val="20"/>
                <w:color w:val="auto"/>
              </w:rPr>
            </w:pPr>
            <w:r>
              <w:rPr>
                <w:rFonts w:ascii="Arial" w:cs="Arial" w:eastAsia="Arial" w:hAnsi="Arial"/>
                <w:sz w:val="18"/>
                <w:szCs w:val="18"/>
                <w:color w:val="auto"/>
              </w:rPr>
              <w:t>Transfer</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6820" w:type="dxa"/>
            <w:vAlign w:val="bottom"/>
          </w:tcPr>
          <w:p>
            <w:pPr>
              <w:ind w:left="40"/>
              <w:spacing w:after="0"/>
              <w:rPr>
                <w:sz w:val="20"/>
                <w:szCs w:val="20"/>
                <w:color w:val="auto"/>
              </w:rPr>
            </w:pPr>
            <w:r>
              <w:rPr>
                <w:rFonts w:ascii="Arial" w:cs="Arial" w:eastAsia="Arial" w:hAnsi="Arial"/>
                <w:sz w:val="18"/>
                <w:szCs w:val="18"/>
                <w:color w:val="auto"/>
              </w:rPr>
              <w:t>Transfer of General Partner’s Partnership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6820" w:type="dxa"/>
            <w:vAlign w:val="bottom"/>
          </w:tcPr>
          <w:p>
            <w:pPr>
              <w:ind w:left="40"/>
              <w:spacing w:after="0"/>
              <w:rPr>
                <w:sz w:val="20"/>
                <w:szCs w:val="20"/>
                <w:color w:val="auto"/>
              </w:rPr>
            </w:pPr>
            <w:r>
              <w:rPr>
                <w:rFonts w:ascii="Arial" w:cs="Arial" w:eastAsia="Arial" w:hAnsi="Arial"/>
                <w:sz w:val="18"/>
                <w:szCs w:val="18"/>
                <w:color w:val="auto"/>
              </w:rPr>
              <w:t>Transfer of Limited Partners’ Partnership Interests</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6820" w:type="dxa"/>
            <w:vAlign w:val="bottom"/>
          </w:tcPr>
          <w:p>
            <w:pPr>
              <w:ind w:left="40"/>
              <w:spacing w:after="0"/>
              <w:rPr>
                <w:sz w:val="20"/>
                <w:szCs w:val="20"/>
                <w:color w:val="auto"/>
              </w:rPr>
            </w:pPr>
            <w:r>
              <w:rPr>
                <w:rFonts w:ascii="Arial" w:cs="Arial" w:eastAsia="Arial" w:hAnsi="Arial"/>
                <w:sz w:val="18"/>
                <w:szCs w:val="18"/>
                <w:color w:val="auto"/>
              </w:rPr>
              <w:t>Substituted Limited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6820" w:type="dxa"/>
            <w:vAlign w:val="bottom"/>
          </w:tcPr>
          <w:p>
            <w:pPr>
              <w:ind w:left="40"/>
              <w:spacing w:after="0"/>
              <w:rPr>
                <w:sz w:val="20"/>
                <w:szCs w:val="20"/>
                <w:color w:val="auto"/>
              </w:rPr>
            </w:pPr>
            <w:r>
              <w:rPr>
                <w:rFonts w:ascii="Arial" w:cs="Arial" w:eastAsia="Arial" w:hAnsi="Arial"/>
                <w:sz w:val="18"/>
                <w:szCs w:val="18"/>
                <w:color w:val="auto"/>
              </w:rPr>
              <w:t>Assignees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682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XII. </w:t>
            </w:r>
            <w:r>
              <w:rPr>
                <w:rFonts w:ascii="Arial" w:cs="Arial" w:eastAsia="Arial" w:hAnsi="Arial"/>
                <w:sz w:val="18"/>
                <w:szCs w:val="18"/>
                <w:color w:val="auto"/>
              </w:rPr>
              <w:t>ADMISSION OF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6820" w:type="dxa"/>
            <w:vAlign w:val="bottom"/>
          </w:tcPr>
          <w:p>
            <w:pPr>
              <w:ind w:left="40"/>
              <w:spacing w:after="0"/>
              <w:rPr>
                <w:sz w:val="20"/>
                <w:szCs w:val="20"/>
                <w:color w:val="auto"/>
              </w:rPr>
            </w:pPr>
            <w:r>
              <w:rPr>
                <w:rFonts w:ascii="Arial" w:cs="Arial" w:eastAsia="Arial" w:hAnsi="Arial"/>
                <w:sz w:val="18"/>
                <w:szCs w:val="18"/>
                <w:color w:val="auto"/>
              </w:rPr>
              <w:t>Admission of Successor General Partner</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6820" w:type="dxa"/>
            <w:vAlign w:val="bottom"/>
          </w:tcPr>
          <w:p>
            <w:pPr>
              <w:ind w:left="40"/>
              <w:spacing w:after="0"/>
              <w:rPr>
                <w:sz w:val="20"/>
                <w:szCs w:val="20"/>
                <w:color w:val="auto"/>
              </w:rPr>
            </w:pPr>
            <w:r>
              <w:rPr>
                <w:rFonts w:ascii="Arial" w:cs="Arial" w:eastAsia="Arial" w:hAnsi="Arial"/>
                <w:sz w:val="18"/>
                <w:szCs w:val="18"/>
                <w:color w:val="auto"/>
              </w:rPr>
              <w:t>Admission of Additional Limited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6820" w:type="dxa"/>
            <w:vAlign w:val="bottom"/>
          </w:tcPr>
          <w:p>
            <w:pPr>
              <w:ind w:left="40"/>
              <w:spacing w:after="0"/>
              <w:rPr>
                <w:sz w:val="20"/>
                <w:szCs w:val="20"/>
                <w:color w:val="auto"/>
              </w:rPr>
            </w:pPr>
            <w:r>
              <w:rPr>
                <w:rFonts w:ascii="Arial" w:cs="Arial" w:eastAsia="Arial" w:hAnsi="Arial"/>
                <w:sz w:val="18"/>
                <w:szCs w:val="18"/>
                <w:color w:val="auto"/>
              </w:rPr>
              <w:t>Amendment of Agreement and Certificate of Limited Partnership</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6820" w:type="dxa"/>
            <w:vAlign w:val="bottom"/>
          </w:tcPr>
          <w:p>
            <w:pPr>
              <w:ind w:left="40"/>
              <w:spacing w:after="0"/>
              <w:rPr>
                <w:sz w:val="20"/>
                <w:szCs w:val="20"/>
                <w:color w:val="auto"/>
              </w:rPr>
            </w:pPr>
            <w:r>
              <w:rPr>
                <w:rFonts w:ascii="Arial" w:cs="Arial" w:eastAsia="Arial" w:hAnsi="Arial"/>
                <w:sz w:val="18"/>
                <w:szCs w:val="18"/>
                <w:color w:val="auto"/>
              </w:rPr>
              <w:t>Limit on Number of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XIII. </w:t>
            </w:r>
            <w:r>
              <w:rPr>
                <w:rFonts w:ascii="Arial" w:cs="Arial" w:eastAsia="Arial" w:hAnsi="Arial"/>
                <w:sz w:val="18"/>
                <w:szCs w:val="18"/>
                <w:color w:val="auto"/>
              </w:rPr>
              <w:t>DISSOLUTION, LIQUIDATION AND 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2340" w:type="dxa"/>
            <w:vAlign w:val="bottom"/>
          </w:tcPr>
          <w:p>
            <w:pPr>
              <w:ind w:left="540"/>
              <w:spacing w:after="0"/>
              <w:rPr>
                <w:sz w:val="20"/>
                <w:szCs w:val="20"/>
                <w:color w:val="auto"/>
              </w:rPr>
            </w:pPr>
            <w:r>
              <w:rPr>
                <w:rFonts w:ascii="Arial" w:cs="Arial" w:eastAsia="Arial" w:hAnsi="Arial"/>
                <w:sz w:val="18"/>
                <w:szCs w:val="18"/>
                <w:color w:val="auto"/>
              </w:rPr>
              <w:t>Section 13.1</w:t>
            </w:r>
          </w:p>
        </w:tc>
        <w:tc>
          <w:tcPr>
            <w:tcW w:w="6820" w:type="dxa"/>
            <w:vAlign w:val="bottom"/>
          </w:tcPr>
          <w:p>
            <w:pPr>
              <w:ind w:left="40"/>
              <w:spacing w:after="0"/>
              <w:rPr>
                <w:sz w:val="20"/>
                <w:szCs w:val="20"/>
                <w:color w:val="auto"/>
              </w:rPr>
            </w:pPr>
            <w:r>
              <w:rPr>
                <w:rFonts w:ascii="Arial" w:cs="Arial" w:eastAsia="Arial" w:hAnsi="Arial"/>
                <w:sz w:val="18"/>
                <w:szCs w:val="18"/>
                <w:color w:val="auto"/>
              </w:rPr>
              <w:t>Dissolution</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13.2</w:t>
            </w:r>
          </w:p>
        </w:tc>
        <w:tc>
          <w:tcPr>
            <w:tcW w:w="6820" w:type="dxa"/>
            <w:vAlign w:val="bottom"/>
          </w:tcPr>
          <w:p>
            <w:pPr>
              <w:ind w:left="40"/>
              <w:spacing w:after="0"/>
              <w:rPr>
                <w:sz w:val="20"/>
                <w:szCs w:val="20"/>
                <w:color w:val="auto"/>
              </w:rPr>
            </w:pPr>
            <w:r>
              <w:rPr>
                <w:rFonts w:ascii="Arial" w:cs="Arial" w:eastAsia="Arial" w:hAnsi="Arial"/>
                <w:sz w:val="18"/>
                <w:szCs w:val="18"/>
                <w:color w:val="auto"/>
              </w:rPr>
              <w:t>Winding Up</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13.3</w:t>
            </w:r>
          </w:p>
        </w:tc>
        <w:tc>
          <w:tcPr>
            <w:tcW w:w="6820" w:type="dxa"/>
            <w:vAlign w:val="bottom"/>
          </w:tcPr>
          <w:p>
            <w:pPr>
              <w:ind w:left="40"/>
              <w:spacing w:after="0"/>
              <w:rPr>
                <w:sz w:val="20"/>
                <w:szCs w:val="20"/>
                <w:color w:val="auto"/>
              </w:rPr>
            </w:pPr>
            <w:r>
              <w:rPr>
                <w:rFonts w:ascii="Arial" w:cs="Arial" w:eastAsia="Arial" w:hAnsi="Arial"/>
                <w:sz w:val="18"/>
                <w:szCs w:val="18"/>
                <w:color w:val="auto"/>
              </w:rPr>
              <w:t>Deemed Distribution and Recontribution</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13.4</w:t>
            </w:r>
          </w:p>
        </w:tc>
        <w:tc>
          <w:tcPr>
            <w:tcW w:w="6820" w:type="dxa"/>
            <w:vAlign w:val="bottom"/>
          </w:tcPr>
          <w:p>
            <w:pPr>
              <w:ind w:left="40"/>
              <w:spacing w:after="0"/>
              <w:rPr>
                <w:sz w:val="20"/>
                <w:szCs w:val="20"/>
                <w:color w:val="auto"/>
              </w:rPr>
            </w:pPr>
            <w:r>
              <w:rPr>
                <w:rFonts w:ascii="Arial" w:cs="Arial" w:eastAsia="Arial" w:hAnsi="Arial"/>
                <w:sz w:val="18"/>
                <w:szCs w:val="18"/>
                <w:color w:val="auto"/>
              </w:rPr>
              <w:t>Rights of Limited Partners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13.5</w:t>
            </w:r>
          </w:p>
        </w:tc>
        <w:tc>
          <w:tcPr>
            <w:tcW w:w="6820" w:type="dxa"/>
            <w:vAlign w:val="bottom"/>
          </w:tcPr>
          <w:p>
            <w:pPr>
              <w:ind w:left="40"/>
              <w:spacing w:after="0"/>
              <w:rPr>
                <w:sz w:val="20"/>
                <w:szCs w:val="20"/>
                <w:color w:val="auto"/>
              </w:rPr>
            </w:pPr>
            <w:r>
              <w:rPr>
                <w:rFonts w:ascii="Arial" w:cs="Arial" w:eastAsia="Arial" w:hAnsi="Arial"/>
                <w:sz w:val="18"/>
                <w:szCs w:val="18"/>
                <w:color w:val="auto"/>
              </w:rPr>
              <w:t>Notice of Dissolution</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340" w:type="dxa"/>
            <w:vAlign w:val="bottom"/>
          </w:tcPr>
          <w:p>
            <w:pPr>
              <w:ind w:left="540"/>
              <w:spacing w:after="0"/>
              <w:rPr>
                <w:sz w:val="20"/>
                <w:szCs w:val="20"/>
                <w:color w:val="auto"/>
              </w:rPr>
            </w:pPr>
            <w:r>
              <w:rPr>
                <w:rFonts w:ascii="Arial" w:cs="Arial" w:eastAsia="Arial" w:hAnsi="Arial"/>
                <w:sz w:val="18"/>
                <w:szCs w:val="18"/>
                <w:color w:val="auto"/>
              </w:rPr>
              <w:t>Section 13.6</w:t>
            </w:r>
          </w:p>
        </w:tc>
        <w:tc>
          <w:tcPr>
            <w:tcW w:w="6820" w:type="dxa"/>
            <w:vAlign w:val="bottom"/>
          </w:tcPr>
          <w:p>
            <w:pPr>
              <w:ind w:left="40"/>
              <w:spacing w:after="0"/>
              <w:rPr>
                <w:sz w:val="20"/>
                <w:szCs w:val="20"/>
                <w:color w:val="auto"/>
              </w:rPr>
            </w:pPr>
            <w:r>
              <w:rPr>
                <w:rFonts w:ascii="Arial" w:cs="Arial" w:eastAsia="Arial" w:hAnsi="Arial"/>
                <w:sz w:val="18"/>
                <w:szCs w:val="18"/>
                <w:color w:val="auto"/>
              </w:rPr>
              <w:t>Cancellation of Certificate of Limited Partnership</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340" w:type="dxa"/>
            <w:vAlign w:val="bottom"/>
          </w:tcPr>
          <w:p>
            <w:pPr>
              <w:ind w:left="540"/>
              <w:spacing w:after="0"/>
              <w:rPr>
                <w:sz w:val="20"/>
                <w:szCs w:val="20"/>
                <w:color w:val="auto"/>
              </w:rPr>
            </w:pPr>
            <w:r>
              <w:rPr>
                <w:rFonts w:ascii="Arial" w:cs="Arial" w:eastAsia="Arial" w:hAnsi="Arial"/>
                <w:sz w:val="18"/>
                <w:szCs w:val="18"/>
                <w:color w:val="auto"/>
              </w:rPr>
              <w:t>Section 13.7</w:t>
            </w:r>
          </w:p>
        </w:tc>
        <w:tc>
          <w:tcPr>
            <w:tcW w:w="6820" w:type="dxa"/>
            <w:vAlign w:val="bottom"/>
          </w:tcPr>
          <w:p>
            <w:pPr>
              <w:ind w:left="40"/>
              <w:spacing w:after="0"/>
              <w:rPr>
                <w:sz w:val="20"/>
                <w:szCs w:val="20"/>
                <w:color w:val="auto"/>
              </w:rPr>
            </w:pPr>
            <w:r>
              <w:rPr>
                <w:rFonts w:ascii="Arial" w:cs="Arial" w:eastAsia="Arial" w:hAnsi="Arial"/>
                <w:sz w:val="18"/>
                <w:szCs w:val="18"/>
                <w:color w:val="auto"/>
              </w:rPr>
              <w:t>Reasonable Time for Winding-Up</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-7822565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-7822565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25"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XIV. </w:t>
            </w:r>
            <w:r>
              <w:rPr>
                <w:rFonts w:ascii="Arial" w:cs="Arial" w:eastAsia="Arial" w:hAnsi="Arial"/>
                <w:sz w:val="18"/>
                <w:szCs w:val="18"/>
                <w:color w:val="auto"/>
              </w:rPr>
              <w:t>PROCEDURES FOR ACTIONS AND CONSENTS OF PARTNERS; AMENDMENTS; MEETINGS</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620" w:type="dxa"/>
            <w:vAlign w:val="bottom"/>
          </w:tcPr>
          <w:p>
            <w:pPr>
              <w:ind w:left="540"/>
              <w:spacing w:after="0"/>
              <w:rPr>
                <w:sz w:val="20"/>
                <w:szCs w:val="20"/>
                <w:color w:val="auto"/>
              </w:rPr>
            </w:pPr>
            <w:r>
              <w:rPr>
                <w:rFonts w:ascii="Arial" w:cs="Arial" w:eastAsia="Arial" w:hAnsi="Arial"/>
                <w:sz w:val="18"/>
                <w:szCs w:val="18"/>
                <w:color w:val="auto"/>
              </w:rPr>
              <w:t>Section 14.1</w:t>
            </w:r>
          </w:p>
        </w:tc>
        <w:tc>
          <w:tcPr>
            <w:tcW w:w="8260" w:type="dxa"/>
            <w:vAlign w:val="bottom"/>
          </w:tcPr>
          <w:p>
            <w:pPr>
              <w:ind w:left="780"/>
              <w:spacing w:after="0"/>
              <w:rPr>
                <w:sz w:val="20"/>
                <w:szCs w:val="20"/>
                <w:color w:val="auto"/>
              </w:rPr>
            </w:pPr>
            <w:r>
              <w:rPr>
                <w:rFonts w:ascii="Arial" w:cs="Arial" w:eastAsia="Arial" w:hAnsi="Arial"/>
                <w:sz w:val="18"/>
                <w:szCs w:val="18"/>
                <w:color w:val="auto"/>
              </w:rPr>
              <w:t>Procedures for Actions and Consents of Partners</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14.2</w:t>
            </w:r>
          </w:p>
        </w:tc>
        <w:tc>
          <w:tcPr>
            <w:tcW w:w="8260" w:type="dxa"/>
            <w:vAlign w:val="bottom"/>
          </w:tcPr>
          <w:p>
            <w:pPr>
              <w:ind w:left="780"/>
              <w:spacing w:after="0"/>
              <w:rPr>
                <w:sz w:val="20"/>
                <w:szCs w:val="20"/>
                <w:color w:val="auto"/>
              </w:rPr>
            </w:pPr>
            <w:r>
              <w:rPr>
                <w:rFonts w:ascii="Arial" w:cs="Arial" w:eastAsia="Arial" w:hAnsi="Arial"/>
                <w:sz w:val="18"/>
                <w:szCs w:val="18"/>
                <w:color w:val="auto"/>
              </w:rPr>
              <w:t>Amendments</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rPr>
              <w:t>Section 14.3</w:t>
            </w:r>
          </w:p>
        </w:tc>
        <w:tc>
          <w:tcPr>
            <w:tcW w:w="8260" w:type="dxa"/>
            <w:vAlign w:val="bottom"/>
          </w:tcPr>
          <w:p>
            <w:pPr>
              <w:ind w:left="780"/>
              <w:spacing w:after="0"/>
              <w:rPr>
                <w:sz w:val="20"/>
                <w:szCs w:val="20"/>
                <w:color w:val="auto"/>
              </w:rPr>
            </w:pPr>
            <w:r>
              <w:rPr>
                <w:rFonts w:ascii="Arial" w:cs="Arial" w:eastAsia="Arial" w:hAnsi="Arial"/>
                <w:sz w:val="18"/>
                <w:szCs w:val="18"/>
                <w:color w:val="auto"/>
              </w:rPr>
              <w:t>Meetings of the Partners</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XV. </w:t>
            </w:r>
            <w:r>
              <w:rPr>
                <w:rFonts w:ascii="Arial" w:cs="Arial" w:eastAsia="Arial" w:hAnsi="Arial"/>
                <w:sz w:val="18"/>
                <w:szCs w:val="18"/>
                <w:color w:val="auto"/>
              </w:rPr>
              <w:t>GENERAL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620" w:type="dxa"/>
            <w:vAlign w:val="bottom"/>
          </w:tcPr>
          <w:p>
            <w:pPr>
              <w:ind w:left="540"/>
              <w:spacing w:after="0"/>
              <w:rPr>
                <w:sz w:val="20"/>
                <w:szCs w:val="20"/>
                <w:color w:val="auto"/>
              </w:rPr>
            </w:pPr>
            <w:r>
              <w:rPr>
                <w:rFonts w:ascii="Arial" w:cs="Arial" w:eastAsia="Arial" w:hAnsi="Arial"/>
                <w:sz w:val="18"/>
                <w:szCs w:val="18"/>
                <w:color w:val="auto"/>
              </w:rPr>
              <w:t>Section 15.1</w:t>
            </w:r>
          </w:p>
        </w:tc>
        <w:tc>
          <w:tcPr>
            <w:tcW w:w="8260" w:type="dxa"/>
            <w:vAlign w:val="bottom"/>
          </w:tcPr>
          <w:p>
            <w:pPr>
              <w:ind w:left="780"/>
              <w:spacing w:after="0"/>
              <w:rPr>
                <w:sz w:val="20"/>
                <w:szCs w:val="20"/>
                <w:color w:val="auto"/>
              </w:rPr>
            </w:pPr>
            <w:r>
              <w:rPr>
                <w:rFonts w:ascii="Arial" w:cs="Arial" w:eastAsia="Arial" w:hAnsi="Arial"/>
                <w:sz w:val="18"/>
                <w:szCs w:val="18"/>
                <w:color w:val="auto"/>
              </w:rPr>
              <w:t>Addresses and Notice</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15.2</w:t>
            </w:r>
          </w:p>
        </w:tc>
        <w:tc>
          <w:tcPr>
            <w:tcW w:w="8260" w:type="dxa"/>
            <w:vAlign w:val="bottom"/>
          </w:tcPr>
          <w:p>
            <w:pPr>
              <w:ind w:left="780"/>
              <w:spacing w:after="0"/>
              <w:rPr>
                <w:sz w:val="20"/>
                <w:szCs w:val="20"/>
                <w:color w:val="auto"/>
              </w:rPr>
            </w:pPr>
            <w:r>
              <w:rPr>
                <w:rFonts w:ascii="Arial" w:cs="Arial" w:eastAsia="Arial" w:hAnsi="Arial"/>
                <w:sz w:val="18"/>
                <w:szCs w:val="18"/>
                <w:color w:val="auto"/>
              </w:rPr>
              <w:t>Titles and Captions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15.3</w:t>
            </w:r>
          </w:p>
        </w:tc>
        <w:tc>
          <w:tcPr>
            <w:tcW w:w="8260" w:type="dxa"/>
            <w:vAlign w:val="bottom"/>
          </w:tcPr>
          <w:p>
            <w:pPr>
              <w:ind w:left="780"/>
              <w:spacing w:after="0"/>
              <w:rPr>
                <w:sz w:val="20"/>
                <w:szCs w:val="20"/>
                <w:color w:val="auto"/>
              </w:rPr>
            </w:pPr>
            <w:r>
              <w:rPr>
                <w:rFonts w:ascii="Arial" w:cs="Arial" w:eastAsia="Arial" w:hAnsi="Arial"/>
                <w:sz w:val="18"/>
                <w:szCs w:val="18"/>
                <w:color w:val="auto"/>
              </w:rPr>
              <w:t>Pronouns and Plurals</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15.4</w:t>
            </w:r>
          </w:p>
        </w:tc>
        <w:tc>
          <w:tcPr>
            <w:tcW w:w="8260" w:type="dxa"/>
            <w:vAlign w:val="bottom"/>
          </w:tcPr>
          <w:p>
            <w:pPr>
              <w:ind w:left="780"/>
              <w:spacing w:after="0"/>
              <w:rPr>
                <w:sz w:val="20"/>
                <w:szCs w:val="20"/>
                <w:color w:val="auto"/>
              </w:rPr>
            </w:pPr>
            <w:r>
              <w:rPr>
                <w:rFonts w:ascii="Arial" w:cs="Arial" w:eastAsia="Arial" w:hAnsi="Arial"/>
                <w:sz w:val="18"/>
                <w:szCs w:val="18"/>
                <w:color w:val="auto"/>
              </w:rPr>
              <w:t>Further Action</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15.5</w:t>
            </w:r>
          </w:p>
        </w:tc>
        <w:tc>
          <w:tcPr>
            <w:tcW w:w="8260" w:type="dxa"/>
            <w:vAlign w:val="bottom"/>
          </w:tcPr>
          <w:p>
            <w:pPr>
              <w:ind w:left="780"/>
              <w:spacing w:after="0"/>
              <w:rPr>
                <w:sz w:val="20"/>
                <w:szCs w:val="20"/>
                <w:color w:val="auto"/>
              </w:rPr>
            </w:pPr>
            <w:r>
              <w:rPr>
                <w:rFonts w:ascii="Arial" w:cs="Arial" w:eastAsia="Arial" w:hAnsi="Arial"/>
                <w:sz w:val="18"/>
                <w:szCs w:val="18"/>
                <w:color w:val="auto"/>
              </w:rPr>
              <w:t>Binding Effect</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15.6</w:t>
            </w:r>
          </w:p>
        </w:tc>
        <w:tc>
          <w:tcPr>
            <w:tcW w:w="8260" w:type="dxa"/>
            <w:vAlign w:val="bottom"/>
          </w:tcPr>
          <w:p>
            <w:pPr>
              <w:ind w:left="780"/>
              <w:spacing w:after="0"/>
              <w:rPr>
                <w:sz w:val="20"/>
                <w:szCs w:val="20"/>
                <w:color w:val="auto"/>
              </w:rPr>
            </w:pPr>
            <w:r>
              <w:rPr>
                <w:rFonts w:ascii="Arial" w:cs="Arial" w:eastAsia="Arial" w:hAnsi="Arial"/>
                <w:sz w:val="18"/>
                <w:szCs w:val="18"/>
                <w:color w:val="auto"/>
              </w:rPr>
              <w:t>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15.7</w:t>
            </w:r>
          </w:p>
        </w:tc>
        <w:tc>
          <w:tcPr>
            <w:tcW w:w="8260" w:type="dxa"/>
            <w:vAlign w:val="bottom"/>
          </w:tcPr>
          <w:p>
            <w:pPr>
              <w:ind w:left="780"/>
              <w:spacing w:after="0"/>
              <w:rPr>
                <w:sz w:val="20"/>
                <w:szCs w:val="20"/>
                <w:color w:val="auto"/>
              </w:rPr>
            </w:pPr>
            <w:r>
              <w:rPr>
                <w:rFonts w:ascii="Arial" w:cs="Arial" w:eastAsia="Arial" w:hAnsi="Arial"/>
                <w:sz w:val="18"/>
                <w:szCs w:val="18"/>
                <w:color w:val="auto"/>
              </w:rPr>
              <w:t>Counterparts</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15.8</w:t>
            </w:r>
          </w:p>
        </w:tc>
        <w:tc>
          <w:tcPr>
            <w:tcW w:w="8260" w:type="dxa"/>
            <w:vAlign w:val="bottom"/>
          </w:tcPr>
          <w:p>
            <w:pPr>
              <w:ind w:left="780"/>
              <w:spacing w:after="0"/>
              <w:rPr>
                <w:sz w:val="20"/>
                <w:szCs w:val="20"/>
                <w:color w:val="auto"/>
              </w:rPr>
            </w:pPr>
            <w:r>
              <w:rPr>
                <w:rFonts w:ascii="Arial" w:cs="Arial" w:eastAsia="Arial" w:hAnsi="Arial"/>
                <w:sz w:val="18"/>
                <w:szCs w:val="18"/>
                <w:color w:val="auto"/>
              </w:rPr>
              <w:t>Applicable Law</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15.9</w:t>
            </w:r>
          </w:p>
        </w:tc>
        <w:tc>
          <w:tcPr>
            <w:tcW w:w="8260" w:type="dxa"/>
            <w:vAlign w:val="bottom"/>
          </w:tcPr>
          <w:p>
            <w:pPr>
              <w:ind w:left="780"/>
              <w:spacing w:after="0"/>
              <w:rPr>
                <w:sz w:val="20"/>
                <w:szCs w:val="20"/>
                <w:color w:val="auto"/>
              </w:rPr>
            </w:pPr>
            <w:r>
              <w:rPr>
                <w:rFonts w:ascii="Arial" w:cs="Arial" w:eastAsia="Arial" w:hAnsi="Arial"/>
                <w:sz w:val="18"/>
                <w:szCs w:val="18"/>
                <w:color w:val="auto"/>
              </w:rPr>
              <w:t>Entire Agreement</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15.10</w:t>
            </w:r>
          </w:p>
        </w:tc>
        <w:tc>
          <w:tcPr>
            <w:tcW w:w="8260" w:type="dxa"/>
            <w:vAlign w:val="bottom"/>
          </w:tcPr>
          <w:p>
            <w:pPr>
              <w:ind w:left="780"/>
              <w:spacing w:after="0"/>
              <w:rPr>
                <w:sz w:val="20"/>
                <w:szCs w:val="20"/>
                <w:color w:val="auto"/>
              </w:rPr>
            </w:pPr>
            <w:r>
              <w:rPr>
                <w:rFonts w:ascii="Arial" w:cs="Arial" w:eastAsia="Arial" w:hAnsi="Arial"/>
                <w:sz w:val="18"/>
                <w:szCs w:val="18"/>
                <w:color w:val="auto"/>
              </w:rPr>
              <w:t>Invalidity of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15.11</w:t>
            </w:r>
          </w:p>
        </w:tc>
        <w:tc>
          <w:tcPr>
            <w:tcW w:w="8260" w:type="dxa"/>
            <w:vAlign w:val="bottom"/>
          </w:tcPr>
          <w:p>
            <w:pPr>
              <w:ind w:left="780"/>
              <w:spacing w:after="0"/>
              <w:rPr>
                <w:sz w:val="20"/>
                <w:szCs w:val="20"/>
                <w:color w:val="auto"/>
              </w:rPr>
            </w:pPr>
            <w:r>
              <w:rPr>
                <w:rFonts w:ascii="Arial" w:cs="Arial" w:eastAsia="Arial" w:hAnsi="Arial"/>
                <w:sz w:val="18"/>
                <w:szCs w:val="18"/>
                <w:color w:val="auto"/>
              </w:rPr>
              <w:t>Limitation to Preserve REIT Status</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15.12</w:t>
            </w:r>
          </w:p>
        </w:tc>
        <w:tc>
          <w:tcPr>
            <w:tcW w:w="8260" w:type="dxa"/>
            <w:vAlign w:val="bottom"/>
          </w:tcPr>
          <w:p>
            <w:pPr>
              <w:ind w:left="780"/>
              <w:spacing w:after="0"/>
              <w:rPr>
                <w:sz w:val="20"/>
                <w:szCs w:val="20"/>
                <w:color w:val="auto"/>
              </w:rPr>
            </w:pPr>
            <w:r>
              <w:rPr>
                <w:rFonts w:ascii="Arial" w:cs="Arial" w:eastAsia="Arial" w:hAnsi="Arial"/>
                <w:sz w:val="18"/>
                <w:szCs w:val="18"/>
                <w:color w:val="auto"/>
              </w:rPr>
              <w:t>No Partition</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15.13</w:t>
            </w:r>
          </w:p>
        </w:tc>
        <w:tc>
          <w:tcPr>
            <w:tcW w:w="8260" w:type="dxa"/>
            <w:vAlign w:val="bottom"/>
          </w:tcPr>
          <w:p>
            <w:pPr>
              <w:ind w:left="780"/>
              <w:spacing w:after="0"/>
              <w:rPr>
                <w:sz w:val="20"/>
                <w:szCs w:val="20"/>
                <w:color w:val="auto"/>
              </w:rPr>
            </w:pPr>
            <w:r>
              <w:rPr>
                <w:rFonts w:ascii="Arial" w:cs="Arial" w:eastAsia="Arial" w:hAnsi="Arial"/>
                <w:sz w:val="18"/>
                <w:szCs w:val="18"/>
                <w:color w:val="auto"/>
              </w:rPr>
              <w:t>No Third-Party Rights Created Hereby</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15.14</w:t>
            </w:r>
          </w:p>
        </w:tc>
        <w:tc>
          <w:tcPr>
            <w:tcW w:w="8260" w:type="dxa"/>
            <w:vAlign w:val="bottom"/>
          </w:tcPr>
          <w:p>
            <w:pPr>
              <w:ind w:left="780"/>
              <w:spacing w:after="0"/>
              <w:rPr>
                <w:sz w:val="20"/>
                <w:szCs w:val="20"/>
                <w:color w:val="auto"/>
              </w:rPr>
            </w:pPr>
            <w:r>
              <w:rPr>
                <w:rFonts w:ascii="Arial" w:cs="Arial" w:eastAsia="Arial" w:hAnsi="Arial"/>
                <w:sz w:val="18"/>
                <w:szCs w:val="18"/>
                <w:color w:val="auto"/>
              </w:rPr>
              <w:t>No Rights as Shareholders of General Partner or Stockholders of Parent</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15.15</w:t>
            </w:r>
          </w:p>
        </w:tc>
        <w:tc>
          <w:tcPr>
            <w:tcW w:w="8260" w:type="dxa"/>
            <w:vAlign w:val="bottom"/>
          </w:tcPr>
          <w:p>
            <w:pPr>
              <w:ind w:left="780"/>
              <w:spacing w:after="0"/>
              <w:rPr>
                <w:sz w:val="20"/>
                <w:szCs w:val="20"/>
                <w:color w:val="auto"/>
              </w:rPr>
            </w:pPr>
            <w:r>
              <w:rPr>
                <w:rFonts w:ascii="Arial" w:cs="Arial" w:eastAsia="Arial" w:hAnsi="Arial"/>
                <w:sz w:val="18"/>
                <w:szCs w:val="18"/>
                <w:color w:val="auto"/>
              </w:rPr>
              <w:t>Creditors</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XVI. </w:t>
            </w:r>
            <w:r>
              <w:rPr>
                <w:rFonts w:ascii="Arial" w:cs="Arial" w:eastAsia="Arial" w:hAnsi="Arial"/>
                <w:sz w:val="18"/>
                <w:szCs w:val="18"/>
                <w:color w:val="auto"/>
              </w:rPr>
              <w:t>SERIES A PARTICIPATING REDEEMABLE PREFERRED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620" w:type="dxa"/>
            <w:vAlign w:val="bottom"/>
          </w:tcPr>
          <w:p>
            <w:pPr>
              <w:ind w:left="540"/>
              <w:spacing w:after="0"/>
              <w:rPr>
                <w:sz w:val="20"/>
                <w:szCs w:val="20"/>
                <w:color w:val="auto"/>
              </w:rPr>
            </w:pPr>
            <w:r>
              <w:rPr>
                <w:rFonts w:ascii="Arial" w:cs="Arial" w:eastAsia="Arial" w:hAnsi="Arial"/>
                <w:sz w:val="18"/>
                <w:szCs w:val="18"/>
                <w:color w:val="auto"/>
              </w:rPr>
              <w:t>Section 16.1</w:t>
            </w:r>
          </w:p>
        </w:tc>
        <w:tc>
          <w:tcPr>
            <w:tcW w:w="8260" w:type="dxa"/>
            <w:vAlign w:val="bottom"/>
          </w:tcPr>
          <w:p>
            <w:pPr>
              <w:ind w:left="780"/>
              <w:spacing w:after="0"/>
              <w:rPr>
                <w:sz w:val="20"/>
                <w:szCs w:val="20"/>
                <w:color w:val="auto"/>
              </w:rPr>
            </w:pPr>
            <w:r>
              <w:rPr>
                <w:rFonts w:ascii="Arial" w:cs="Arial" w:eastAsia="Arial" w:hAnsi="Arial"/>
                <w:sz w:val="18"/>
                <w:szCs w:val="18"/>
                <w:color w:val="auto"/>
              </w:rPr>
              <w:t>Designation and Number</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16.2</w:t>
            </w:r>
          </w:p>
        </w:tc>
        <w:tc>
          <w:tcPr>
            <w:tcW w:w="8260" w:type="dxa"/>
            <w:vAlign w:val="bottom"/>
          </w:tcPr>
          <w:p>
            <w:pPr>
              <w:ind w:left="780"/>
              <w:spacing w:after="0"/>
              <w:rPr>
                <w:sz w:val="20"/>
                <w:szCs w:val="20"/>
                <w:color w:val="auto"/>
              </w:rPr>
            </w:pPr>
            <w:r>
              <w:rPr>
                <w:rFonts w:ascii="Arial" w:cs="Arial" w:eastAsia="Arial" w:hAnsi="Arial"/>
                <w:sz w:val="18"/>
                <w:szCs w:val="18"/>
                <w:color w:val="auto"/>
              </w:rPr>
              <w:t>Distributions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16.3</w:t>
            </w:r>
          </w:p>
        </w:tc>
        <w:tc>
          <w:tcPr>
            <w:tcW w:w="8260" w:type="dxa"/>
            <w:vAlign w:val="bottom"/>
          </w:tcPr>
          <w:p>
            <w:pPr>
              <w:ind w:left="780"/>
              <w:spacing w:after="0"/>
              <w:rPr>
                <w:sz w:val="20"/>
                <w:szCs w:val="20"/>
                <w:color w:val="auto"/>
              </w:rPr>
            </w:pPr>
            <w:r>
              <w:rPr>
                <w:rFonts w:ascii="Arial" w:cs="Arial" w:eastAsia="Arial" w:hAnsi="Arial"/>
                <w:sz w:val="18"/>
                <w:szCs w:val="18"/>
                <w:color w:val="auto"/>
              </w:rPr>
              <w:t>Liquidation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16.4</w:t>
            </w:r>
          </w:p>
        </w:tc>
        <w:tc>
          <w:tcPr>
            <w:tcW w:w="8260" w:type="dxa"/>
            <w:vAlign w:val="bottom"/>
          </w:tcPr>
          <w:p>
            <w:pPr>
              <w:ind w:left="780"/>
              <w:spacing w:after="0"/>
              <w:rPr>
                <w:sz w:val="20"/>
                <w:szCs w:val="20"/>
                <w:color w:val="auto"/>
              </w:rPr>
            </w:pPr>
            <w:r>
              <w:rPr>
                <w:rFonts w:ascii="Arial" w:cs="Arial" w:eastAsia="Arial" w:hAnsi="Arial"/>
                <w:sz w:val="18"/>
                <w:szCs w:val="18"/>
                <w:color w:val="auto"/>
              </w:rPr>
              <w:t>Redemption</w:t>
            </w: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16.5</w:t>
            </w:r>
          </w:p>
        </w:tc>
        <w:tc>
          <w:tcPr>
            <w:tcW w:w="8260" w:type="dxa"/>
            <w:vAlign w:val="bottom"/>
          </w:tcPr>
          <w:p>
            <w:pPr>
              <w:ind w:left="780"/>
              <w:spacing w:after="0"/>
              <w:rPr>
                <w:sz w:val="20"/>
                <w:szCs w:val="20"/>
                <w:color w:val="auto"/>
              </w:rPr>
            </w:pPr>
            <w:r>
              <w:rPr>
                <w:rFonts w:ascii="Arial" w:cs="Arial" w:eastAsia="Arial" w:hAnsi="Arial"/>
                <w:sz w:val="18"/>
                <w:szCs w:val="18"/>
                <w:color w:val="auto"/>
              </w:rPr>
              <w:t>Ranking</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16.6</w:t>
            </w:r>
          </w:p>
        </w:tc>
        <w:tc>
          <w:tcPr>
            <w:tcW w:w="8260" w:type="dxa"/>
            <w:vAlign w:val="bottom"/>
          </w:tcPr>
          <w:p>
            <w:pPr>
              <w:ind w:left="780"/>
              <w:spacing w:after="0"/>
              <w:rPr>
                <w:sz w:val="20"/>
                <w:szCs w:val="20"/>
                <w:color w:val="auto"/>
              </w:rPr>
            </w:pPr>
            <w:r>
              <w:rPr>
                <w:rFonts w:ascii="Arial" w:cs="Arial" w:eastAsia="Arial" w:hAnsi="Arial"/>
                <w:sz w:val="18"/>
                <w:szCs w:val="18"/>
                <w:color w:val="auto"/>
              </w:rPr>
              <w:t>Voting Rights</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16.7</w:t>
            </w:r>
          </w:p>
        </w:tc>
        <w:tc>
          <w:tcPr>
            <w:tcW w:w="8260" w:type="dxa"/>
            <w:vAlign w:val="bottom"/>
          </w:tcPr>
          <w:p>
            <w:pPr>
              <w:ind w:left="780"/>
              <w:spacing w:after="0"/>
              <w:rPr>
                <w:sz w:val="20"/>
                <w:szCs w:val="20"/>
                <w:color w:val="auto"/>
              </w:rPr>
            </w:pPr>
            <w:r>
              <w:rPr>
                <w:rFonts w:ascii="Arial" w:cs="Arial" w:eastAsia="Arial" w:hAnsi="Arial"/>
                <w:sz w:val="18"/>
                <w:szCs w:val="18"/>
                <w:color w:val="auto"/>
              </w:rPr>
              <w:t>Transfer Restrictions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16.8</w:t>
            </w:r>
          </w:p>
        </w:tc>
        <w:tc>
          <w:tcPr>
            <w:tcW w:w="8260" w:type="dxa"/>
            <w:vAlign w:val="bottom"/>
          </w:tcPr>
          <w:p>
            <w:pPr>
              <w:ind w:left="780"/>
              <w:spacing w:after="0"/>
              <w:rPr>
                <w:sz w:val="20"/>
                <w:szCs w:val="20"/>
                <w:color w:val="auto"/>
              </w:rPr>
            </w:pPr>
            <w:r>
              <w:rPr>
                <w:rFonts w:ascii="Arial" w:cs="Arial" w:eastAsia="Arial" w:hAnsi="Arial"/>
                <w:sz w:val="18"/>
                <w:szCs w:val="18"/>
                <w:color w:val="auto"/>
              </w:rPr>
              <w:t>No Conversion Rights</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16.9</w:t>
            </w:r>
          </w:p>
        </w:tc>
        <w:tc>
          <w:tcPr>
            <w:tcW w:w="8260" w:type="dxa"/>
            <w:vAlign w:val="bottom"/>
          </w:tcPr>
          <w:p>
            <w:pPr>
              <w:ind w:left="780"/>
              <w:spacing w:after="0"/>
              <w:rPr>
                <w:sz w:val="20"/>
                <w:szCs w:val="20"/>
                <w:color w:val="auto"/>
              </w:rPr>
            </w:pPr>
            <w:r>
              <w:rPr>
                <w:rFonts w:ascii="Arial" w:cs="Arial" w:eastAsia="Arial" w:hAnsi="Arial"/>
                <w:sz w:val="18"/>
                <w:szCs w:val="18"/>
                <w:color w:val="auto"/>
              </w:rPr>
              <w:t>No Sinking Fund</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w w:val="96"/>
              </w:rPr>
              <w:t>Section 16.10</w:t>
            </w:r>
          </w:p>
        </w:tc>
        <w:tc>
          <w:tcPr>
            <w:tcW w:w="8260" w:type="dxa"/>
            <w:vAlign w:val="bottom"/>
          </w:tcPr>
          <w:p>
            <w:pPr>
              <w:ind w:left="780"/>
              <w:spacing w:after="0"/>
              <w:rPr>
                <w:sz w:val="20"/>
                <w:szCs w:val="20"/>
                <w:color w:val="auto"/>
              </w:rPr>
            </w:pPr>
            <w:r>
              <w:rPr>
                <w:rFonts w:ascii="Arial" w:cs="Arial" w:eastAsia="Arial" w:hAnsi="Arial"/>
                <w:sz w:val="18"/>
                <w:szCs w:val="18"/>
                <w:color w:val="auto"/>
              </w:rPr>
              <w:t>Article 8 Opt-In</w:t>
            </w: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634"/>
        </w:trPr>
        <w:tc>
          <w:tcPr>
            <w:tcW w:w="1620" w:type="dxa"/>
            <w:vAlign w:val="bottom"/>
          </w:tcPr>
          <w:p>
            <w:pPr>
              <w:spacing w:after="0"/>
              <w:rPr>
                <w:sz w:val="20"/>
                <w:szCs w:val="20"/>
                <w:color w:val="auto"/>
              </w:rPr>
            </w:pPr>
            <w:r>
              <w:rPr>
                <w:rFonts w:ascii="Arial" w:cs="Arial" w:eastAsia="Arial" w:hAnsi="Arial"/>
                <w:sz w:val="18"/>
                <w:szCs w:val="18"/>
                <w:color w:val="auto"/>
              </w:rPr>
              <w:t>EXHIBIT A</w:t>
            </w:r>
          </w:p>
        </w:tc>
        <w:tc>
          <w:tcPr>
            <w:tcW w:w="8260" w:type="dxa"/>
            <w:vAlign w:val="bottom"/>
          </w:tcPr>
          <w:p>
            <w:pPr>
              <w:ind w:left="80"/>
              <w:spacing w:after="0"/>
              <w:rPr>
                <w:sz w:val="20"/>
                <w:szCs w:val="20"/>
                <w:color w:val="auto"/>
              </w:rPr>
            </w:pPr>
            <w:r>
              <w:rPr>
                <w:rFonts w:ascii="Arial" w:cs="Arial" w:eastAsia="Arial" w:hAnsi="Arial"/>
                <w:sz w:val="18"/>
                <w:szCs w:val="18"/>
                <w:color w:val="auto"/>
              </w:rPr>
              <w:t>PARTNERS AND PARTNERSHIP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B</w:t>
            </w:r>
          </w:p>
        </w:tc>
        <w:tc>
          <w:tcPr>
            <w:tcW w:w="8260" w:type="dxa"/>
            <w:vAlign w:val="bottom"/>
          </w:tcPr>
          <w:p>
            <w:pPr>
              <w:ind w:left="80"/>
              <w:spacing w:after="0"/>
              <w:rPr>
                <w:sz w:val="20"/>
                <w:szCs w:val="20"/>
                <w:color w:val="auto"/>
              </w:rPr>
            </w:pPr>
            <w:r>
              <w:rPr>
                <w:rFonts w:ascii="Arial" w:cs="Arial" w:eastAsia="Arial" w:hAnsi="Arial"/>
                <w:sz w:val="18"/>
                <w:szCs w:val="18"/>
                <w:color w:val="auto"/>
              </w:rPr>
              <w:t>NOTICE OF REDEMPTION</w:t>
            </w:r>
          </w:p>
        </w:tc>
        <w:tc>
          <w:tcPr>
            <w:tcW w:w="15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C</w:t>
            </w:r>
          </w:p>
        </w:tc>
        <w:tc>
          <w:tcPr>
            <w:tcW w:w="8260" w:type="dxa"/>
            <w:vAlign w:val="bottom"/>
          </w:tcPr>
          <w:p>
            <w:pPr>
              <w:ind w:left="80"/>
              <w:spacing w:after="0"/>
              <w:rPr>
                <w:sz w:val="20"/>
                <w:szCs w:val="20"/>
                <w:color w:val="auto"/>
              </w:rPr>
            </w:pPr>
            <w:r>
              <w:rPr>
                <w:rFonts w:ascii="Arial" w:cs="Arial" w:eastAsia="Arial" w:hAnsi="Arial"/>
                <w:sz w:val="18"/>
                <w:szCs w:val="18"/>
                <w:color w:val="auto"/>
              </w:rPr>
              <w:t>OBLIGATED PARTNERS AND PROTECTED AMOUNTS</w:t>
            </w:r>
          </w:p>
        </w:tc>
        <w:tc>
          <w:tcPr>
            <w:tcW w:w="15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D</w:t>
            </w:r>
          </w:p>
        </w:tc>
        <w:tc>
          <w:tcPr>
            <w:tcW w:w="8260" w:type="dxa"/>
            <w:vAlign w:val="bottom"/>
          </w:tcPr>
          <w:p>
            <w:pPr>
              <w:ind w:left="80"/>
              <w:spacing w:after="0"/>
              <w:rPr>
                <w:sz w:val="20"/>
                <w:szCs w:val="20"/>
                <w:color w:val="auto"/>
              </w:rPr>
            </w:pPr>
            <w:r>
              <w:rPr>
                <w:rFonts w:ascii="Arial" w:cs="Arial" w:eastAsia="Arial" w:hAnsi="Arial"/>
                <w:sz w:val="18"/>
                <w:szCs w:val="18"/>
                <w:color w:val="auto"/>
              </w:rPr>
              <w:t>LIST OF WHOLLY OWNED EARLY STAGE LEASE-UP STORAGE FACILITIES</w:t>
            </w:r>
          </w:p>
        </w:tc>
        <w:tc>
          <w:tcPr>
            <w:tcW w:w="152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EXHIBIT E</w:t>
            </w:r>
          </w:p>
        </w:tc>
        <w:tc>
          <w:tcPr>
            <w:tcW w:w="8260" w:type="dxa"/>
            <w:vAlign w:val="bottom"/>
          </w:tcPr>
          <w:p>
            <w:pPr>
              <w:ind w:left="80"/>
              <w:spacing w:after="0"/>
              <w:rPr>
                <w:sz w:val="20"/>
                <w:szCs w:val="20"/>
                <w:color w:val="auto"/>
              </w:rPr>
            </w:pPr>
            <w:r>
              <w:rPr>
                <w:rFonts w:ascii="Arial" w:cs="Arial" w:eastAsia="Arial" w:hAnsi="Arial"/>
                <w:sz w:val="18"/>
                <w:szCs w:val="18"/>
                <w:color w:val="auto"/>
              </w:rPr>
              <w:t>NOTICE OF SERIES A PREFERRED REDEMPTION</w:t>
            </w:r>
          </w:p>
        </w:tc>
        <w:tc>
          <w:tcPr>
            <w:tcW w:w="1520" w:type="dxa"/>
            <w:vAlign w:val="bottom"/>
          </w:tcPr>
          <w:p>
            <w:pPr>
              <w:jc w:val="right"/>
              <w:spacing w:after="0"/>
              <w:rPr>
                <w:sz w:val="20"/>
                <w:szCs w:val="20"/>
                <w:color w:val="auto"/>
              </w:rPr>
            </w:pPr>
            <w:r>
              <w:rPr>
                <w:rFonts w:ascii="Arial" w:cs="Arial" w:eastAsia="Arial" w:hAnsi="Arial"/>
                <w:sz w:val="18"/>
                <w:szCs w:val="18"/>
                <w:color w:val="auto"/>
              </w:rPr>
              <w:t>E-1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AGREEMENT OF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PARTNERSHIP OF EXTRA SPACE STORAGE LP</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THIS SECOND AMENDED AND RESTATED AGREEMENT OF LIMITED PARTNERSHIP OF EXTRA SPACE STORAGE LP, dated as of June 25, 2007 is entered into by and among ESS Holdings Business Trust I, a Massachusetts business trust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xml:space="preserve">”) and the limited partners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Limited Partner</w:t>
      </w:r>
      <w:r>
        <w:rPr>
          <w:rFonts w:ascii="Arial" w:cs="Arial" w:eastAsia="Arial" w:hAnsi="Arial"/>
          <w:sz w:val="18"/>
          <w:szCs w:val="18"/>
          <w:color w:val="auto"/>
        </w:rPr>
        <w:t>”).</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WHEREAS, the General Partner and the Parent Limited Partner entered into that certain First Amended and Restated Agreement of Limited Partnership of Extra Space Storage LP dated as of August 17, 2004 (the “</w:t>
      </w:r>
      <w:r>
        <w:rPr>
          <w:rFonts w:ascii="Arial" w:cs="Arial" w:eastAsia="Arial" w:hAnsi="Arial"/>
          <w:sz w:val="17"/>
          <w:szCs w:val="17"/>
          <w:u w:val="single" w:color="auto"/>
          <w:color w:val="auto"/>
        </w:rPr>
        <w:t>First Amended and Restated Partnership Agreement</w:t>
      </w:r>
      <w:r>
        <w:rPr>
          <w:rFonts w:ascii="Arial" w:cs="Arial" w:eastAsia="Arial" w:hAnsi="Arial"/>
          <w:sz w:val="17"/>
          <w:szCs w:val="17"/>
          <w:color w:val="auto"/>
        </w:rPr>
        <w:t>”); and</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the General Partner and the Parent Limited Partner desire to amend and restate the First Amended and Restated Partnership Agreement in its entirety by entering into this Second Amended and Restated Agreement of Limited Partnership.</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other good and valuable consideration, the receipt and sufficiency of which are hereby acknowledged,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ectPr>
          <w:pgSz w:w="11900" w:h="16838" w:orient="portrait"/>
          <w:cols w:equalWidth="0" w:num="1">
            <w:col w:w="11400"/>
          </w:cols>
          <w:pgMar w:left="240" w:top="125" w:right="259" w:bottom="0" w:gutter="0" w:footer="0" w:header="0"/>
        </w:sectPr>
      </w:pPr>
    </w:p>
    <w:bookmarkStart w:id="6" w:name="page7"/>
    <w:bookmarkEnd w:id="6"/>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means the Delaware Revised Uniform Limited Partnership Act (6 Del. C. § 17-101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from time to time, and any successor to such statute.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Funds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hereof.</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Limited Partner</w:t>
      </w:r>
      <w:r>
        <w:rPr>
          <w:rFonts w:ascii="Arial" w:cs="Arial" w:eastAsia="Arial" w:hAnsi="Arial"/>
          <w:sz w:val="18"/>
          <w:szCs w:val="18"/>
          <w:color w:val="auto"/>
        </w:rPr>
        <w:t xml:space="preserve">” means a Person who is admitted to the Partnership as a Limited Partner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and who is shown as such on the books and records of the Partnership.</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Capital Account</w:t>
      </w:r>
      <w:r>
        <w:rPr>
          <w:rFonts w:ascii="Arial" w:cs="Arial" w:eastAsia="Arial" w:hAnsi="Arial"/>
          <w:sz w:val="17"/>
          <w:szCs w:val="17"/>
          <w:color w:val="auto"/>
        </w:rPr>
        <w:t>” means the Capital Account maintained for each Partner as of the end of each Fiscal Year (i) increased by any amounts which such Partner is obligated to restore pursuant to any provision of this Agreement or is deemed to be obligated to restore pursuant to the penultimate sentences of Regulations Sections 1.704-2(g)(1) and 1.704-2(I)(5) and (ii) decreased by the items described in Regulations Sections 1.704-1(b)(2)(ii)(d)(4), 1.704-1(b)(2)(ii)(d)(5) and 1.704-1(b)(2)(ii)(d)(6). The foregoing definition of Adjusted Capital Account is intended to comply with the provisions of Regulations Section 1.704-1(b)(2)(ii)(d) and shall be interpreted consistently therewith.</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Capital Account Deficit</w:t>
      </w:r>
      <w:r>
        <w:rPr>
          <w:rFonts w:ascii="Arial" w:cs="Arial" w:eastAsia="Arial" w:hAnsi="Arial"/>
          <w:sz w:val="18"/>
          <w:szCs w:val="18"/>
          <w:color w:val="auto"/>
        </w:rPr>
        <w:t>” means, with respect to any Partner, the deficit balance, if any, in such Partner’s Adjusted Capital Account as of the end of the relevant Partnership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Factor</w:t>
      </w:r>
      <w:r>
        <w:rPr>
          <w:rFonts w:ascii="Arial" w:cs="Arial" w:eastAsia="Arial" w:hAnsi="Arial"/>
          <w:sz w:val="18"/>
          <w:szCs w:val="18"/>
          <w:color w:val="auto"/>
        </w:rPr>
        <w:t xml:space="preserve">” means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w:t>
      </w:r>
    </w:p>
    <w:p>
      <w:pPr>
        <w:spacing w:after="0" w:line="225" w:lineRule="exact"/>
        <w:rPr>
          <w:sz w:val="20"/>
          <w:szCs w:val="20"/>
          <w:color w:val="auto"/>
        </w:rPr>
      </w:pPr>
    </w:p>
    <w:p>
      <w:pPr>
        <w:ind w:left="660" w:right="180" w:firstLine="645"/>
        <w:spacing w:after="0" w:line="264" w:lineRule="auto"/>
        <w:tabs>
          <w:tab w:leader="none" w:pos="193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Parent (a) declares or pays a dividend on its outstanding REIT Shares in REIT Shares or makes a distribution to all holders of its outstanding REIT Shares in REIT Shares, (b) splits or subdivides its outstanding REIT Shares or (c) effects a reverse stock split or otherwise combines 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outstanding REIT Shares into a smaller number of REIT Shares, the Adjustment Factor shall be adjusted by multiplying the Adjustment Factor previously in effect by a fraction, (i) the numerator of which shall be the number of REIT Shares issued and outstanding on the record date for such dividend, distribution, split, subdivision, reverse split or combination (assuming for such purposes that such dividend, distribution, split, subdivision, reverse split or combination has occurred as of such time) and (ii) the denominator of which shall be the actual number of REIT Shares (determined without the above assumption) issued and outstanding on the record date for such dividend, distribution, split, subdivision, reverse split or combination;</w:t>
      </w:r>
    </w:p>
    <w:p>
      <w:pPr>
        <w:spacing w:after="0" w:line="193" w:lineRule="exact"/>
        <w:rPr>
          <w:sz w:val="20"/>
          <w:szCs w:val="20"/>
          <w:color w:val="auto"/>
        </w:rPr>
      </w:pPr>
    </w:p>
    <w:p>
      <w:pPr>
        <w:ind w:left="660" w:right="40" w:firstLine="645"/>
        <w:spacing w:after="0" w:line="269" w:lineRule="auto"/>
        <w:tabs>
          <w:tab w:leader="none" w:pos="19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Parent distributes any rights, options or warrants to all holders of its REIT Shares to subscribe for or to purchase or to otherwise acquire REIT Shares (or other securities or rights convertible into, exchangeable for or exercisable for REIT Shares) at a price per share less than the Value of a REIT Share on the record date for such distribution (each a “</w:t>
      </w:r>
      <w:r>
        <w:rPr>
          <w:rFonts w:ascii="Arial" w:cs="Arial" w:eastAsia="Arial" w:hAnsi="Arial"/>
          <w:sz w:val="17"/>
          <w:szCs w:val="17"/>
          <w:u w:val="single" w:color="auto"/>
          <w:color w:val="auto"/>
        </w:rPr>
        <w:t>Distributed Right</w:t>
      </w:r>
      <w:r>
        <w:rPr>
          <w:rFonts w:ascii="Arial" w:cs="Arial" w:eastAsia="Arial" w:hAnsi="Arial"/>
          <w:sz w:val="17"/>
          <w:szCs w:val="17"/>
          <w:color w:val="auto"/>
        </w:rPr>
        <w:t xml:space="preserve">”), then the Adjustment Factor shall be adjusted by multiplying the Adjustment Factor previously in effect by a fraction (a) the numerator of which shall be the number of REIT Shares issued and outstanding on the record date plus the maximum number of REIT Shares purchasable under such Distributed Rights and (b) the denominator of which shall be the number of REIT Shares issued and outstanding on the record date plus a fraction (1) the numerator of which is the maximum number of REIT Shares purchasable under such Distributed Rights times the minimum purchase price per REIT Share under such Distributed Rights and (2) the denominator of which is the Value of a REIT Share as of the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Distributed Rights expire or become no longer exercisable, then the Adjustment Factor shall be adjusted, effective retroactive to the date of distribution of the Distributed Rights, to reflect a reduced maximum number of REIT Shares or any change in the minimum purchase price for the purposes of the above fraction; and</w:t>
      </w:r>
    </w:p>
    <w:p>
      <w:pPr>
        <w:spacing w:after="0" w:line="182" w:lineRule="exact"/>
        <w:rPr>
          <w:rFonts w:ascii="Arial" w:cs="Arial" w:eastAsia="Arial" w:hAnsi="Arial"/>
          <w:sz w:val="17"/>
          <w:szCs w:val="17"/>
          <w:color w:val="auto"/>
        </w:rPr>
      </w:pPr>
    </w:p>
    <w:p>
      <w:pPr>
        <w:ind w:left="660" w:firstLine="645"/>
        <w:spacing w:after="0" w:line="271" w:lineRule="auto"/>
        <w:tabs>
          <w:tab w:leader="none" w:pos="1961"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Parent shall, by dividend or otherwise, distribute to all holders of its REIT Shares evidences of its indebtedness or assets (including securities, but excluding any dividend or distribution referred to in subsection (i) above), which evidences of indebtedness or assets relate to assets not received by the Parent or its Subsidiaries pursuant 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by the Partnership, then the Adjustment Factor shall be adjusted to equal the amount determined by multiplying the Adjustment Factor in effect immediately prior to the close of business on the date fixed for determination of stockholders entitled to receive such distribution by a fraction (i) the numerator of which shall be such Value of a REIT Share on the date fixed for such determination and (ii) the denominator of which shall be the Value of a REIT Share on the dates fixed for such determination less the then fair market value (as determined by the REIT, whose determination shall be conclusive) of the portion of the evidences of indebtedness or assets so distributed applicable to one REIT Share.</w:t>
      </w:r>
    </w:p>
    <w:p>
      <w:pPr>
        <w:spacing w:after="0" w:line="1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adjustments to the Adjustment Factor shall become effective immediately after the effective date of such event, retroactive to the record date, if any, for such event.</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directly or indirectly controlling or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Second Amendment and Restated Agreement of Limited Partnership of Extra Space Storage LP, as it may be amended, supplemented or restated from time to time.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means a Person to whom one or more Partnership Units have been Transferred in a manner permitted under this Agreement, but who has not become a Substituted Limited Partner, and who has the rights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with respect to any period for which such calculation is being made, the amount of cash available for distribution by the Partnership as determined by the General Partner.</w:t>
      </w:r>
    </w:p>
    <w:p>
      <w:pPr>
        <w:sectPr>
          <w:pgSz w:w="11900" w:h="16838" w:orient="portrait"/>
          <w:cols w:equalWidth="0" w:num="1">
            <w:col w:w="11420"/>
          </w:cols>
          <w:pgMar w:left="240" w:top="125" w:right="239" w:bottom="18"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Sunday or other day on which commercial banks in New York, New York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the Parent, as amended, supplemented or restated from time to time.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with respect to any Partner, the Capital Account maintained by the General Partner for such Partner on the Partnership’s books and records in accordance with the following provisions:</w:t>
      </w:r>
    </w:p>
    <w:p>
      <w:pPr>
        <w:spacing w:after="0" w:line="170" w:lineRule="exact"/>
        <w:rPr>
          <w:sz w:val="20"/>
          <w:szCs w:val="20"/>
          <w:color w:val="auto"/>
        </w:rPr>
      </w:pPr>
    </w:p>
    <w:p>
      <w:pPr>
        <w:ind w:left="660" w:right="40" w:firstLine="645"/>
        <w:spacing w:after="0" w:line="286" w:lineRule="auto"/>
        <w:tabs>
          <w:tab w:leader="none" w:pos="194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and the principal amount of any Partnership liabilities assumed by such Partner or that are secured by any property distributed to such Partner.</w:t>
      </w:r>
    </w:p>
    <w:p>
      <w:pPr>
        <w:spacing w:after="0" w:line="165" w:lineRule="exact"/>
        <w:rPr>
          <w:rFonts w:ascii="Arial" w:cs="Arial" w:eastAsia="Arial" w:hAnsi="Arial"/>
          <w:sz w:val="17"/>
          <w:szCs w:val="17"/>
          <w:color w:val="auto"/>
        </w:rPr>
      </w:pPr>
    </w:p>
    <w:p>
      <w:pPr>
        <w:ind w:left="660" w:firstLine="645"/>
        <w:spacing w:after="0" w:line="279" w:lineRule="auto"/>
        <w:tabs>
          <w:tab w:leader="none" w:pos="193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and the principal amount of any liabilities of such Partner assumed by the Partnership or that are secured by any property contributed by such Partner to the Partnership.</w:t>
      </w:r>
    </w:p>
    <w:p>
      <w:pPr>
        <w:spacing w:after="0" w:line="171" w:lineRule="exact"/>
        <w:rPr>
          <w:rFonts w:ascii="Arial" w:cs="Arial" w:eastAsia="Arial" w:hAnsi="Arial"/>
          <w:sz w:val="17"/>
          <w:szCs w:val="17"/>
          <w:color w:val="auto"/>
        </w:rPr>
      </w:pPr>
    </w:p>
    <w:p>
      <w:pPr>
        <w:ind w:left="660" w:right="480" w:firstLine="645"/>
        <w:spacing w:after="0" w:line="277" w:lineRule="auto"/>
        <w:tabs>
          <w:tab w:leader="none" w:pos="19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any interest in the Partnership is Transferred in accordance with the terms of this Agreement, the transferee shall succeed to the Capital Account of the transferor to the extent that it relates to the Transferred interest.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4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determining the principal amount of any liability for purposes of subsections (a) and (b) hereof,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left="660" w:right="160" w:firstLine="645"/>
        <w:spacing w:after="0" w:line="290" w:lineRule="auto"/>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relating to the maintenance of Capital Accounts are intended to comply with Regulations Sections 1.704-1(b) and 1.704-2, and shall be interpreted and applied in a manner consistent with such Regulations. If the General Partner shall determine that it is prudent to modify the manner in which the Capital Accounts are maintained in order to comply with such Regulations, the General Partner may make such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modification will not have a material effect on the amounts distributable to any Partner without such Partner’s Consent. The General Partner also shall (i) make any adjustments that are necessary or appropriate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that unanticipated events might otherwise cause this Agreement not to comply with Regulations Section 1.704-1(b) or Section 1.704-2.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 Deficit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13.2.C</w:t>
      </w:r>
      <w:r>
        <w:rPr>
          <w:rFonts w:ascii="Arial" w:cs="Arial" w:eastAsia="Arial" w:hAnsi="Arial"/>
          <w:sz w:val="18"/>
          <w:szCs w:val="18"/>
          <w:color w:val="auto"/>
        </w:rPr>
        <w:t xml:space="preserve"> hereof.</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xml:space="preserve">” means, with respect to any Partner, the amount of money and the initial Gross Asset Value of any Contributed Property that such Partner contributes to the Partnership or is deemed to contribute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means, with respect to a Tendering Partner, an amount of cash equal to the product of (A) the Value of a REIT Share and (B) such Tendering Partner’s REIT Shares Amount determined as of the date of receipt by the General Partner of such Tendering Partner’s Notice of Redemption or, if such date is not a Business Day, the immediately preceding Business Day.</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the Certificate of Limited Partnership of the Partnership filed in the office of the Secretary of State of the State of Delaware on May 5, 2004, as amended from time to time in accordance with the terms hereof and the Act.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Articles of Amendment and Restatement of the Parent as filed with the State Department of Assessments and Taxation of Maryland, as amended,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Value</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in effect from time to time or any successor statute thereto, as interpreted by the applicable Regulations thereunder. Any reference herein to a specific section or sections of the Code shall be deemed to include a reference to any corresponding provision of future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Employees</w:t>
      </w:r>
      <w:r>
        <w:rPr>
          <w:rFonts w:ascii="Arial" w:cs="Arial" w:eastAsia="Arial" w:hAnsi="Arial"/>
          <w:sz w:val="18"/>
          <w:szCs w:val="18"/>
          <w:color w:val="auto"/>
        </w:rPr>
        <w:t>” means the employees of the Partnership, the Parent and any of their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w:t>
      </w:r>
      <w:r>
        <w:rPr>
          <w:rFonts w:ascii="Arial" w:cs="Arial" w:eastAsia="Arial" w:hAnsi="Arial"/>
          <w:sz w:val="17"/>
          <w:szCs w:val="17"/>
          <w:color w:val="auto"/>
        </w:rPr>
        <w:t xml:space="preserve">” means the consent to, approval of, or vote in favor of a proposed action by a Partner given in accordance with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Conversion Shares</w:t>
      </w:r>
      <w:r>
        <w:rPr>
          <w:rFonts w:ascii="Arial" w:cs="Arial" w:eastAsia="Arial" w:hAnsi="Arial"/>
          <w:sz w:val="18"/>
          <w:szCs w:val="18"/>
          <w:color w:val="auto"/>
        </w:rPr>
        <w:t>” means a contingent conversion share of the Parent, par value $.01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Conversion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Contributed Property</w:t>
      </w:r>
      <w:r>
        <w:rPr>
          <w:rFonts w:ascii="Arial" w:cs="Arial" w:eastAsia="Arial" w:hAnsi="Arial"/>
          <w:sz w:val="17"/>
          <w:szCs w:val="17"/>
          <w:color w:val="auto"/>
        </w:rPr>
        <w:t>” means each item of Property or other asset, in such form as may be permitted by the Act, but excluding cash, contributed or deemed contributed to the Partnership (or deemed contributed by the Partnership to a “new” partnership pursuant to Code Section 708) net of any liabilities assumed by the Partnership relating to such Contributed Property and any liability to which such Contributed Property is subject.</w:t>
      </w:r>
    </w:p>
    <w:p>
      <w:pPr>
        <w:sectPr>
          <w:pgSz w:w="11900" w:h="16838" w:orient="portrait"/>
          <w:cols w:equalWidth="0" w:num="1">
            <w:col w:w="11400"/>
          </w:cols>
          <w:pgMar w:left="240" w:top="125" w:right="259" w:bottom="134" w:gutter="0" w:footer="0" w:header="0"/>
        </w:sectPr>
      </w:pPr>
    </w:p>
    <w:bookmarkStart w:id="8" w:name="page9"/>
    <w:bookmarkEnd w:id="8"/>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means that certain Contribution Agreement dated as of June 15, 2007 by and among the Partnership and those entities identified therein as contributors to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Percentage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lease obligations of such Person that, in accordance with generally accepted accounting principles, should be capitalized.</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Depreciation</w:t>
      </w:r>
      <w:r>
        <w:rPr>
          <w:rFonts w:ascii="Arial" w:cs="Arial" w:eastAsia="Arial" w:hAnsi="Arial"/>
          <w:sz w:val="18"/>
          <w:szCs w:val="18"/>
          <w:color w:val="auto"/>
        </w:rPr>
        <w:t xml:space="preserve">” means, for each Partnership Year or other applicable period, an amount equal to the federal income tax depreciation, amortization or other cost recovery deduction allowable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federal income tax depreciation, amortization or other cost recovery deduction for such year or period is zero, Depreciation shall be determined with reference to such beginning Gross Asset Value using any reasonable method selected by the General Partner.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Right</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Adjustment Factor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closing of the initial public offering of REIT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and Restated Partnership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Debt</w:t>
      </w:r>
      <w:r>
        <w:rPr>
          <w:rFonts w:ascii="Arial" w:cs="Arial" w:eastAsia="Arial" w:hAnsi="Arial"/>
          <w:sz w:val="18"/>
          <w:szCs w:val="18"/>
          <w:color w:val="auto"/>
        </w:rPr>
        <w:t>” means the incurrence of any Debt for the purpose of providing funds to the Partnership by or on behalf of the Parent or any wholly owned subsidiary of the Parent.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ESS Holdings Business Trust I, a Massachusetts business trust, and its successors and assigns, as the general partner of the Partnership.</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Interest</w:t>
      </w:r>
      <w:r>
        <w:rPr>
          <w:rFonts w:ascii="Arial" w:cs="Arial" w:eastAsia="Arial" w:hAnsi="Arial"/>
          <w:sz w:val="18"/>
          <w:szCs w:val="18"/>
          <w:color w:val="auto"/>
        </w:rPr>
        <w:t>” means the Partnership Interest held by the General Partner, which Partnership Interest is an interest as a general partner under the Act. A General Partner Interest may be expressed as a number of OP Units, Contingent Conversion Units, Preferred Units, Junior Units or any other Partnership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4.4.D</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Asset Value</w:t>
      </w:r>
      <w:r>
        <w:rPr>
          <w:rFonts w:ascii="Arial" w:cs="Arial" w:eastAsia="Arial" w:hAnsi="Arial"/>
          <w:sz w:val="18"/>
          <w:szCs w:val="18"/>
          <w:color w:val="auto"/>
        </w:rPr>
        <w:t>” means, with respect to any asset, the asset’s adjusted basis for federal income tax purposes, except as follows:</w:t>
      </w:r>
    </w:p>
    <w:p>
      <w:pPr>
        <w:spacing w:after="0" w:line="225" w:lineRule="exact"/>
        <w:rPr>
          <w:sz w:val="20"/>
          <w:szCs w:val="20"/>
          <w:color w:val="auto"/>
        </w:rPr>
      </w:pPr>
    </w:p>
    <w:p>
      <w:pPr>
        <w:ind w:right="300" w:firstLine="656"/>
        <w:spacing w:after="0" w:line="277" w:lineRule="auto"/>
        <w:tabs>
          <w:tab w:leader="none" w:pos="1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Gross Asset Value of any asset contributed by a Partner to the Partnership shall be the gross fair market value of such asset as determined by the General Partner.</w:t>
      </w:r>
    </w:p>
    <w:p>
      <w:pPr>
        <w:spacing w:after="0" w:line="170" w:lineRule="exact"/>
        <w:rPr>
          <w:rFonts w:ascii="Arial" w:cs="Arial" w:eastAsia="Arial" w:hAnsi="Arial"/>
          <w:sz w:val="18"/>
          <w:szCs w:val="18"/>
          <w:color w:val="auto"/>
        </w:rPr>
      </w:pPr>
    </w:p>
    <w:p>
      <w:pPr>
        <w:ind w:right="120" w:firstLine="656"/>
        <w:spacing w:after="0" w:line="264" w:lineRule="auto"/>
        <w:tabs>
          <w:tab w:leader="none" w:pos="12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Gross Asset Values of all Partnership assets immediately prior to the occurrence of any event described in clause (i), clause (ii), clause (iii), clause (iv) or clause (v) hereof shall be adjusted to equal their respective gross fair market values, as determined by the General Partner using such reasonable method of valuation as it may adopt, as of the following times:</w:t>
      </w:r>
    </w:p>
    <w:p>
      <w:pPr>
        <w:spacing w:after="0" w:line="181" w:lineRule="exact"/>
        <w:rPr>
          <w:rFonts w:ascii="Arial" w:cs="Arial" w:eastAsia="Arial" w:hAnsi="Arial"/>
          <w:sz w:val="18"/>
          <w:szCs w:val="18"/>
          <w:color w:val="auto"/>
        </w:rPr>
      </w:pPr>
    </w:p>
    <w:p>
      <w:pPr>
        <w:ind w:left="660" w:right="20" w:firstLine="645"/>
        <w:spacing w:after="0" w:line="302" w:lineRule="auto"/>
        <w:tabs>
          <w:tab w:leader="none" w:pos="1937"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acquisition of an additional interest in the Partnership (other than in connection with the execution of this Agreement but including, without limitation, acquisitions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hereof or contributions or deemed contributions by the General Partner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hereof) by a new or existing Partner in exchange for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Capital Contribution, if the General Partner reasonably determines that such adjustment is necessary or appropriate to reflect the relative economic interests of the Partners in the Partnership;</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949"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the distribution by the Partnership to a Partner of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Property as consideration for an interest in the Partnership, if the General Partner reasonably determines that such adjustment is necessary or appropriate to reflect the relative economic interests of the Partners in the Partnership;</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liquidation of the Partnership within the meaning of Regulations Section 1.704-1(b)(2)(ii)(g);</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upon the admission of a successor General Partner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the conversion of any Contingent Conversion Units pursuant to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hereof; and</w:t>
      </w:r>
    </w:p>
    <w:p>
      <w:pPr>
        <w:sectPr>
          <w:pgSz w:w="11900" w:h="16838" w:orient="portrait"/>
          <w:cols w:equalWidth="0" w:num="1">
            <w:col w:w="11400"/>
          </w:cols>
          <w:pgMar w:left="240" w:top="125" w:right="259" w:bottom="73" w:gutter="0" w:footer="0" w:header="0"/>
        </w:sectPr>
      </w:pPr>
    </w:p>
    <w:bookmarkStart w:id="9" w:name="page10"/>
    <w:bookmarkEnd w:id="9"/>
    <w:p>
      <w:pPr>
        <w:ind w:left="660" w:right="200" w:firstLine="645"/>
        <w:spacing w:after="0" w:line="277" w:lineRule="auto"/>
        <w:tabs>
          <w:tab w:leader="none" w:pos="19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such other times as the General Partner shall reasonably determine necessary or advisable in order to comply with Regulations Sections 1.704-1(b) and 1.704-2.</w:t>
      </w:r>
    </w:p>
    <w:p>
      <w:pPr>
        <w:spacing w:after="0" w:line="170" w:lineRule="exact"/>
        <w:rPr>
          <w:rFonts w:ascii="Arial" w:cs="Arial" w:eastAsia="Arial" w:hAnsi="Arial"/>
          <w:sz w:val="18"/>
          <w:szCs w:val="18"/>
          <w:color w:val="auto"/>
        </w:rPr>
      </w:pPr>
    </w:p>
    <w:p>
      <w:pPr>
        <w:ind w:firstLine="656"/>
        <w:spacing w:after="0" w:line="264" w:lineRule="auto"/>
        <w:tabs>
          <w:tab w:leader="none" w:pos="126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Gross Asset Value of any Partnership asset distributed to a Partner shall be the gross fair market value of such asset on the date of distribution as determined by the distributee and the General Partner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distributee is the General Partner or if the distributee and the General Partner cannot agree 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such a determination, such gross fair market value shall be determined by an independent third party experienced in the valuation of similar assets, selected by the General Partner or the Parent in good faith.</w:t>
      </w:r>
    </w:p>
    <w:p>
      <w:pPr>
        <w:spacing w:after="0" w:line="170" w:lineRule="exact"/>
        <w:rPr>
          <w:sz w:val="20"/>
          <w:szCs w:val="20"/>
          <w:color w:val="auto"/>
        </w:rPr>
      </w:pPr>
    </w:p>
    <w:p>
      <w:pPr>
        <w:ind w:right="60" w:firstLine="656"/>
        <w:spacing w:after="0" w:line="276" w:lineRule="auto"/>
        <w:tabs>
          <w:tab w:leader="none" w:pos="127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Gross Asset Values shall not be adjusted pursuant to this subsection (d) to the extent that the General Partner reasonably determines that an adjustment pursuant to subsection (b) above is necessary or appropriate in connection with a transaction that would otherwise result in an adjustment pursuant to this subsection (d).</w:t>
      </w:r>
    </w:p>
    <w:p>
      <w:pPr>
        <w:spacing w:after="0" w:line="172" w:lineRule="exact"/>
        <w:rPr>
          <w:rFonts w:ascii="Arial" w:cs="Arial" w:eastAsia="Arial" w:hAnsi="Arial"/>
          <w:sz w:val="17"/>
          <w:szCs w:val="17"/>
          <w:color w:val="auto"/>
        </w:rPr>
      </w:pPr>
    </w:p>
    <w:p>
      <w:pPr>
        <w:ind w:right="200" w:firstLine="656"/>
        <w:spacing w:after="0" w:line="264" w:lineRule="auto"/>
        <w:tabs>
          <w:tab w:leader="none" w:pos="1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Gross Asset Value of a Partnership asset has been determined or adjusted pursuant to subsection (a), subsection (b) or subsection (d) above, such Gross Asset Value shall thereafter be adjusted by the Depreciation taken into account with respect to such asset for purposes of computing Net Income and Net Losses.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either (a) a Partner or (b) an Assignee, owning a Partnership Unit, that is treated as a member of the Partnership for federal income tax purposes.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Incapacity</w:t>
      </w:r>
      <w:r>
        <w:rPr>
          <w:rFonts w:ascii="Arial" w:cs="Arial" w:eastAsia="Arial" w:hAnsi="Arial"/>
          <w:sz w:val="17"/>
          <w:szCs w:val="17"/>
          <w:color w:val="auto"/>
        </w:rPr>
        <w:t>” or “</w:t>
      </w:r>
      <w:r>
        <w:rPr>
          <w:rFonts w:ascii="Arial" w:cs="Arial" w:eastAsia="Arial" w:hAnsi="Arial"/>
          <w:sz w:val="17"/>
          <w:szCs w:val="17"/>
          <w:u w:val="single" w:color="auto"/>
          <w:color w:val="auto"/>
        </w:rPr>
        <w:t>Incapacitated</w:t>
      </w:r>
      <w:r>
        <w:rPr>
          <w:rFonts w:ascii="Arial" w:cs="Arial" w:eastAsia="Arial" w:hAnsi="Arial"/>
          <w:sz w:val="17"/>
          <w:szCs w:val="17"/>
          <w:color w:val="auto"/>
        </w:rPr>
        <w:t>” means, (i) as to any Partner who is an individual, death, total physical disability or entry by a court of competent jurisdiction adjudicating such Partner incompetent to manage his or her person or his or her estate; (ii) as to any Partner that is a corporation or limited liability company, the filing of a certificate of dissolution, or its equivalent, or the revocation of the corporation’s charter; (iii) as to any Partner that is a partnership, the dissolution and commencement of winding up of the partnership; (iv) as to any Partner that is an estate, the distribution by the fiduciary of the estate’s entire interest in the Partnership; (v) as to any trustee of a trust that is a Partner, the termination of the trust (but not the substitution of a new trustee); or (vi) as to any Partner, the bankruptcy of such Partner. For purposes of this definition, bankruptcy of a Partner shall be deemed to have occurred when (a) the Partner commences a voluntary proceeding seeking liquidation, reorganization or other relief of or against such Partner under any bankruptcy, insolvency or other similar law now or hereafter in effect, (b) the Partner is adjudged as bankrupt or insolvent, or a final and nonappealable order for relief under any bankruptcy, insolvency or similar law now or hereafter in effect has been entered against the Partner, (c) the Partner executes and delivers a general assignment for the benefit of the Partner’s creditors, (d) the Partner files an answer or other pleading admitting or failing to contest the material allegations of a petition filed against the Partner in any proceeding of the nature described in clause (b) above, (e) the Partner seeks, consents to or acquiesces in the appointment of a trustee, receiver or liquidator for the Partner or for all or any substantial part of the Partner’s properties, (f) any proceeding seeking liquidation, reorganization or other relief under any bankruptcy, insolvency or other similar law now or hereafter in effect has not been dismissed within 120 days after the commencement thereof, (g) the appointment without the Partner’s consent or acquiescence of a trustee, receiver or liquidator has not been vacated or stayed within 90 days of such appointment, or (h) an appointment referred to in clause (g) above is not vacated within 90 days after the expiration of any such stay.</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(i) any Person made a party to a proceeding by reason of its status as (A) the General Partner or the Parent or any successor thereto or (B) a trustee of the General Partner, a director of the Parent or an officer or employee of the Partnership, the General Partner or the Parent and (ii) such other Persons (including Affiliates of the General Partner, the Partnership or the Parent) as the General Partner may designate from time to time (whether before or after the event giving rise to potential liability), in its sole and absolute discretion.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REIT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which administers the internal revenue laws of the United States.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Share</w:t>
      </w:r>
      <w:r>
        <w:rPr>
          <w:rFonts w:ascii="Arial" w:cs="Arial" w:eastAsia="Arial" w:hAnsi="Arial"/>
          <w:sz w:val="18"/>
          <w:szCs w:val="18"/>
          <w:color w:val="auto"/>
        </w:rPr>
        <w:t xml:space="preserve">” means a share of capital stock of the Parent now or hereafter authorized or reclassified that has dividend rights, or rights upon liquidation, winding up and dissolution, that are junior in rank to the REIT Shares. For purposes of this definition, a Contingent Conversion Share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considered a Junior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Unit</w:t>
      </w:r>
      <w:r>
        <w:rPr>
          <w:rFonts w:ascii="Arial" w:cs="Arial" w:eastAsia="Arial" w:hAnsi="Arial"/>
          <w:sz w:val="18"/>
          <w:szCs w:val="18"/>
          <w:color w:val="auto"/>
        </w:rPr>
        <w:t xml:space="preserve">” means a fractional share of the Partnership Interests that the General Partner has authorized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hereof that has distribution rights, or rights upon liquidation, winding up and dissolution, that are junior in rank to the OP Units and the Preferred Units. For purposes of this definition, a Contingent Conversion Unit shall not be considered a Junior Unit.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Lease-Up NOI</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hereof.</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Partner</w:t>
      </w:r>
      <w:r>
        <w:rPr>
          <w:rFonts w:ascii="Arial" w:cs="Arial" w:eastAsia="Arial" w:hAnsi="Arial"/>
          <w:sz w:val="17"/>
          <w:szCs w:val="17"/>
          <w:color w:val="auto"/>
        </w:rPr>
        <w:t xml:space="preserve">” means any Person named as a Limited Partner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as such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may be amended from time to time, or any Substituted Limited Partner or Additional Limited Partner, in such Person’s capacity as a Limited Partner in the Partnership.</w:t>
      </w:r>
    </w:p>
    <w:p>
      <w:pPr>
        <w:spacing w:after="0" w:line="14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Partner Interest</w:t>
      </w:r>
      <w:r>
        <w:rPr>
          <w:rFonts w:ascii="Arial" w:cs="Arial" w:eastAsia="Arial" w:hAnsi="Arial"/>
          <w:sz w:val="16"/>
          <w:szCs w:val="16"/>
          <w:color w:val="auto"/>
        </w:rPr>
        <w:t>” means a Partnership Interest of a Limited Partner in the Partnership representing a fractional part of the Partnership Interests of all Limited Partners and includes any and all benefits to which the holder of such a Partnership Interest may be entitled as provided in this</w:t>
      </w:r>
    </w:p>
    <w:p>
      <w:pPr>
        <w:sectPr>
          <w:pgSz w:w="11900" w:h="16838" w:orient="portrait"/>
          <w:cols w:equalWidth="0" w:num="1">
            <w:col w:w="11420"/>
          </w:cols>
          <w:pgMar w:left="240" w:top="125" w:right="239" w:bottom="0" w:gutter="0" w:footer="0" w:header="0"/>
        </w:sectPr>
      </w:pPr>
    </w:p>
    <w:bookmarkStart w:id="10" w:name="page11"/>
    <w:bookmarkEnd w:id="10"/>
    <w:p>
      <w:pPr>
        <w:spacing w:after="0" w:line="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Agreement, together with all obligations of such Person to comply with the terms and provisions of this Agreement. A Limited Partner Interest may be expressed as a number of OP Units, Contingent Conversion Units, Preferred Units or other Partnership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 of the Outside Limited Partners</w:t>
      </w:r>
      <w:r>
        <w:rPr>
          <w:rFonts w:ascii="Arial" w:cs="Arial" w:eastAsia="Arial" w:hAnsi="Arial"/>
          <w:sz w:val="17"/>
          <w:szCs w:val="17"/>
          <w:color w:val="auto"/>
        </w:rPr>
        <w:t>” means Limited Partners (excluding for this purpose (i) any Limited Partnership Interests held by the Parent or its Subsidiaries, (ii) any Person of which the Parent or its Subsidiaries directly or indirectly owns or controls more than 50% of the voting interests and (iii) any Person directly or indirectly owning or controlling more than 50% of the outstanding interests of the General Partner) holding more than 50% of the outstanding OP Units held by all Limited Partners who are not excluded for the purposes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Price</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Value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hereof.</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or “</w:t>
      </w:r>
      <w:r>
        <w:rPr>
          <w:rFonts w:ascii="Arial" w:cs="Arial" w:eastAsia="Arial" w:hAnsi="Arial"/>
          <w:sz w:val="17"/>
          <w:szCs w:val="17"/>
          <w:u w:val="single" w:color="auto"/>
          <w:color w:val="auto"/>
        </w:rPr>
        <w:t>Net Loss</w:t>
      </w:r>
      <w:r>
        <w:rPr>
          <w:rFonts w:ascii="Arial" w:cs="Arial" w:eastAsia="Arial" w:hAnsi="Arial"/>
          <w:sz w:val="17"/>
          <w:szCs w:val="17"/>
          <w:color w:val="auto"/>
        </w:rPr>
        <w:t>” means, for each Partnership Year of the Partnership, an amount equal to the Partnership’s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66" w:lineRule="exact"/>
        <w:rPr>
          <w:sz w:val="20"/>
          <w:szCs w:val="20"/>
          <w:color w:val="auto"/>
        </w:rPr>
      </w:pPr>
    </w:p>
    <w:p>
      <w:pPr>
        <w:ind w:right="120" w:firstLine="656"/>
        <w:spacing w:after="0" w:line="342" w:lineRule="auto"/>
        <w:tabs>
          <w:tab w:leader="none" w:pos="1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income of the Partnership that is exempt from federal income tax and not otherwise taken into account in computing Net Income (or Net Loss) pursuant to this definition of “</w:t>
      </w:r>
      <w:r>
        <w:rPr>
          <w:rFonts w:ascii="Arial" w:cs="Arial" w:eastAsia="Arial" w:hAnsi="Arial"/>
          <w:sz w:val="16"/>
          <w:szCs w:val="16"/>
          <w:u w:val="single" w:color="auto"/>
          <w:color w:val="auto"/>
        </w:rPr>
        <w:t>Net Income</w:t>
      </w:r>
      <w:r>
        <w:rPr>
          <w:rFonts w:ascii="Arial" w:cs="Arial" w:eastAsia="Arial" w:hAnsi="Arial"/>
          <w:sz w:val="16"/>
          <w:szCs w:val="16"/>
          <w:color w:val="auto"/>
        </w:rPr>
        <w:t>” or “</w:t>
      </w:r>
      <w:r>
        <w:rPr>
          <w:rFonts w:ascii="Arial" w:cs="Arial" w:eastAsia="Arial" w:hAnsi="Arial"/>
          <w:sz w:val="16"/>
          <w:szCs w:val="16"/>
          <w:u w:val="single" w:color="auto"/>
          <w:color w:val="auto"/>
        </w:rPr>
        <w:t>Net Loss</w:t>
      </w:r>
      <w:r>
        <w:rPr>
          <w:rFonts w:ascii="Arial" w:cs="Arial" w:eastAsia="Arial" w:hAnsi="Arial"/>
          <w:sz w:val="16"/>
          <w:szCs w:val="16"/>
          <w:color w:val="auto"/>
        </w:rPr>
        <w:t>” shall be added to (or subtracted from, as the case may be) such taxable income (or loss);</w:t>
      </w:r>
    </w:p>
    <w:p>
      <w:pPr>
        <w:spacing w:after="0" w:line="123" w:lineRule="exact"/>
        <w:rPr>
          <w:rFonts w:ascii="Arial" w:cs="Arial" w:eastAsia="Arial" w:hAnsi="Arial"/>
          <w:sz w:val="16"/>
          <w:szCs w:val="16"/>
          <w:color w:val="auto"/>
        </w:rPr>
      </w:pPr>
    </w:p>
    <w:p>
      <w:pPr>
        <w:ind w:right="100" w:firstLine="656"/>
        <w:spacing w:after="0" w:line="286" w:lineRule="auto"/>
        <w:tabs>
          <w:tab w:leader="none" w:pos="127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expenditure of the Partnership described in Code Section 705(a)(2)(B) or treated as a Code Section 705(a)(2)(B) expenditure pursuant to Regulations Section 1.704-1(b)(2)(iv)(i), and not otherwise taken into account in computing Net Income (or Net Loss) pursuant to this definition of “</w:t>
      </w:r>
      <w:r>
        <w:rPr>
          <w:rFonts w:ascii="Arial" w:cs="Arial" w:eastAsia="Arial" w:hAnsi="Arial"/>
          <w:sz w:val="17"/>
          <w:szCs w:val="17"/>
          <w:u w:val="single" w:color="auto"/>
          <w:color w:val="auto"/>
        </w:rPr>
        <w:t>Net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Income</w:t>
      </w:r>
      <w:r>
        <w:rPr>
          <w:rFonts w:ascii="Arial" w:cs="Arial" w:eastAsia="Arial" w:hAnsi="Arial"/>
          <w:sz w:val="17"/>
          <w:szCs w:val="17"/>
          <w:color w:val="auto"/>
        </w:rPr>
        <w:t>” or “</w:t>
      </w:r>
      <w:r>
        <w:rPr>
          <w:rFonts w:ascii="Arial" w:cs="Arial" w:eastAsia="Arial" w:hAnsi="Arial"/>
          <w:sz w:val="17"/>
          <w:szCs w:val="17"/>
          <w:u w:val="single" w:color="auto"/>
          <w:color w:val="auto"/>
        </w:rPr>
        <w:t>Net Loss</w:t>
      </w:r>
      <w:r>
        <w:rPr>
          <w:rFonts w:ascii="Arial" w:cs="Arial" w:eastAsia="Arial" w:hAnsi="Arial"/>
          <w:sz w:val="17"/>
          <w:szCs w:val="17"/>
          <w:color w:val="auto"/>
        </w:rPr>
        <w:t>,” shall be subtracted from (or added to, as the case may be) such taxable income (or loss);</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event the Gross Asset Value of any Partnership asset is adjusted pursuant to subsection (b) or subsection (c) of the definition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Asset Value</w:t>
      </w:r>
      <w:r>
        <w:rPr>
          <w:rFonts w:ascii="Arial" w:cs="Arial" w:eastAsia="Arial" w:hAnsi="Arial"/>
          <w:sz w:val="18"/>
          <w:szCs w:val="18"/>
          <w:color w:val="auto"/>
        </w:rPr>
        <w:t>,” the amount of such adjustment shall be taken into account as gain or loss from the disposition of such asset for purposes of computing Net Income or Net Loss;</w:t>
      </w:r>
    </w:p>
    <w:p>
      <w:pPr>
        <w:spacing w:after="0" w:line="184" w:lineRule="exact"/>
        <w:rPr>
          <w:sz w:val="20"/>
          <w:szCs w:val="20"/>
          <w:color w:val="auto"/>
        </w:rPr>
      </w:pPr>
    </w:p>
    <w:p>
      <w:pPr>
        <w:ind w:right="20" w:firstLine="656"/>
        <w:spacing w:after="0" w:line="264" w:lineRule="auto"/>
        <w:tabs>
          <w:tab w:leader="none" w:pos="12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656"/>
        <w:spacing w:after="0" w:line="277" w:lineRule="auto"/>
        <w:tabs>
          <w:tab w:leader="none" w:pos="12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that would otherwise be taken into account in computing such taxable income or loss, there shall be taken into account Depreciation for such Partnership Year;</w:t>
      </w:r>
    </w:p>
    <w:p>
      <w:pPr>
        <w:spacing w:after="0" w:line="170" w:lineRule="exact"/>
        <w:rPr>
          <w:rFonts w:ascii="Arial" w:cs="Arial" w:eastAsia="Arial" w:hAnsi="Arial"/>
          <w:sz w:val="18"/>
          <w:szCs w:val="18"/>
          <w:color w:val="auto"/>
        </w:rPr>
      </w:pPr>
    </w:p>
    <w:p>
      <w:pPr>
        <w:ind w:firstLine="656"/>
        <w:spacing w:after="0" w:line="257" w:lineRule="auto"/>
        <w:tabs>
          <w:tab w:leader="none" w:pos="12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an adjustment to the adjusted tax basis of any Partnership asset pursuant to Code 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2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 other provision of this definition of “</w:t>
      </w:r>
      <w:r>
        <w:rPr>
          <w:rFonts w:ascii="Arial" w:cs="Arial" w:eastAsia="Arial" w:hAnsi="Arial"/>
          <w:sz w:val="18"/>
          <w:szCs w:val="18"/>
          <w:u w:val="single" w:color="auto"/>
          <w:color w:val="auto"/>
        </w:rPr>
        <w:t>Net Income</w:t>
      </w:r>
      <w:r>
        <w:rPr>
          <w:rFonts w:ascii="Arial" w:cs="Arial" w:eastAsia="Arial" w:hAnsi="Arial"/>
          <w:sz w:val="18"/>
          <w:szCs w:val="18"/>
          <w:color w:val="auto"/>
        </w:rPr>
        <w:t>” or “</w:t>
      </w:r>
      <w:r>
        <w:rPr>
          <w:rFonts w:ascii="Arial" w:cs="Arial" w:eastAsia="Arial" w:hAnsi="Arial"/>
          <w:sz w:val="18"/>
          <w:szCs w:val="18"/>
          <w:u w:val="single" w:color="auto"/>
          <w:color w:val="auto"/>
        </w:rPr>
        <w:t>Net Loss</w:t>
      </w:r>
      <w:r>
        <w:rPr>
          <w:rFonts w:ascii="Arial" w:cs="Arial" w:eastAsia="Arial" w:hAnsi="Arial"/>
          <w:sz w:val="18"/>
          <w:szCs w:val="18"/>
          <w:color w:val="auto"/>
        </w:rPr>
        <w:t xml:space="preserve">,” any item that is specially allocated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shall not be taken into account in computing Net Income or Net Loss. The amounts of the items of Partnership income, gain, loss or deduction available to be specially allocated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shall be determined by applying rules analogous to those set forth in this definition of “</w:t>
      </w:r>
      <w:r>
        <w:rPr>
          <w:rFonts w:ascii="Arial" w:cs="Arial" w:eastAsia="Arial" w:hAnsi="Arial"/>
          <w:sz w:val="18"/>
          <w:szCs w:val="18"/>
          <w:u w:val="single" w:color="auto"/>
          <w:color w:val="auto"/>
        </w:rPr>
        <w:t>Net Income</w:t>
      </w:r>
      <w:r>
        <w:rPr>
          <w:rFonts w:ascii="Arial" w:cs="Arial" w:eastAsia="Arial" w:hAnsi="Arial"/>
          <w:sz w:val="18"/>
          <w:szCs w:val="18"/>
          <w:color w:val="auto"/>
        </w:rPr>
        <w:t>” or “</w:t>
      </w:r>
      <w:r>
        <w:rPr>
          <w:rFonts w:ascii="Arial" w:cs="Arial" w:eastAsia="Arial" w:hAnsi="Arial"/>
          <w:sz w:val="18"/>
          <w:szCs w:val="18"/>
          <w:u w:val="single" w:color="auto"/>
          <w:color w:val="auto"/>
        </w:rPr>
        <w:t>Net Loss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Securities</w:t>
      </w:r>
      <w:r>
        <w:rPr>
          <w:rFonts w:ascii="Arial" w:cs="Arial" w:eastAsia="Arial" w:hAnsi="Arial"/>
          <w:sz w:val="17"/>
          <w:szCs w:val="17"/>
          <w:color w:val="auto"/>
        </w:rPr>
        <w:t>” means (i) any rights, options, warrants or convertible or exchangeable securities having the right to subscribe for or purchase REIT Shares, Contingent Conversion Shares, Preferred Shares or Junior Shares, except that “</w:t>
      </w:r>
      <w:r>
        <w:rPr>
          <w:rFonts w:ascii="Arial" w:cs="Arial" w:eastAsia="Arial" w:hAnsi="Arial"/>
          <w:sz w:val="17"/>
          <w:szCs w:val="17"/>
          <w:u w:val="single" w:color="auto"/>
          <w:color w:val="auto"/>
        </w:rPr>
        <w:t>New Securities</w:t>
      </w:r>
      <w:r>
        <w:rPr>
          <w:rFonts w:ascii="Arial" w:cs="Arial" w:eastAsia="Arial" w:hAnsi="Arial"/>
          <w:sz w:val="17"/>
          <w:szCs w:val="17"/>
          <w:color w:val="auto"/>
        </w:rPr>
        <w:t>” shall not mean any Preferred Shares, Junior Shares or grants under the Stock Option Plans or (ii) any Debt issued by the REIT that provides any of the rights described in clause (i).</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Regulations Section 1.704-2(b)(1), and the amount of Nonrecourse Deductions for a Partnership Year shall be determined in accordance with the rules of Regulations Section 1.704-2(c).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Liability</w:t>
      </w:r>
      <w:r>
        <w:rPr>
          <w:rFonts w:ascii="Arial" w:cs="Arial" w:eastAsia="Arial" w:hAnsi="Arial"/>
          <w:sz w:val="18"/>
          <w:szCs w:val="18"/>
          <w:color w:val="auto"/>
        </w:rPr>
        <w:t>” has the meaning set forth in Regulations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means the Notice of Redemption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Series A Preferred Redemption</w:t>
      </w:r>
      <w:r>
        <w:rPr>
          <w:rFonts w:ascii="Arial" w:cs="Arial" w:eastAsia="Arial" w:hAnsi="Arial"/>
          <w:sz w:val="18"/>
          <w:szCs w:val="18"/>
          <w:color w:val="auto"/>
        </w:rPr>
        <w:t>” shall mean the Notice of Series A Preferred Redemption substantially in the form of Exhibit E attached to this Agreement.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Partner</w:t>
      </w:r>
      <w:r>
        <w:rPr>
          <w:rFonts w:ascii="Arial" w:cs="Arial" w:eastAsia="Arial" w:hAnsi="Arial"/>
          <w:sz w:val="18"/>
          <w:szCs w:val="18"/>
          <w:color w:val="auto"/>
        </w:rPr>
        <w:t>” means a Partner who has agreed in writing to be an Obligated Partner and has agreed and is obligated to make certain contributions, not in excess of such Obligated Partner’s Protected Amount, to the Partnership with respect to such Partner’s Capital Account Deficit upon the occurrence of certain events.</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 Unit</w:t>
      </w:r>
      <w:r>
        <w:rPr>
          <w:rFonts w:ascii="Arial" w:cs="Arial" w:eastAsia="Arial" w:hAnsi="Arial"/>
          <w:sz w:val="16"/>
          <w:szCs w:val="16"/>
          <w:color w:val="auto"/>
        </w:rPr>
        <w:t xml:space="preserve">” means a fractional share of the Partnership Interests of all Partners issued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hereof, but does not include any Contingent Conversion Unit, Preferred Unit, Junior Unit or any other Partnership Unit specified in a Partnership Unit Designation as being other than an</w:t>
      </w:r>
    </w:p>
    <w:p>
      <w:pPr>
        <w:sectPr>
          <w:pgSz w:w="11900" w:h="16935" w:orient="portrait"/>
          <w:cols w:equalWidth="0" w:num="1">
            <w:col w:w="11400"/>
          </w:cols>
          <w:pgMar w:left="240" w:top="125" w:right="259" w:bottom="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 xml:space="preserve">OP Unit;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General Partner Interest and the Limited Partner Interests shall have the differences in rights and privileges as specified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shall mean a director of the Parent who is not also an officer or employee of the Parent.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Limit</w:t>
      </w:r>
      <w:r>
        <w:rPr>
          <w:rFonts w:ascii="Arial" w:cs="Arial" w:eastAsia="Arial" w:hAnsi="Arial"/>
          <w:sz w:val="18"/>
          <w:szCs w:val="18"/>
          <w:color w:val="auto"/>
        </w:rPr>
        <w:t>” means the applicable restriction or restrictions on ownership of shares of the Parent imposed under the Charter.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Extra Space Storage Inc., a Maryland corporation.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Limited Partner</w:t>
      </w:r>
      <w:r>
        <w:rPr>
          <w:rFonts w:ascii="Arial" w:cs="Arial" w:eastAsia="Arial" w:hAnsi="Arial"/>
          <w:sz w:val="18"/>
          <w:szCs w:val="18"/>
          <w:color w:val="auto"/>
        </w:rPr>
        <w:t>” means ESS Holdings Business Trust II, a Massachusetts business trust, and its successors and assigns, as a limited partner of the Partnership in its capacity as limited partner of the Partnership.</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means the General Partner or a Limited Partner, and “</w:t>
      </w:r>
      <w:r>
        <w:rPr>
          <w:rFonts w:ascii="Arial" w:cs="Arial" w:eastAsia="Arial" w:hAnsi="Arial"/>
          <w:sz w:val="18"/>
          <w:szCs w:val="18"/>
          <w:u w:val="single" w:color="auto"/>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Minimum Gain</w:t>
      </w:r>
      <w:r>
        <w:rPr>
          <w:rFonts w:ascii="Arial" w:cs="Arial" w:eastAsia="Arial" w:hAnsi="Arial"/>
          <w:sz w:val="16"/>
          <w:szCs w:val="16"/>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Debt</w:t>
      </w:r>
      <w:r>
        <w:rPr>
          <w:rFonts w:ascii="Arial" w:cs="Arial" w:eastAsia="Arial" w:hAnsi="Arial"/>
          <w:sz w:val="18"/>
          <w:szCs w:val="18"/>
          <w:color w:val="auto"/>
        </w:rPr>
        <w:t>” has the meaning set forth in Regulations Section 1.704-2(b)(4).”</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has the meaning set forth in Regulations Section 1.704-2(i)(2), and the amount of Partner Nonrecourse Deductions with respect to a Partner Nonrecourse Debt for a Partnership Year shall be determined in accordance with the rules of Regulations Section 1.704-2(i)(2).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the limited partnership formed under the Act and pursuant to this Agreement, and any successor thereto.</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Interest</w:t>
      </w:r>
      <w:r>
        <w:rPr>
          <w:rFonts w:ascii="Arial" w:cs="Arial" w:eastAsia="Arial" w:hAnsi="Arial"/>
          <w:sz w:val="18"/>
          <w:szCs w:val="18"/>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A Partnership Interest may be expressed as a number of OP Units, Contingent Conversion Units, Preferred Units, Junior Units or other Partnership Units.</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Minimum Gain</w:t>
      </w:r>
      <w:r>
        <w:rPr>
          <w:rFonts w:ascii="Arial" w:cs="Arial" w:eastAsia="Arial" w:hAnsi="Arial"/>
          <w:sz w:val="18"/>
          <w:szCs w:val="18"/>
          <w:color w:val="auto"/>
        </w:rPr>
        <w:t>” has the meaning set forth in Regulations Section 1.704-2(b)(2), and the amount of Partnership Minimum Gain, as well as any net increase or decrease in Partnership Minimum Gain, for a Partnership Year shall be determined in accordance with the rules of Regulations Section 1.704-2(d).</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Record Date</w:t>
      </w:r>
      <w:r>
        <w:rPr>
          <w:rFonts w:ascii="Arial" w:cs="Arial" w:eastAsia="Arial" w:hAnsi="Arial"/>
          <w:sz w:val="18"/>
          <w:szCs w:val="18"/>
          <w:color w:val="auto"/>
        </w:rPr>
        <w:t xml:space="preserve">” means a record date established by the General Partner for the distribution of Available Cash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which record date shall generally be the same as the record date established by the General Partner for a distribution to its stockholders of some or all of its portion of such distribution.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w:t>
      </w:r>
      <w:r>
        <w:rPr>
          <w:rFonts w:ascii="Arial" w:cs="Arial" w:eastAsia="Arial" w:hAnsi="Arial"/>
          <w:sz w:val="18"/>
          <w:szCs w:val="18"/>
          <w:color w:val="auto"/>
        </w:rPr>
        <w:t xml:space="preserve">” shall mean an OP Unit, a Contingent Conversion Unit, a Preferred Unit, a Junior Unit or any other fractional share of the Partnership Interests that the General Partner has authorized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hereof. The ownership of Partnership Units may be evidenced by a certificate for units as the General Partner may determine with respect to any class of Partnership Units issued from time to time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 Designation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Year</w:t>
      </w:r>
      <w:r>
        <w:rPr>
          <w:rFonts w:ascii="Arial" w:cs="Arial" w:eastAsia="Arial" w:hAnsi="Arial"/>
          <w:sz w:val="18"/>
          <w:szCs w:val="18"/>
          <w:color w:val="auto"/>
        </w:rPr>
        <w:t>” means the fiscal year of the Partnership, which shall be the calendar year.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xml:space="preserve">” means, as to a Partner holding a class or series of Partnership Interests, its interest in such class or series as determined by dividing the Partnership Units of such class or series owned by such Partner by the total number of Partnership Units of such class then outstanding as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as such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may be amended from time to time. If the Partnership issues additional classes or series of Partnership Interests other than as contemplated herein, the interest in the Partnership among the classes or series of Partnership Interests shall be determined as set forth in the amendment to the Partnership Agreement setting forth the rights and privileges of such additional classes or series of Partnership Interest, if any, as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partnership, trust, unincorporated organization, association, limited liability company or other entity.</w:t>
      </w:r>
    </w:p>
    <w:p>
      <w:pPr>
        <w:spacing w:after="0" w:line="24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Distribution Shortfall</w:t>
      </w:r>
      <w:r>
        <w:rPr>
          <w:rFonts w:ascii="Arial" w:cs="Arial" w:eastAsia="Arial" w:hAnsi="Arial"/>
          <w:sz w:val="18"/>
          <w:szCs w:val="18"/>
          <w:color w:val="auto"/>
        </w:rPr>
        <w:t xml:space="preserve">” means, with respect to any Partnership Interests that are entitled to any preference in distributions of Available Cash pursuant to this Agreement, the aggregate amount of the required distributions of Available Cash for such outstanding Partnership Interests for all periods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amount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of the distributions made with respect to the required distributions of Available Cash for such outstanding Partnership Interests pursuant to this Agreement.</w:t>
      </w:r>
    </w:p>
    <w:p>
      <w:pPr>
        <w:spacing w:after="0" w:line="24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w:t>
      </w:r>
      <w:r>
        <w:rPr>
          <w:rFonts w:ascii="Arial" w:cs="Arial" w:eastAsia="Arial" w:hAnsi="Arial"/>
          <w:sz w:val="18"/>
          <w:szCs w:val="18"/>
          <w:color w:val="auto"/>
        </w:rPr>
        <w:t>” means a share of capital stock of the Parent now or hereafter authorized or reclassified that has dividend rights, or rights upon liquidation, winding up and dissolution, that are superior or prior to the REIT Shares.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Unit</w:t>
      </w:r>
      <w:r>
        <w:rPr>
          <w:rFonts w:ascii="Arial" w:cs="Arial" w:eastAsia="Arial" w:hAnsi="Arial"/>
          <w:sz w:val="16"/>
          <w:szCs w:val="16"/>
          <w:color w:val="auto"/>
        </w:rPr>
        <w:t xml:space="preserve">” means a fractional share of the Partnership Interests that the General Partner has authorized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hereof that has distribution rights, or rights upon liquidation, winding up and dissolution, that are superior or prior to the OP Units, including the Series A</w:t>
      </w:r>
    </w:p>
    <w:p>
      <w:pPr>
        <w:sectPr>
          <w:pgSz w:w="11900" w:h="16838" w:orient="portrait"/>
          <w:cols w:equalWidth="0" w:num="1">
            <w:col w:w="11380"/>
          </w:cols>
          <w:pgMar w:left="240" w:top="125" w:right="279" w:bottom="0" w:gutter="0" w:footer="0" w:header="0"/>
        </w:sectPr>
      </w:pPr>
    </w:p>
    <w:bookmarkStart w:id="12" w:name="page13"/>
    <w:bookmarkEnd w:id="12"/>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Preferred Units.</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Properties</w:t>
      </w:r>
      <w:r>
        <w:rPr>
          <w:rFonts w:ascii="Arial" w:cs="Arial" w:eastAsia="Arial" w:hAnsi="Arial"/>
          <w:sz w:val="17"/>
          <w:szCs w:val="17"/>
          <w:color w:val="auto"/>
        </w:rPr>
        <w:t>” means any assets and property of the Partnership such as, but not limited to, interests in real property and personal property, including, without limitation, fee interests, interests in ground leases, interests in limited liability companies, joint ventures or partnerships, interests in mortgages, and Debt instruments as the Partnership may hold from time to time and “</w:t>
      </w:r>
      <w:r>
        <w:rPr>
          <w:rFonts w:ascii="Arial" w:cs="Arial" w:eastAsia="Arial" w:hAnsi="Arial"/>
          <w:sz w:val="17"/>
          <w:szCs w:val="17"/>
          <w:u w:val="single" w:color="auto"/>
          <w:color w:val="auto"/>
        </w:rPr>
        <w:t>Property</w:t>
      </w:r>
      <w:r>
        <w:rPr>
          <w:rFonts w:ascii="Arial" w:cs="Arial" w:eastAsia="Arial" w:hAnsi="Arial"/>
          <w:sz w:val="17"/>
          <w:szCs w:val="17"/>
          <w:color w:val="auto"/>
        </w:rPr>
        <w:t>” shall mean any one such asset or property.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Protected Amount</w:t>
      </w:r>
      <w:r>
        <w:rPr>
          <w:rFonts w:ascii="Arial" w:cs="Arial" w:eastAsia="Arial" w:hAnsi="Arial"/>
          <w:sz w:val="16"/>
          <w:szCs w:val="16"/>
          <w:color w:val="auto"/>
        </w:rPr>
        <w:t xml:space="preserve">” means the amount specified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respect to any Obligated Partner, as such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 Traded</w:t>
      </w:r>
      <w:r>
        <w:rPr>
          <w:rFonts w:ascii="Arial" w:cs="Arial" w:eastAsia="Arial" w:hAnsi="Arial"/>
          <w:sz w:val="18"/>
          <w:szCs w:val="18"/>
          <w:color w:val="auto"/>
        </w:rPr>
        <w:t>” means listed or admitted to trading on the New York Stock Exchange, the American Stock Exchange, the NASDAQ Global Market or another national securities exchange, or any successor to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REIT Subsidiary</w:t>
      </w:r>
      <w:r>
        <w:rPr>
          <w:rFonts w:ascii="Arial" w:cs="Arial" w:eastAsia="Arial" w:hAnsi="Arial"/>
          <w:sz w:val="18"/>
          <w:szCs w:val="18"/>
          <w:color w:val="auto"/>
        </w:rPr>
        <w:t>” means a qualified REIT subsidiary of the Parent within the meaning of Code Section 856(i)(2).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Transferee</w:t>
      </w:r>
      <w:r>
        <w:rPr>
          <w:rFonts w:ascii="Arial" w:cs="Arial" w:eastAsia="Arial" w:hAnsi="Arial"/>
          <w:sz w:val="18"/>
          <w:szCs w:val="18"/>
          <w:color w:val="auto"/>
        </w:rPr>
        <w:t>” means an “Accredited Investor” as defined in Rule 501 promulgated under the Securities Act.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Party</w:t>
      </w:r>
      <w:r>
        <w:rPr>
          <w:rFonts w:ascii="Arial" w:cs="Arial" w:eastAsia="Arial" w:hAnsi="Arial"/>
          <w:sz w:val="16"/>
          <w:szCs w:val="16"/>
          <w:color w:val="auto"/>
        </w:rPr>
        <w:t xml:space="preserve">” means (a) a Limited Partner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(b) an Additional Limited Partner or (c) a Substituted Limited Partner succeeding to all or part of the Limited Partner Interest of (i) a Limited Partner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(ii) an Additional Limited Partner.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hereof.</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w:t>
      </w:r>
      <w:r>
        <w:rPr>
          <w:rFonts w:ascii="Arial" w:cs="Arial" w:eastAsia="Arial" w:hAnsi="Arial"/>
          <w:sz w:val="18"/>
          <w:szCs w:val="18"/>
          <w:color w:val="auto"/>
        </w:rPr>
        <w:t>” means the applicable income tax regulations under the Code, whether such regulations are in proposed, temporary or final form, as such regulations may be amended from time to time (including corresponding provisions of succeeding regulations).”</w:t>
      </w:r>
      <w:r>
        <w:rPr>
          <w:rFonts w:ascii="Arial" w:cs="Arial" w:eastAsia="Arial" w:hAnsi="Arial"/>
          <w:sz w:val="18"/>
          <w:szCs w:val="18"/>
          <w:u w:val="single" w:color="auto"/>
          <w:color w:val="auto"/>
        </w:rPr>
        <w:t>Regulatory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6.3.B(vii)</w:t>
      </w:r>
      <w:r>
        <w:rPr>
          <w:rFonts w:ascii="Arial" w:cs="Arial" w:eastAsia="Arial" w:hAnsi="Arial"/>
          <w:sz w:val="18"/>
          <w:szCs w:val="18"/>
          <w:color w:val="auto"/>
        </w:rPr>
        <w:t xml:space="preserv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w:t>
      </w:r>
      <w:r>
        <w:rPr>
          <w:rFonts w:ascii="Arial" w:cs="Arial" w:eastAsia="Arial" w:hAnsi="Arial"/>
          <w:sz w:val="18"/>
          <w:szCs w:val="18"/>
          <w:color w:val="auto"/>
        </w:rPr>
        <w:t>” means a real estate investment trust qualifying under Code Section 856.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Share</w:t>
      </w:r>
      <w:r>
        <w:rPr>
          <w:rFonts w:ascii="Arial" w:cs="Arial" w:eastAsia="Arial" w:hAnsi="Arial"/>
          <w:sz w:val="18"/>
          <w:szCs w:val="18"/>
          <w:color w:val="auto"/>
        </w:rPr>
        <w:t>” means a share of the Parent’s common stock, par value $0.01 per share. Where relevant in this Agreement, “</w:t>
      </w:r>
      <w:r>
        <w:rPr>
          <w:rFonts w:ascii="Arial" w:cs="Arial" w:eastAsia="Arial" w:hAnsi="Arial"/>
          <w:sz w:val="18"/>
          <w:szCs w:val="18"/>
          <w:u w:val="single" w:color="auto"/>
          <w:color w:val="auto"/>
        </w:rPr>
        <w:t>REIT Share</w:t>
      </w:r>
      <w:r>
        <w:rPr>
          <w:rFonts w:ascii="Arial" w:cs="Arial" w:eastAsia="Arial" w:hAnsi="Arial"/>
          <w:sz w:val="18"/>
          <w:szCs w:val="18"/>
          <w:color w:val="auto"/>
        </w:rPr>
        <w:t>” includes shares of the Parent’s common stock, par value $0.01 per share, issued upon conversion or exchange of Contingent Conversion Shares, Preferred Shares or Junior Shares.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Shares Amount</w:t>
      </w:r>
      <w:r>
        <w:rPr>
          <w:rFonts w:ascii="Arial" w:cs="Arial" w:eastAsia="Arial" w:hAnsi="Arial"/>
          <w:sz w:val="18"/>
          <w:szCs w:val="18"/>
          <w:color w:val="auto"/>
        </w:rPr>
        <w:t xml:space="preserve">” means a number of REIT Shares equal to the product of (a) the number of Tendered Units and (b) the Adjustment Factor in effect on the Specified Redemption Date with respect to such Tendered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Parent issues to all holders of REIT Shares as of a certain record date rights, options, warrants or convertible or exchangeable securities entitling the Parent’s stockholders to subscribe for or purchase REIT Shares, or any other securities or property (collectively,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with the record date for such Rights issuance falling within the period starting on the date of the Notice of Redemption and ending on the day immediately preceding the Specified Redemption Date, which Rights will not be distributed before the relevant Specified Redemption Date, then the REIT Shares Amount shall also include such Rights that a holder of that number of REIT Shares would be entitled to receive, expressed, where relevant hereunder, in a number of REIT Shares determined by the Parent in good faith.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REIT Shares Amount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Capital</w:t>
      </w:r>
      <w:r>
        <w:rPr>
          <w:rFonts w:ascii="Arial" w:cs="Arial" w:eastAsia="Arial" w:hAnsi="Arial"/>
          <w:sz w:val="18"/>
          <w:szCs w:val="18"/>
          <w:color w:val="auto"/>
        </w:rPr>
        <w:t>” means an amount, per Series A Preferred Unit, equal to the sum of (i) the Series A Preferred Stated Value and (ii) any Preferred Distribution Shortfall per Series A Preferred Unit.</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Priority Return</w:t>
      </w:r>
      <w:r>
        <w:rPr>
          <w:rFonts w:ascii="Arial" w:cs="Arial" w:eastAsia="Arial" w:hAnsi="Arial"/>
          <w:sz w:val="18"/>
          <w:szCs w:val="18"/>
          <w:color w:val="auto"/>
        </w:rPr>
        <w:t>” means, with respect to each Series A Preferred Unit, an amount equal to the sum of (a) 5.00% per annum on the Series A Preferred Stated Value per Series A Preferred Unit, commencing on the date of original issuance of the Series A Preferred Units and (b) the Series A Preferred Return. For any partial quarterly period, the amount of the Series A Preferred Priority Return shall be prorated and computed on the basis of a 360-day year consisting of twelve 30-day months.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Redemption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Redemption Date</w:t>
      </w:r>
      <w:r>
        <w:rPr>
          <w:rFonts w:ascii="Arial" w:cs="Arial" w:eastAsia="Arial" w:hAnsi="Arial"/>
          <w:sz w:val="18"/>
          <w:szCs w:val="18"/>
          <w:color w:val="auto"/>
        </w:rPr>
        <w:t>” means the 10th Business Day following receipt by the General Partner of a Notice of Series A Preferred Redemption; provided that, if the REIT Shares are not Publicly Traded, the Series A Preferred Redemption Date means the 30th Business Day following receipt by the General Partner of a Notice of Series A Preferred Redemption.</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Preferred REIT Shares Amount</w:t>
      </w:r>
      <w:r>
        <w:rPr>
          <w:rFonts w:ascii="Arial" w:cs="Arial" w:eastAsia="Arial" w:hAnsi="Arial"/>
          <w:sz w:val="16"/>
          <w:szCs w:val="16"/>
          <w:color w:val="auto"/>
        </w:rPr>
        <w:t>” means, with respect to each Series A Preferred Unit, a number of REIT Shares equal to the quotient of (i) the Series A Preferred Redemption Amount divided by (ii) the Value of a REIT Share as of the date of the Series A Preferred Redemption (to the extent then permitted by the rules of the New York Stock Exchange without having to obtain the approval of Parent’s stockholders); provided, however, that, in the event that the Parent issues to all holders of REIT Shares as of a certain record date Rights, with the record date for such Rights issuance falling within the period starting on the date of the Notice of Series A Preferred Redemption and ending on the day immediately preceding the Series A Preferred Redemption Date, which Rights will not be distributed before the relevant Series A Preferred Redemption Date, then the Series A Preferred REIT Shares Amount shall also</w:t>
      </w:r>
    </w:p>
    <w:p>
      <w:pPr>
        <w:sectPr>
          <w:pgSz w:w="11900" w:h="16894" w:orient="portrait"/>
          <w:cols w:equalWidth="0" w:num="1">
            <w:col w:w="11380"/>
          </w:cols>
          <w:pgMar w:left="240" w:top="125" w:right="279" w:bottom="0" w:gutter="0" w:footer="0" w:header="0"/>
        </w:sectPr>
      </w:pPr>
    </w:p>
    <w:bookmarkStart w:id="13" w:name="page14"/>
    <w:bookmarkEnd w:id="13"/>
    <w:p>
      <w:pPr>
        <w:ind w:right="440"/>
        <w:spacing w:after="0" w:line="277" w:lineRule="auto"/>
        <w:rPr>
          <w:sz w:val="20"/>
          <w:szCs w:val="20"/>
          <w:color w:val="auto"/>
        </w:rPr>
      </w:pPr>
      <w:r>
        <w:rPr>
          <w:rFonts w:ascii="Arial" w:cs="Arial" w:eastAsia="Arial" w:hAnsi="Arial"/>
          <w:sz w:val="18"/>
          <w:szCs w:val="18"/>
          <w:color w:val="auto"/>
        </w:rPr>
        <w:t>include such Rights that a holder of that number of REIT Shares would be entitled to receive, expressed, where relevant hereunder, in a number of REIT Shares determined by the Parent in good faith.</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Preferred Return</w:t>
      </w:r>
      <w:r>
        <w:rPr>
          <w:rFonts w:ascii="Arial" w:cs="Arial" w:eastAsia="Arial" w:hAnsi="Arial"/>
          <w:sz w:val="17"/>
          <w:szCs w:val="17"/>
          <w:color w:val="auto"/>
        </w:rPr>
        <w:t>” means the amount of distributions to which Holders of Series A Preferred Units would be entitled to receive if the Series A Preferred Units were treated as part of a single class of units with the OP Units and the Series A Preferred Units shared in distributions with the OP Units pursuant to Section 5.1(3) proportionately based on the total number of outstanding Series A Preferred Units and OP Units.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Stated Value</w:t>
      </w:r>
      <w:r>
        <w:rPr>
          <w:rFonts w:ascii="Arial" w:cs="Arial" w:eastAsia="Arial" w:hAnsi="Arial"/>
          <w:sz w:val="18"/>
          <w:szCs w:val="18"/>
          <w:color w:val="auto"/>
        </w:rPr>
        <w:t>” means, with respect to each Series A Preferred Unit, an amount equal to (i) the “Gross Preference Amount” divided by (ii) the aggregate number of Series A Preferred Units that have been issued by the Partnership as of the date of determination (regardless of whether such Series A Preferred Units are then outstanding). As used herein, “Gross Preference Amount” shall mean $99,295,885.47; provided that, the Gross Preference Amount shall be increased by $7,168,969.76 to the extent the Partnership has acquired the Hayward Property (as defined in the Contribution Agreement); provided further, that the Gross Preference Amount shall be increased by $8,535,144.77 to the extent the Partnership has acquired the San Leandro Property (as defined in the Contribution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 Distribution Payment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hereof.</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means the Partnership’s Series A Participating Redeemable Preferred Units, with the rights, priorities and preferences set forth herein.</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 Agreement</w:t>
      </w:r>
      <w:r>
        <w:rPr>
          <w:rFonts w:ascii="Arial" w:cs="Arial" w:eastAsia="Arial" w:hAnsi="Arial"/>
          <w:sz w:val="16"/>
          <w:szCs w:val="16"/>
          <w:color w:val="auto"/>
        </w:rPr>
        <w:t>” means any management, development or advisory agreement with a property and/or asset manager for the provision of property management, asset management, leasing, development and/or similar services with respect to the Properties and any agreement for the provision of services of accountants, legal counsel, appraisers, insurers, brokers, transfer agents, registrars, developers, financial advisors and other professional services.</w:t>
      </w:r>
    </w:p>
    <w:p>
      <w:pPr>
        <w:spacing w:after="0" w:line="14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Redemption Date</w:t>
      </w:r>
      <w:r>
        <w:rPr>
          <w:rFonts w:ascii="Arial" w:cs="Arial" w:eastAsia="Arial" w:hAnsi="Arial"/>
          <w:sz w:val="18"/>
          <w:szCs w:val="18"/>
          <w:color w:val="auto"/>
        </w:rPr>
        <w:t>” means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receipt by the General Partner of a Notice of Redemption;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REIT Shares are not Publicly Traded, the Specified Redemption Date means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receipt by the General Partner of a Notice of Redemption.</w:t>
      </w:r>
    </w:p>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Plan</w:t>
      </w:r>
      <w:r>
        <w:rPr>
          <w:rFonts w:ascii="Arial" w:cs="Arial" w:eastAsia="Arial" w:hAnsi="Arial"/>
          <w:sz w:val="18"/>
          <w:szCs w:val="18"/>
          <w:color w:val="auto"/>
        </w:rPr>
        <w:t>” means any stock option plan hereafter adopted by the Partnership or the Parent, including the Parent’s 2004 Long Term Incentive Compensation Plan.</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(which is not an individual) of which a majority of (i) the voting power of the voting equity securities or (ii) the outstanding equity interests is owned, directly or indirectly, by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Substituted Limited Partner</w:t>
      </w:r>
      <w:r>
        <w:rPr>
          <w:rFonts w:ascii="Arial" w:cs="Arial" w:eastAsia="Arial" w:hAnsi="Arial"/>
          <w:sz w:val="18"/>
          <w:szCs w:val="18"/>
          <w:color w:val="auto"/>
        </w:rPr>
        <w:t xml:space="preserve">” means a Person who is admitted as a Limited Partner to the Partnership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Tendered Series A Preferred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Tendering Series A Preferred Unit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Capital Transaction</w:t>
      </w:r>
      <w:r>
        <w:rPr>
          <w:rFonts w:ascii="Arial" w:cs="Arial" w:eastAsia="Arial" w:hAnsi="Arial"/>
          <w:sz w:val="17"/>
          <w:szCs w:val="17"/>
          <w:color w:val="auto"/>
        </w:rPr>
        <w:t>” means any sale or other disposition of all or substantially all of the assets of the Partnership or a related series of transactions that, taken together, result in the sale or other disposition of all or substantially all of the assets of the Partnership.</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when used with respect to a Partnership Unit, or all or any portion of a Partnership Interest, means any sale, assignment, bequest, conveyance, devise, gift (outright or in trust), pledge, encumbrance, hypothecation, mortgage, exchange, transfer or other disposition or act of alienation, whether voluntary or involuntary or by operation of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when the term is used in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does not include (a) any Redemption of Partnership Units by the Partnership or the Parent, or acquisition of Tendered Units by the General Partner or the Parent, pursuant to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hereof or (b) any redemption of Partnership Units pursuant to any Partnership Unit Designation. The terms “</w:t>
      </w:r>
      <w:r>
        <w:rPr>
          <w:rFonts w:ascii="Arial" w:cs="Arial" w:eastAsia="Arial" w:hAnsi="Arial"/>
          <w:sz w:val="18"/>
          <w:szCs w:val="18"/>
          <w:u w:val="single" w:color="auto"/>
          <w:color w:val="auto"/>
        </w:rPr>
        <w:t>Transferred</w:t>
      </w:r>
      <w:r>
        <w:rPr>
          <w:rFonts w:ascii="Arial" w:cs="Arial" w:eastAsia="Arial" w:hAnsi="Arial"/>
          <w:sz w:val="18"/>
          <w:szCs w:val="18"/>
          <w:color w:val="auto"/>
        </w:rPr>
        <w:t>” and “</w:t>
      </w:r>
      <w:r>
        <w:rPr>
          <w:rFonts w:ascii="Arial" w:cs="Arial" w:eastAsia="Arial" w:hAnsi="Arial"/>
          <w:sz w:val="18"/>
          <w:szCs w:val="18"/>
          <w:u w:val="single" w:color="auto"/>
          <w:color w:val="auto"/>
        </w:rPr>
        <w:t>Transferring</w:t>
      </w:r>
      <w:r>
        <w:rPr>
          <w:rFonts w:ascii="Arial" w:cs="Arial" w:eastAsia="Arial" w:hAnsi="Arial"/>
          <w:sz w:val="18"/>
          <w:szCs w:val="18"/>
          <w:color w:val="auto"/>
        </w:rPr>
        <w:t>” have correlative meanings.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means, on any date of determination with respect to a REIT Share, the average of the daily Market Prices for ten consecutive trading days immediately preceding the date of determination except that, as provided in </w:t>
      </w:r>
      <w:r>
        <w:rPr>
          <w:rFonts w:ascii="Arial" w:cs="Arial" w:eastAsia="Arial" w:hAnsi="Arial"/>
          <w:sz w:val="18"/>
          <w:szCs w:val="18"/>
          <w:u w:val="single" w:color="auto"/>
          <w:color w:val="auto"/>
        </w:rPr>
        <w:t>Section 4.5.B</w:t>
      </w:r>
      <w:r>
        <w:rPr>
          <w:rFonts w:ascii="Arial" w:cs="Arial" w:eastAsia="Arial" w:hAnsi="Arial"/>
          <w:sz w:val="18"/>
          <w:szCs w:val="18"/>
          <w:color w:val="auto"/>
        </w:rPr>
        <w:t xml:space="preserve"> hereof, the Market Price for the trading day immediately preceding the date of exercise of a stock option under any Stock Option Plan shall be substituted for such average of daily market prices for purposes of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8.6</w:t>
      </w:r>
      <w:r>
        <w:rPr>
          <w:rFonts w:ascii="Arial" w:cs="Arial" w:eastAsia="Arial" w:hAnsi="Arial"/>
          <w:sz w:val="18"/>
          <w:szCs w:val="18"/>
          <w:color w:val="auto"/>
        </w:rPr>
        <w:t>, the “date of determination” shall be the date of receipt by the Parent of a Notice of Redemption or, if such date is not a Business Day, the immediately preceding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Business Day; provided, further, that for purposes of Section 16.4, the “date of determination” shall be the date of receipt by the Parent of a Notice of Series A Preferred Redemption or, if such date is not a Business Day, the immediately preceding Business Day. The term “</w:t>
      </w:r>
      <w:r>
        <w:rPr>
          <w:rFonts w:ascii="Arial" w:cs="Arial" w:eastAsia="Arial" w:hAnsi="Arial"/>
          <w:sz w:val="16"/>
          <w:szCs w:val="16"/>
          <w:u w:val="single" w:color="auto"/>
          <w:color w:val="auto"/>
        </w:rPr>
        <w:t>Market Price</w:t>
      </w:r>
      <w:r>
        <w:rPr>
          <w:rFonts w:ascii="Arial" w:cs="Arial" w:eastAsia="Arial" w:hAnsi="Arial"/>
          <w:sz w:val="16"/>
          <w:szCs w:val="16"/>
          <w:color w:val="auto"/>
        </w:rPr>
        <w:t>” on any date shall mean, with respect to any class or series of outstanding REIT Shares, the Closing Price for such REIT Shares on such date. The “</w:t>
      </w:r>
      <w:r>
        <w:rPr>
          <w:rFonts w:ascii="Arial" w:cs="Arial" w:eastAsia="Arial" w:hAnsi="Arial"/>
          <w:sz w:val="16"/>
          <w:szCs w:val="16"/>
          <w:u w:val="single" w:color="auto"/>
          <w:color w:val="auto"/>
        </w:rPr>
        <w:t>Closing Price</w:t>
      </w:r>
      <w:r>
        <w:rPr>
          <w:rFonts w:ascii="Arial" w:cs="Arial" w:eastAsia="Arial" w:hAnsi="Arial"/>
          <w:sz w:val="16"/>
          <w:szCs w:val="16"/>
          <w:color w:val="auto"/>
        </w:rPr>
        <w:t>” on any date shall mean the last sale price for such REIT Shares, regular way, or, in case no such sale takes place on such day, the average of the closing bid and asked prices,</w:t>
      </w:r>
    </w:p>
    <w:p>
      <w:pPr>
        <w:sectPr>
          <w:pgSz w:w="11900" w:h="16838" w:orient="portrait"/>
          <w:cols w:equalWidth="0" w:num="1">
            <w:col w:w="11420"/>
          </w:cols>
          <w:pgMar w:left="240" w:top="125" w:right="239" w:bottom="0" w:gutter="0" w:footer="0" w:header="0"/>
        </w:sectPr>
      </w:pPr>
    </w:p>
    <w:bookmarkStart w:id="14" w:name="page15"/>
    <w:bookmarkEnd w:id="14"/>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regular way, for such REIT Shares, in either case as reported in the principal consolidated transaction reporting system with respect to securities listed or admitted to trading on the New York Stock Exchange or, if such REIT Shares are not listed or admitted to trading on the New York Stock Exchange, as reported on the principal consolidated transaction reporting system with respect to securities listed on the principal national securities exchange on which such REIT Shares are listed or admitted to trading or, if such REIT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REIT Shares are not quoted by any such organization, the average of the closing bid and asked prices as furnished by a professional market maker making a market in such REIT Shares selected by the Board of Directors of the Parent or, in the event that no trading price is available for such REIT Shares, the fair market value of the REIT Shares, as determined in good faith by the Board of Directors of the Parent.</w:t>
      </w:r>
    </w:p>
    <w:p>
      <w:pPr>
        <w:spacing w:after="0" w:line="16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In the event that the REIT Shares Amount includes Rights (as defined in the definition of “</w:t>
      </w:r>
      <w:r>
        <w:rPr>
          <w:rFonts w:ascii="Arial" w:cs="Arial" w:eastAsia="Arial" w:hAnsi="Arial"/>
          <w:sz w:val="18"/>
          <w:szCs w:val="18"/>
          <w:u w:val="single" w:color="auto"/>
          <w:color w:val="auto"/>
        </w:rPr>
        <w:t>REIT Shares Amount</w:t>
      </w:r>
      <w:r>
        <w:rPr>
          <w:rFonts w:ascii="Arial" w:cs="Arial" w:eastAsia="Arial" w:hAnsi="Arial"/>
          <w:sz w:val="18"/>
          <w:szCs w:val="18"/>
          <w:color w:val="auto"/>
        </w:rPr>
        <w:t>”) that a holder of REIT Shares would be entitled to receive, then the Value of such Rights shall be determined by the Parent acting in good faith on the basis of such quotations and other information as it considers, in its reasonable judgment, appropriate.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2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Section 2.1 Organization</w:t>
      </w:r>
      <w:r>
        <w:rPr>
          <w:rFonts w:ascii="Arial" w:cs="Arial" w:eastAsia="Arial" w:hAnsi="Arial"/>
          <w:sz w:val="18"/>
          <w:szCs w:val="18"/>
          <w:color w:val="auto"/>
        </w:rPr>
        <w:t>. The Partnership is a limited partnership organized pursuant to the provisions of the Act and upon the terms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in this Agreement. Except as expressly provided herein to the contrary, the rights and obligations of the Partners and the administration and termination of the Partnership shall be governed by the Act. The Partnership Interest of each Partner shall be personal property for all purposes.</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Section 2.2 Name</w:t>
      </w:r>
      <w:r>
        <w:rPr>
          <w:rFonts w:ascii="Arial" w:cs="Arial" w:eastAsia="Arial" w:hAnsi="Arial"/>
          <w:sz w:val="17"/>
          <w:szCs w:val="17"/>
          <w:color w:val="auto"/>
        </w:rPr>
        <w:t>. The name of the Partnership is</w:t>
      </w:r>
      <w:r>
        <w:rPr>
          <w:rFonts w:ascii="Arial" w:cs="Arial" w:eastAsia="Arial" w:hAnsi="Arial"/>
          <w:sz w:val="17"/>
          <w:szCs w:val="17"/>
          <w:b w:val="1"/>
          <w:bCs w:val="1"/>
          <w:color w:val="auto"/>
        </w:rPr>
        <w:t xml:space="preserve"> “Extra Space Storage LP” </w:t>
      </w:r>
      <w:r>
        <w:rPr>
          <w:rFonts w:ascii="Arial" w:cs="Arial" w:eastAsia="Arial" w:hAnsi="Arial"/>
          <w:sz w:val="17"/>
          <w:szCs w:val="17"/>
          <w:color w:val="auto"/>
        </w:rPr>
        <w:t>The Partnership’s business may be conducted under any other name or</w:t>
      </w:r>
      <w:r>
        <w:rPr>
          <w:rFonts w:ascii="Arial" w:cs="Arial" w:eastAsia="Arial" w:hAnsi="Arial"/>
          <w:sz w:val="17"/>
          <w:szCs w:val="17"/>
          <w:b w:val="1"/>
          <w:bCs w:val="1"/>
          <w:color w:val="auto"/>
        </w:rPr>
        <w:t xml:space="preserve"> </w:t>
      </w:r>
      <w:r>
        <w:rPr>
          <w:rFonts w:ascii="Arial" w:cs="Arial" w:eastAsia="Arial" w:hAnsi="Arial"/>
          <w:sz w:val="17"/>
          <w:szCs w:val="17"/>
          <w:color w:val="auto"/>
        </w:rPr>
        <w:t>names deemed advisable by the General Partner, including the name of the General Partner or any Affiliate thereof. The words “Limited Partnership,” “LP,” “L.P.,” “Ltd.” or similar words or letters shall be included in the Partnership’s name where necessary for the purposes of complying with the laws of any jurisdiction that so requires. The General Partner in its sole and absolute discretion may change the name of the Partnership at any time and from time to time and shall notify the Partners of such change in the next regular communication to the Partners.</w:t>
      </w:r>
    </w:p>
    <w:p>
      <w:pPr>
        <w:spacing w:after="0" w:line="16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Section 2.3 Registered Office and Agent; Principal Office</w:t>
      </w:r>
      <w:r>
        <w:rPr>
          <w:rFonts w:ascii="Arial" w:cs="Arial" w:eastAsia="Arial" w:hAnsi="Arial"/>
          <w:sz w:val="16"/>
          <w:szCs w:val="16"/>
          <w:color w:val="auto"/>
        </w:rPr>
        <w:t>. The address of the registered office of the Partnership in the State of Delaware is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at Corporation Service Company, 1013 Centre Road, Wilmington, Delaware 19805, and the registered agent for service of process on the Partnership in the State of Delaware at such registered office is Corporation Service Company. The principal office of the Partnership is located at 2795 East Cottonwood Parkway, Suite 400, Salt Lake City, UT 84121 or such other place as the General Partner may from time to time designate by notice to the Limited Partners. The Partnership may maintain offices at such other place or places within or outside the State of Delaware as the General Partner deems advisable.</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Power of Attorney.</w:t>
      </w:r>
    </w:p>
    <w:p>
      <w:pPr>
        <w:spacing w:after="0" w:line="229" w:lineRule="exact"/>
        <w:rPr>
          <w:sz w:val="20"/>
          <w:szCs w:val="20"/>
          <w:color w:val="auto"/>
        </w:rPr>
      </w:pPr>
    </w:p>
    <w:p>
      <w:pPr>
        <w:ind w:right="40" w:firstLine="656"/>
        <w:spacing w:after="0" w:line="264" w:lineRule="auto"/>
        <w:tabs>
          <w:tab w:leader="none" w:pos="1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Limited Partner and each Assignee hereby irrevocably constitutes and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1305"/>
        <w:spacing w:after="0" w:line="287" w:lineRule="auto"/>
        <w:tabs>
          <w:tab w:leader="none" w:pos="19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execute, swear to, seal, acknowledge, deliver, file and record in the appropriate public offices (a) all certificates, documents and other instruments (including, without limitation, this Agreement and the Certificate and all amendments, supplements or restatements thereof) that the General Partner or the Liquidator deems appropriate or necessary to form, qualify or continue the existence or qualification of the Partnership as a limited partnership (or a partnership in which the limited partners have limited liability to the extent provided by applicable law) in the State of Delaware and in all other jurisdictions in which the Partnership may conduct business or own property; (b) all instruments that the General Partner or the Liquidator deems appropriate or necessary to reflect any amendment, change, modification or restatement of this Agreement in accordance with its terms; (c) all conveyances and other instruments or documents that the General Partner or the Liquidator deems appropriate or necessary to reflect the dissolution and liquidation of the Partnership pursuant to the terms of this Agreement, including, without limitation, a certificate of cancellation; (d) all conveyances and other instruments or documents that the General Partner or the Liquidator deems appropriate or necessary to reflect the distribution or exchange of assets of the Partnership pursuant to the terms of this Agreement; (e) all instruments relating to the admission, withdrawal, removal or substitution of any Partner pursuant to, or other events described in,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XVI</w:t>
      </w:r>
      <w:r>
        <w:rPr>
          <w:rFonts w:ascii="Arial" w:cs="Arial" w:eastAsia="Arial" w:hAnsi="Arial"/>
          <w:sz w:val="16"/>
          <w:szCs w:val="16"/>
          <w:color w:val="auto"/>
        </w:rPr>
        <w:t xml:space="preserve"> hereof or the Capital Contribution of any Partner; and (f) all certificates, documents and other instruments relating to the determination of the rights, preferences and privileges relating to Partnership Interests; and</w:t>
      </w:r>
    </w:p>
    <w:p>
      <w:pPr>
        <w:spacing w:after="0" w:line="168" w:lineRule="exact"/>
        <w:rPr>
          <w:rFonts w:ascii="Arial" w:cs="Arial" w:eastAsia="Arial" w:hAnsi="Arial"/>
          <w:sz w:val="16"/>
          <w:szCs w:val="16"/>
          <w:color w:val="auto"/>
        </w:rPr>
      </w:pPr>
    </w:p>
    <w:p>
      <w:pPr>
        <w:jc w:val="both"/>
        <w:ind w:right="100" w:firstLine="1305"/>
        <w:spacing w:after="0" w:line="302" w:lineRule="auto"/>
        <w:tabs>
          <w:tab w:leader="none" w:pos="19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execute, swear to, acknowledge and file all ballots, consents, approvals, waivers, certificates and other instruments appropriate or necessary, in the sole and absolute discretion of the General Partner or the Liquidator, to make, evidence, give, confirm or ratify any vote, consent, approval, agreement or other action that is made or given by the Partners hereunder or is consistent with the terms of this Agreement or appropriate or necessary, in the sole and absolute discretion of the General Partner or the Liquidator, to effectuate the terms or intent of this Agreement.</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Nothing contained herein shall be construed as authorizing the General Partner or the Liquidator to amend this Agreement except in accordance with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hereof or as may be otherwise expressly provided for in this Agreement.</w:t>
      </w:r>
    </w:p>
    <w:p>
      <w:pPr>
        <w:spacing w:after="0" w:line="170" w:lineRule="exact"/>
        <w:rPr>
          <w:sz w:val="20"/>
          <w:szCs w:val="20"/>
          <w:color w:val="auto"/>
        </w:rPr>
      </w:pPr>
    </w:p>
    <w:p>
      <w:pPr>
        <w:ind w:right="40" w:firstLine="656"/>
        <w:spacing w:after="0" w:line="288" w:lineRule="auto"/>
        <w:tabs>
          <w:tab w:leader="none" w:pos="12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foregoing power of attorney is hereby declared to be irrevocable and a special power coupled with an interest, in recognition of the fact that each of the Limited Partners and Assignees will be relying upon the power of the General Partner or the Liquidator to act as contemplated by this Agreement in any filing or other action by it on behalf of the Partnership, and it shall survive and not be affected by the subsequent Incapacity of any Limited Partner or Assignee and the Transfer of all or any portion of such Limited Partner’s or Assignee’s Partnership Units or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General Partner’s or the Liquidator’s request therefor, such further designation, powers of attorney and other instruments as the General Partner or the Liquidator, as the case may be, deems necessary to effectuate this Agreement and the purposes of the Partnership.</w:t>
      </w:r>
    </w:p>
    <w:p>
      <w:pPr>
        <w:sectPr>
          <w:pgSz w:w="11900" w:h="16890" w:orient="portrait"/>
          <w:cols w:equalWidth="0" w:num="1">
            <w:col w:w="11420"/>
          </w:cols>
          <w:pgMar w:left="240" w:top="125" w:right="239" w:bottom="0" w:gutter="0" w:footer="0" w:header="0"/>
        </w:sectPr>
      </w:pPr>
    </w:p>
    <w:bookmarkStart w:id="15" w:name="page16"/>
    <w:bookmarkEnd w:id="15"/>
    <w:p>
      <w:pPr>
        <w:ind w:right="60"/>
        <w:spacing w:after="0" w:line="282" w:lineRule="auto"/>
        <w:rPr>
          <w:sz w:val="20"/>
          <w:szCs w:val="20"/>
          <w:color w:val="auto"/>
        </w:rPr>
      </w:pPr>
      <w:r>
        <w:rPr>
          <w:rFonts w:ascii="Arial" w:cs="Arial" w:eastAsia="Arial" w:hAnsi="Arial"/>
          <w:sz w:val="18"/>
          <w:szCs w:val="18"/>
          <w:b w:val="1"/>
          <w:bCs w:val="1"/>
          <w:color w:val="auto"/>
        </w:rPr>
        <w:t>Section 2.5 Term</w:t>
      </w:r>
      <w:r>
        <w:rPr>
          <w:rFonts w:ascii="Arial" w:cs="Arial" w:eastAsia="Arial" w:hAnsi="Arial"/>
          <w:sz w:val="18"/>
          <w:szCs w:val="18"/>
          <w:color w:val="auto"/>
        </w:rPr>
        <w:t>. Pursuant to Section 17-217(d) of the Act, the term of the Partnership commenced on May 5, 2004 and shall continue until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31, 2104 unless it is dissolved sooner pursuant to the provisions of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hereof or as otherwise provided by law.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Section 3.1 Purpose and Business</w:t>
      </w:r>
      <w:r>
        <w:rPr>
          <w:rFonts w:ascii="Arial" w:cs="Arial" w:eastAsia="Arial" w:hAnsi="Arial"/>
          <w:sz w:val="18"/>
          <w:szCs w:val="18"/>
          <w:color w:val="auto"/>
        </w:rPr>
        <w:t>. The purpose and nature of the Partnership is to conduct any business, enterprise or activity permitted by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business and arrangements and interests may be limited to and conducted in such a manner as to permit the Parent, in the sole and absolute discretion of the General Partner, at all times to be classified as a REIT unless the Parent in its sole discretion has chosen to cease to qualify as a REIT or has chosen not to attempt to qualify as a REIT for any reason or for reasons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whether or not related to the business conducted by the Partnership. Without limiting the General Partner’s right in its sole discretion to cease qualifying as a REIT, the Partners acknowledge that the status of the Parent as a REIT inures to the benefit of all Partners and not solely to the Parent, the General Partner or its Affiliates. In connection with the foregoing, the Partnership shall have full power and authority to enter into, perform and carry out contracts of any kind, to borrow and lend money and to issue and guarantee evidence of indebtedness, whether or not secured by mortgage, deed of trust, pledge or other lien and, directly or indirectly, to acquire and construct additional Properties necessary, useful or desirable in connection with its business.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ind w:right="160" w:firstLine="656"/>
        <w:spacing w:after="0" w:line="342" w:lineRule="auto"/>
        <w:tabs>
          <w:tab w:leader="none" w:pos="1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herein and for the protection and benefit of the Partnership.</w:t>
      </w:r>
    </w:p>
    <w:p>
      <w:pPr>
        <w:spacing w:after="0" w:line="123" w:lineRule="exact"/>
        <w:rPr>
          <w:rFonts w:ascii="Arial" w:cs="Arial" w:eastAsia="Arial" w:hAnsi="Arial"/>
          <w:sz w:val="16"/>
          <w:szCs w:val="16"/>
          <w:color w:val="auto"/>
        </w:rPr>
      </w:pPr>
    </w:p>
    <w:p>
      <w:pPr>
        <w:ind w:right="320" w:firstLine="656"/>
        <w:spacing w:after="0" w:line="277" w:lineRule="auto"/>
        <w:tabs>
          <w:tab w:leader="none" w:pos="12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Partnership may contribute from time to time Partnership capital to one or more newly formed entities solely in exchange for equity interests therein (or in a wholly owned subsidiary entity thereof).</w:t>
      </w:r>
    </w:p>
    <w:p>
      <w:pPr>
        <w:spacing w:after="0" w:line="170" w:lineRule="exact"/>
        <w:rPr>
          <w:rFonts w:ascii="Arial" w:cs="Arial" w:eastAsia="Arial" w:hAnsi="Arial"/>
          <w:sz w:val="18"/>
          <w:szCs w:val="18"/>
          <w:color w:val="auto"/>
        </w:rPr>
      </w:pPr>
    </w:p>
    <w:p>
      <w:pPr>
        <w:ind w:right="20" w:firstLine="656"/>
        <w:spacing w:after="0" w:line="257" w:lineRule="auto"/>
        <w:tabs>
          <w:tab w:leader="none" w:pos="12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the General Partner may cause the Partnership not to take, or to refrain from taking, any action that, in the judgment of the General Partner, in its sole and absolute discretion, (i) could adversely affect the ability of the Parent to continue to qualify as a REIT, (ii) could subject the Parent to any additional taxes under Code Section 857 or Code Section 4981 or any other related or successor provision of the Code or (iii) could violate any law or regulation of any governmental body or agency having jurisdiction over the General Partner, the Parent, their securities or the Partnership.</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Section 3.3 Partnership Only for Partnership Purposes Specified</w:t>
      </w:r>
      <w:r>
        <w:rPr>
          <w:rFonts w:ascii="Arial" w:cs="Arial" w:eastAsia="Arial" w:hAnsi="Arial"/>
          <w:sz w:val="17"/>
          <w:szCs w:val="17"/>
          <w:color w:val="auto"/>
        </w:rPr>
        <w:t>. This Agreement shall not be deemed to create a company, venture or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or among the Partners with respect to any activities whatsoever other than the activities within the purposes of the Partnership as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w:t>
      </w:r>
      <w:r>
        <w:rPr>
          <w:rFonts w:ascii="Arial" w:cs="Arial" w:eastAsia="Arial" w:hAnsi="Arial"/>
          <w:sz w:val="17"/>
          <w:szCs w:val="17"/>
          <w:color w:val="auto"/>
        </w:rPr>
        <w:t xml:space="preserve"> hereof. Except as otherwise provided in this Agreement, no Partner shall have any authority to act for, bind, commit or assume any obligation or responsibility on behalf of the Partnership, its properties or any other Partner. No Partner, in its capacity as a Partner under this Agreement, shall be responsible or liable for any indebtedness or obligation of another Partner, and the Partnership shall not be responsible or liable for any indebtedness or obligation of any Partner, incurred either before or after the execution and delivery of this Agreement by such Partner, except as to those responsibilities, liabilities, indebtedness or obligations incurred pursuant to and as limited by the terms of this Agreement and the Act.</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color w:val="auto"/>
        </w:rPr>
        <w:t>Representations and Warranties by the Parties.</w:t>
      </w:r>
    </w:p>
    <w:p>
      <w:pPr>
        <w:spacing w:after="0" w:line="229" w:lineRule="exact"/>
        <w:rPr>
          <w:sz w:val="20"/>
          <w:szCs w:val="20"/>
          <w:color w:val="auto"/>
        </w:rPr>
      </w:pPr>
    </w:p>
    <w:p>
      <w:pPr>
        <w:ind w:firstLine="656"/>
        <w:spacing w:after="0" w:line="286" w:lineRule="auto"/>
        <w:tabs>
          <w:tab w:leader="none" w:pos="12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Each Partner (including, without limitation, each Additional Limited Partner or Substituted Limited Partner as a condition to becoming an Additional Limited Partner or a Substituted Limited Partner, respectively) represents and warrants to the Partnership and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(ii) subject to the last sentence of this </w:t>
      </w:r>
      <w:r>
        <w:rPr>
          <w:rFonts w:ascii="Arial" w:cs="Arial" w:eastAsia="Arial" w:hAnsi="Arial"/>
          <w:sz w:val="16"/>
          <w:szCs w:val="16"/>
          <w:u w:val="single" w:color="auto"/>
          <w:color w:val="auto"/>
        </w:rPr>
        <w:t>Section 3.4.A</w:t>
      </w:r>
      <w:r>
        <w:rPr>
          <w:rFonts w:ascii="Arial" w:cs="Arial" w:eastAsia="Arial" w:hAnsi="Arial"/>
          <w:sz w:val="16"/>
          <w:szCs w:val="16"/>
          <w:color w:val="auto"/>
        </w:rPr>
        <w:t>, such Partner is neither a “foreign person” within the meaning of Code Section 1445(f) nor a “foreign partner” within the meaning of Code Section 1446(e), (iii) such Partner does not own, directly or indirectly, (a) 9.9% or more of the total combined voting power of all classes of stock entitled to vote, or 9.9% or more of the total number of shares of all classes of stock, of any corporation that is a tenant of either (I) the Parent or any Qualified REIT Subsidiary, (II) the Partnership or (III) any partnership, venture or limited liability company of which the Parent, any Qualified REIT Subsidiary or the Partnership is a member or (b) an interest of 9.9% or more in the assets or net profits of any tenant of either (I) the Parent or any Qualified REIT Subsidiary, (II) the Partnership or (III) any partnership, venture, or limited liability company of which the Parent, any Qualified REIT Subsidiary or the Partnership is a member and (iv) this Agreement is binding upon, and enforceable against, such Partner in accordance with its terms. Notwithstanding anything contained herein to the contrary, in the event that the representation contained in the foregoing clause (ii) would be inaccurate if given by a Partner, such Partner (w) shall not be required to make and shall not be deemed to have made such representation, if it delivers to the General Partner in connection with or prior to its execution of this Agreement written notice that it may not truthfully make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such representation, (x) hereby agrees that it is subject to, and hereby authorizes the General Partner to withhold, all withholdings to which such a “foreign person” or “foreign partner,” as applicable, is subject under the Code and (y) hereby agrees to cooperate fully with the General Partner with respect to such withholdings, including by effecting the timely completion and delivery to the General Partner of all governmental forms required in connection therewith.</w:t>
      </w:r>
    </w:p>
    <w:p>
      <w:pPr>
        <w:spacing w:after="0" w:line="147" w:lineRule="exact"/>
        <w:rPr>
          <w:sz w:val="20"/>
          <w:szCs w:val="20"/>
          <w:color w:val="auto"/>
        </w:rPr>
      </w:pPr>
    </w:p>
    <w:p>
      <w:pPr>
        <w:ind w:right="140" w:firstLine="656"/>
        <w:spacing w:after="0" w:line="297" w:lineRule="auto"/>
        <w:tabs>
          <w:tab w:leader="none" w:pos="12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Partner (including, without limitation, each Substituted Limited Partner as a condition to becoming a Substituted Limited Partner)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particularly real estate investments, and that it has a</w:t>
      </w:r>
    </w:p>
    <w:p>
      <w:pPr>
        <w:sectPr>
          <w:pgSz w:w="11900" w:h="16838" w:orient="portrait"/>
          <w:cols w:equalWidth="0" w:num="1">
            <w:col w:w="11420"/>
          </w:cols>
          <w:pgMar w:left="240" w:top="121" w:right="239" w:bottom="0" w:gutter="0" w:footer="0" w:header="0"/>
        </w:sectPr>
      </w:pPr>
    </w:p>
    <w:bookmarkStart w:id="16" w:name="page17"/>
    <w:bookmarkEnd w:id="16"/>
    <w:p>
      <w:pPr>
        <w:ind w:right="800"/>
        <w:spacing w:after="0" w:line="277" w:lineRule="auto"/>
        <w:rPr>
          <w:sz w:val="20"/>
          <w:szCs w:val="20"/>
          <w:color w:val="auto"/>
        </w:rPr>
      </w:pPr>
      <w:r>
        <w:rPr>
          <w:rFonts w:ascii="Arial" w:cs="Arial" w:eastAsia="Arial" w:hAnsi="Arial"/>
          <w:sz w:val="18"/>
          <w:szCs w:val="18"/>
          <w:color w:val="auto"/>
        </w:rPr>
        <w:t>sufficiently high net worth that it does not anticipate a need for the funds that it has invested in the Partnership in what it understands to be a highly speculative and illiquid investment.</w:t>
      </w:r>
    </w:p>
    <w:p>
      <w:pPr>
        <w:spacing w:after="0" w:line="170" w:lineRule="exact"/>
        <w:rPr>
          <w:sz w:val="20"/>
          <w:szCs w:val="20"/>
          <w:color w:val="auto"/>
        </w:rPr>
      </w:pPr>
    </w:p>
    <w:p>
      <w:pPr>
        <w:ind w:right="100" w:firstLine="656"/>
        <w:spacing w:after="0" w:line="312" w:lineRule="auto"/>
        <w:tabs>
          <w:tab w:leader="none" w:pos="1272"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in </w:t>
      </w:r>
      <w:r>
        <w:rPr>
          <w:rFonts w:ascii="Arial" w:cs="Arial" w:eastAsia="Arial" w:hAnsi="Arial"/>
          <w:sz w:val="16"/>
          <w:szCs w:val="16"/>
          <w:u w:val="single" w:color="auto"/>
          <w:color w:val="auto"/>
        </w:rPr>
        <w:t>Sections 3.4.A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3.4.B</w:t>
      </w:r>
      <w:r>
        <w:rPr>
          <w:rFonts w:ascii="Arial" w:cs="Arial" w:eastAsia="Arial" w:hAnsi="Arial"/>
          <w:sz w:val="16"/>
          <w:szCs w:val="16"/>
          <w:color w:val="auto"/>
        </w:rPr>
        <w:t xml:space="preserve"> hereof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46" w:lineRule="exact"/>
        <w:rPr>
          <w:rFonts w:ascii="Arial" w:cs="Arial" w:eastAsia="Arial" w:hAnsi="Arial"/>
          <w:sz w:val="16"/>
          <w:szCs w:val="16"/>
          <w:color w:val="auto"/>
        </w:rPr>
      </w:pPr>
    </w:p>
    <w:p>
      <w:pPr>
        <w:ind w:right="300" w:firstLine="656"/>
        <w:spacing w:after="0" w:line="297" w:lineRule="auto"/>
        <w:tabs>
          <w:tab w:leader="none" w:pos="12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Partner (including, without limitation, each Substituted Limited Partner as a condition to becoming a Substituted Limited Partner) hereby acknowledges that no representations as to potential profit, cash flows, funds from operations or yield, if any, in respect of the Partnership or the General Partner have been made by the Parent, any Partner or any employee or representative or Affiliate of the Parent or any Partner, and that projections and any other information, including, without limitation, financial and descriptive information and documentation, that may have been in any manner submitted to such Partner shall not constitute any representation or warranty of any kind or nature, express or implied.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Section 4.1 Capital Contributions of the Partners</w:t>
      </w:r>
      <w:r>
        <w:rPr>
          <w:rFonts w:ascii="Arial" w:cs="Arial" w:eastAsia="Arial" w:hAnsi="Arial"/>
          <w:sz w:val="17"/>
          <w:szCs w:val="17"/>
          <w:color w:val="auto"/>
        </w:rPr>
        <w:t>. Each Partner has made a Capital Contribution to the Partnership and owns Partnership Units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and designation set forth for such Partner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the same may be amended from time to time by the General Partner to the extent necessary to reflect accurately sales, exchanges, conversions or other Transfers, redemptions, Capital Contributions, the issuance of additional Partnership Units, or similar events having an effect on a Partner’s ownership of Partnership Units. Except as provided by law or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13.2.D</w:t>
      </w:r>
      <w:r>
        <w:rPr>
          <w:rFonts w:ascii="Arial" w:cs="Arial" w:eastAsia="Arial" w:hAnsi="Arial"/>
          <w:sz w:val="17"/>
          <w:szCs w:val="17"/>
          <w:color w:val="auto"/>
        </w:rPr>
        <w:t xml:space="preserve"> hereof, the Partners shall have no obligation or right to make any additional Capital Contributions or loans to the Partnership.</w:t>
      </w:r>
    </w:p>
    <w:p>
      <w:pPr>
        <w:spacing w:after="0" w:line="16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Section 4.2 Classes of Partnership Units</w:t>
      </w:r>
      <w:r>
        <w:rPr>
          <w:rFonts w:ascii="Arial" w:cs="Arial" w:eastAsia="Arial" w:hAnsi="Arial"/>
          <w:sz w:val="16"/>
          <w:szCs w:val="16"/>
          <w:color w:val="auto"/>
        </w:rPr>
        <w:t>. From and after the Effective Date,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4.3.A</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Partnership shall have three classes of</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Units entitled “</w:t>
      </w:r>
      <w:r>
        <w:rPr>
          <w:rFonts w:ascii="Arial" w:cs="Arial" w:eastAsia="Arial" w:hAnsi="Arial"/>
          <w:sz w:val="16"/>
          <w:szCs w:val="16"/>
          <w:u w:val="single" w:color="auto"/>
          <w:color w:val="auto"/>
        </w:rPr>
        <w:t>Preferred Units</w:t>
      </w:r>
      <w:r>
        <w:rPr>
          <w:rFonts w:ascii="Arial" w:cs="Arial" w:eastAsia="Arial" w:hAnsi="Arial"/>
          <w:sz w:val="16"/>
          <w:szCs w:val="16"/>
          <w:color w:val="auto"/>
        </w:rPr>
        <w:t>,” “</w:t>
      </w:r>
      <w:r>
        <w:rPr>
          <w:rFonts w:ascii="Arial" w:cs="Arial" w:eastAsia="Arial" w:hAnsi="Arial"/>
          <w:sz w:val="16"/>
          <w:szCs w:val="16"/>
          <w:u w:val="single" w:color="auto"/>
          <w:color w:val="auto"/>
        </w:rPr>
        <w:t>OP Units</w:t>
      </w:r>
      <w:r>
        <w:rPr>
          <w:rFonts w:ascii="Arial" w:cs="Arial" w:eastAsia="Arial" w:hAnsi="Arial"/>
          <w:sz w:val="16"/>
          <w:szCs w:val="16"/>
          <w:color w:val="auto"/>
        </w:rPr>
        <w:t>” and “</w:t>
      </w:r>
      <w:r>
        <w:rPr>
          <w:rFonts w:ascii="Arial" w:cs="Arial" w:eastAsia="Arial" w:hAnsi="Arial"/>
          <w:sz w:val="16"/>
          <w:szCs w:val="16"/>
          <w:u w:val="single" w:color="auto"/>
          <w:color w:val="auto"/>
        </w:rPr>
        <w:t>Contingent Conversion Units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any of the Preferred Units, OP Units or Contingent Conversion Units, at the election of the General Partner, in its sole and absolute discretion, may be issued to newly admitted Partners in exchange for any Capital Contributions by such Partners;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Partnership Unit that is not specifically designated by the General Partner as being of a particular class shall be deemed to be an OP Unit. Each Contingent Conversion Unit shall be converted automatically into an OP Unit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hereof without the requirement for any action by either the Partnership or the Partner holding the Contingent Conversion Units.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Issuances of Additional Partnership Interests.</w:t>
      </w:r>
    </w:p>
    <w:p>
      <w:pPr>
        <w:spacing w:after="0" w:line="229" w:lineRule="exact"/>
        <w:rPr>
          <w:sz w:val="20"/>
          <w:szCs w:val="20"/>
          <w:color w:val="auto"/>
        </w:rPr>
      </w:pPr>
    </w:p>
    <w:p>
      <w:pPr>
        <w:ind w:right="280" w:firstLine="656"/>
        <w:spacing w:after="0" w:line="279" w:lineRule="auto"/>
        <w:tabs>
          <w:tab w:leader="none" w:pos="128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hereof, the General Partner is hereby authorized to cause the Partnership to issue additional Partnership Interests, in the form of Partnership Units, for any Partnership purpose, at any time or from time to time, to the Partners (including the General Partner or Parent Limited Partner) or to other Persons, and to admit such Persons as Additional Limited Partners, for such consideration and on such terms and conditions as shall be established by the General Partner in its sole and absolute discretion, all without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approval of any Limited Partners. Without limiting the foregoing, the General Partner is expressly authorized to cause the Partnership to issue Partnership Units (i) upon the conversion, redemption or exchange of any Debt, Partnership Units or other securities issued by the Partnership, (ii) for less than fair market value, so long as the General Partner concludes in good faith that such issuance is in the best interests of the Parent and the Partnership and (iii) in connection with any merger of any other Person into the Partnership or any Subsidiary of the Partnership if the applicable merger agreement provides that Persons are to receive Partnership Units in exchange for their interests in the Person merging into the Partnership or any Subsidiary of the Partnership. Subject to Delaware law, any additional Partnership Interests may be issued in one or more classes, or one or more series of any of such classes, with such designations, preferences and relative, participating, optional or other special rights, powers and duties as shall be determined by the General Partner, in its sole and absolute discretion without the approval of any Limited Partner, and which may be set forth in a written document thereafter attached to and made an exhibit to this Agreement or incorporated into this Agreement by amendment (each, a “</w:t>
      </w:r>
      <w:r>
        <w:rPr>
          <w:rFonts w:ascii="Arial" w:cs="Arial" w:eastAsia="Arial" w:hAnsi="Arial"/>
          <w:sz w:val="16"/>
          <w:szCs w:val="16"/>
          <w:u w:val="single" w:color="auto"/>
          <w:color w:val="auto"/>
        </w:rPr>
        <w:t>Partnership Unit Designation</w:t>
      </w:r>
      <w:r>
        <w:rPr>
          <w:rFonts w:ascii="Arial" w:cs="Arial" w:eastAsia="Arial" w:hAnsi="Arial"/>
          <w:sz w:val="16"/>
          <w:szCs w:val="16"/>
          <w:color w:val="auto"/>
        </w:rPr>
        <w:t xml:space="preserve">”). Without limiting the generality of the foregoing, the General Partner shall have authority to specify (a) the allocations of items of Partnership income, gain, loss, deduction and credit to each such class or series of Partnership Interests; (b) the right of each such class or series of Partnership Interests to share in Partnership distributions; (c) the rights of each such class or series of Partnership Interests upon dissolution and liquidation of the Partnership; (d) the voting rights, if any, of each such class or series of Partnership Interests; and (e) the conversion, redemption or exchange rights applicable to each such class or series of Partnership Interests. Upon the issuance of any additional Partnership Interest, the General Partner shall amend this Agreement and/or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appropriate to reflect such issuance.</w:t>
      </w:r>
    </w:p>
    <w:p>
      <w:pPr>
        <w:spacing w:after="0" w:line="172" w:lineRule="exact"/>
        <w:rPr>
          <w:sz w:val="20"/>
          <w:szCs w:val="20"/>
          <w:color w:val="auto"/>
        </w:rPr>
      </w:pPr>
    </w:p>
    <w:p>
      <w:pPr>
        <w:ind w:right="20" w:firstLine="656"/>
        <w:spacing w:after="0" w:line="286" w:lineRule="auto"/>
        <w:tabs>
          <w:tab w:leader="none" w:pos="127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Issuances to the General Partner</w:t>
      </w:r>
      <w:r>
        <w:rPr>
          <w:rFonts w:ascii="Arial" w:cs="Arial" w:eastAsia="Arial" w:hAnsi="Arial"/>
          <w:sz w:val="16"/>
          <w:szCs w:val="16"/>
          <w:color w:val="auto"/>
        </w:rPr>
        <w:t xml:space="preserve">. No additional Partnership Units shall be issued to the General Partner or Parent Limited Partner unless (i) the additional Partnership Units are issued to all Partners in proportion to their respective Percentage Interests with respect to the class of Partnership Units so issued, (ii) (a) the additional Partnership Units are (x) OP Units issued in connection with an issuance of REIT Shares or (y) Partnership Units (other than OP Units) issued in connection with an issuance of Contingent Conversion Shares, Preferred Shares, Junior Shares, New Securities or other interests in the Parent (other than REIT Shares), which Contingent Conversion Shares, Preferred Shares, Junior Shares, New Securities or other interests have designations, preferences and other rights, terms and provisions that are substantially the same as the designations, preferences and other rights, terms and provisions of the additional Partnership Units issued to the General Partner and (b) the Parent directly or indirectly contributes or otherwise causes to be transferred to the Partnership the cash proceeds or other consideration, if any, received in connection with the issuance of such REIT Shares, Contingent Conversion Shares, Preferred Shares, Junior Shares, New Securities or other interests in the Parent, (iii) the additional Partnership Units are issued upon the conversion, redemption or exchange of Debt, Partnership Units or other securities issued by the Partnership, or (iv) the additional Partnership Units are issued pursuant to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w:t>
      </w:r>
      <w:r>
        <w:rPr>
          <w:rFonts w:ascii="Arial" w:cs="Arial" w:eastAsia="Arial" w:hAnsi="Arial"/>
          <w:sz w:val="16"/>
          <w:szCs w:val="16"/>
          <w:u w:val="single" w:color="auto"/>
          <w:color w:val="auto"/>
        </w:rPr>
        <w:t>4.8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4.9</w:t>
      </w:r>
      <w:r>
        <w:rPr>
          <w:rFonts w:ascii="Arial" w:cs="Arial" w:eastAsia="Arial" w:hAnsi="Arial"/>
          <w:sz w:val="16"/>
          <w:szCs w:val="16"/>
          <w:color w:val="auto"/>
        </w:rPr>
        <w:t xml:space="preserve">. In the event that the Partnership issues additional Partnership Units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General Partner shall make such revisions to this Agreement (including but not limited to the revisions described in </w:t>
      </w:r>
      <w:r>
        <w:rPr>
          <w:rFonts w:ascii="Arial" w:cs="Arial" w:eastAsia="Arial" w:hAnsi="Arial"/>
          <w:sz w:val="16"/>
          <w:szCs w:val="16"/>
          <w:u w:val="single" w:color="auto"/>
          <w:color w:val="auto"/>
        </w:rPr>
        <w:t>Sections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it determines are necessary to reflect the issuance of such additional Partnership Interests.</w:t>
      </w:r>
    </w:p>
    <w:p>
      <w:pPr>
        <w:spacing w:after="0" w:line="174" w:lineRule="exact"/>
        <w:rPr>
          <w:rFonts w:ascii="Arial" w:cs="Arial" w:eastAsia="Arial" w:hAnsi="Arial"/>
          <w:sz w:val="16"/>
          <w:szCs w:val="16"/>
          <w:color w:val="auto"/>
        </w:rPr>
      </w:pPr>
    </w:p>
    <w:p>
      <w:pPr>
        <w:ind w:right="780" w:firstLine="656"/>
        <w:spacing w:after="0" w:line="277" w:lineRule="auto"/>
        <w:tabs>
          <w:tab w:leader="none" w:pos="127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Preemptive Rights</w:t>
      </w:r>
      <w:r>
        <w:rPr>
          <w:rFonts w:ascii="Arial" w:cs="Arial" w:eastAsia="Arial" w:hAnsi="Arial"/>
          <w:sz w:val="18"/>
          <w:szCs w:val="18"/>
          <w:color w:val="auto"/>
        </w:rPr>
        <w:t>. No Person, including, without limitation, any Partner or Assignee, shall have any preemptive, preferential, participation or similar right or rights to subscribe for or acquire any Partnership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Additional Funds and Capital Contributions.</w:t>
      </w:r>
    </w:p>
    <w:p>
      <w:pPr>
        <w:sectPr>
          <w:pgSz w:w="11900" w:h="16838" w:orient="portrait"/>
          <w:cols w:equalWidth="0" w:num="1">
            <w:col w:w="11420"/>
          </w:cols>
          <w:pgMar w:left="240" w:top="125" w:right="239" w:bottom="77" w:gutter="0" w:footer="0" w:header="0"/>
        </w:sectPr>
      </w:pPr>
    </w:p>
    <w:bookmarkStart w:id="17" w:name="page18"/>
    <w:bookmarkEnd w:id="17"/>
    <w:p>
      <w:pPr>
        <w:jc w:val="both"/>
        <w:ind w:right="80" w:firstLine="656"/>
        <w:spacing w:after="0" w:line="279" w:lineRule="auto"/>
        <w:tabs>
          <w:tab w:leader="none" w:pos="128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General Partner may, at any time and from time to time, determine that the Partnership requires additional funds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Funds</w:t>
      </w:r>
      <w:r>
        <w:rPr>
          <w:rFonts w:ascii="Arial" w:cs="Arial" w:eastAsia="Arial" w:hAnsi="Arial"/>
          <w:sz w:val="17"/>
          <w:szCs w:val="17"/>
          <w:color w:val="auto"/>
        </w:rPr>
        <w:t xml:space="preserve">”) for the acquisition or development of additional Properties, for the redemption of Partnership Units or for such other purposes as the General Partner may determine in its sole and absolute discretion. Additional Funds may be obtained by the Partnership, at the election of the General Partner, in any manner provided in, and in accordance with, the terms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without the approval of any Limited Partners.</w:t>
      </w:r>
    </w:p>
    <w:p>
      <w:pPr>
        <w:spacing w:after="0" w:line="171" w:lineRule="exact"/>
        <w:rPr>
          <w:rFonts w:ascii="Arial" w:cs="Arial" w:eastAsia="Arial" w:hAnsi="Arial"/>
          <w:sz w:val="17"/>
          <w:szCs w:val="17"/>
          <w:color w:val="auto"/>
        </w:rPr>
      </w:pPr>
    </w:p>
    <w:p>
      <w:pPr>
        <w:ind w:right="120" w:firstLine="656"/>
        <w:spacing w:after="0" w:line="312" w:lineRule="auto"/>
        <w:tabs>
          <w:tab w:leader="none" w:pos="127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above) in consideration therefor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and the Percentage Interests of the General Partner and the Limited Partners shall be adjusted to reflect the issuance of such additional Partnership Units.</w:t>
      </w:r>
    </w:p>
    <w:p>
      <w:pPr>
        <w:spacing w:after="0" w:line="248" w:lineRule="exact"/>
        <w:rPr>
          <w:sz w:val="20"/>
          <w:szCs w:val="20"/>
          <w:color w:val="auto"/>
        </w:rPr>
      </w:pPr>
    </w:p>
    <w:p>
      <w:pPr>
        <w:ind w:right="140" w:firstLine="656"/>
        <w:spacing w:after="0" w:line="257" w:lineRule="auto"/>
        <w:tabs>
          <w:tab w:leader="none" w:pos="127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Loans by Third Parties</w:t>
      </w:r>
      <w:r>
        <w:rPr>
          <w:rFonts w:ascii="Arial" w:cs="Arial" w:eastAsia="Arial" w:hAnsi="Arial"/>
          <w:sz w:val="18"/>
          <w:szCs w:val="18"/>
          <w:color w:val="auto"/>
        </w:rPr>
        <w:t xml:space="preserve">. The General Partner, on behalf of the Partnership, may obtain any Additional Funds by causing the Partnership to incur Debt to any Person upon such terms as the General Partner determines appropriate, including making such Debt convertible, redeemable or exchangeable for Partnership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Partnership shall not incur any such Debt if (i) a breach, violation or default of such Debt would be deemed to occur by virtue of the Transfer by any Limited Partner of any Partnership Interest or (ii) such Debt is recourse to any Partner (unless the Partner otherwise agrees).</w:t>
      </w:r>
    </w:p>
    <w:p>
      <w:pPr>
        <w:spacing w:after="0" w:line="188" w:lineRule="exact"/>
        <w:rPr>
          <w:rFonts w:ascii="Arial" w:cs="Arial" w:eastAsia="Arial" w:hAnsi="Arial"/>
          <w:sz w:val="18"/>
          <w:szCs w:val="18"/>
          <w:color w:val="auto"/>
        </w:rPr>
      </w:pPr>
    </w:p>
    <w:p>
      <w:pPr>
        <w:ind w:right="80" w:firstLine="656"/>
        <w:spacing w:after="0" w:line="291" w:lineRule="auto"/>
        <w:tabs>
          <w:tab w:leader="none" w:pos="128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General Partner/Parent Loans</w:t>
      </w:r>
      <w:r>
        <w:rPr>
          <w:rFonts w:ascii="Arial" w:cs="Arial" w:eastAsia="Arial" w:hAnsi="Arial"/>
          <w:sz w:val="16"/>
          <w:szCs w:val="16"/>
          <w:color w:val="auto"/>
        </w:rPr>
        <w:t>. The General Partner and/or the Parent, as the case may be, on behalf of the Partnership, may obtain any Additional Funds by causing the Partnership to incur Debt with the General Partner and/or the Parent, as the case may be (each, a “</w:t>
      </w:r>
      <w:r>
        <w:rPr>
          <w:rFonts w:ascii="Arial" w:cs="Arial" w:eastAsia="Arial" w:hAnsi="Arial"/>
          <w:sz w:val="16"/>
          <w:szCs w:val="16"/>
          <w:u w:val="single" w:color="auto"/>
          <w:color w:val="auto"/>
        </w:rPr>
        <w:t>General Partner Loan</w:t>
      </w:r>
      <w:r>
        <w:rPr>
          <w:rFonts w:ascii="Arial" w:cs="Arial" w:eastAsia="Arial" w:hAnsi="Arial"/>
          <w:sz w:val="16"/>
          <w:szCs w:val="16"/>
          <w:color w:val="auto"/>
        </w:rPr>
        <w:t>”), if</w:t>
      </w:r>
    </w:p>
    <w:p>
      <w:pPr>
        <w:ind w:right="20" w:firstLine="8"/>
        <w:spacing w:after="0" w:line="290"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such Debt is, to the extent permitted by law, on substantially the same terms and conditions (including interest rate, repayment schedule, and conversion, redemption, repurchase and exchange rights) as Funding Debt incurred by the General Partner and/or the Parent, as the case may be, the net proceeds of which are loaned to the Partnership to provide such Additional Funds or (ii) such Debt is on terms and conditions no less favorable to the Partnership than would be available to the Partnership from any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shall not incur any such Debt if (a) a breach, violation or default of such Debt would be deemed to occur by virtue of the Transfer by any Limited Partner of any Partnership Interest or (b) such Debt is recourse to any Partner and/or the Parent, as the case may be (unless the Partner and/or the Parent, as the case may be, otherwise agrees).</w:t>
      </w:r>
    </w:p>
    <w:p>
      <w:pPr>
        <w:spacing w:after="0" w:line="164" w:lineRule="exact"/>
        <w:rPr>
          <w:rFonts w:ascii="Arial" w:cs="Arial" w:eastAsia="Arial" w:hAnsi="Arial"/>
          <w:sz w:val="16"/>
          <w:szCs w:val="16"/>
          <w:color w:val="auto"/>
        </w:rPr>
      </w:pPr>
    </w:p>
    <w:p>
      <w:pPr>
        <w:ind w:right="20" w:firstLine="656"/>
        <w:spacing w:after="0" w:line="28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Issuance of Securities by the Parent</w:t>
      </w:r>
      <w:r>
        <w:rPr>
          <w:rFonts w:ascii="Arial" w:cs="Arial" w:eastAsia="Arial" w:hAnsi="Arial"/>
          <w:sz w:val="16"/>
          <w:szCs w:val="16"/>
          <w:color w:val="auto"/>
        </w:rPr>
        <w:t xml:space="preserve">. The Parent shall not issue any additional REIT Shares, Contingent Conversion Shares, Preferred Shares, Junior Shares or New Securities unless the Parent contributes directly or indirectly the cash proceeds or other consideration, if any, received from the issuance of such additional REIT Shares, Contingent Conversion Shares, Preferred Shares, Junior Shares or New Securities, as the case may be, and from the exercise of the rights contained in any such additional New Securities, to the Partnership in exchange for (x) in the case of an issuance of REIT Shares, Partnership Units, (y) in the case of an issuance of Contingent Conversion Shares, Contingent Conversion Units or (z) in the case of an issuance of Preferred Shares, Junior Shares or New Securities, Partnership Units with designations, preferences and other rights, terms and provisions that are substantially the same as the designations, preferences and other rights, terms and provisions of such Contingent Conversion Shares, Preferred Shares, Junior Shares or New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the Parent may issue REIT Shares, Contingent Conversion Shares, Preferred Shares, Junior Shares or New Securities (a) pursuant to </w:t>
      </w:r>
      <w:r>
        <w:rPr>
          <w:rFonts w:ascii="Arial" w:cs="Arial" w:eastAsia="Arial" w:hAnsi="Arial"/>
          <w:sz w:val="16"/>
          <w:szCs w:val="16"/>
          <w:u w:val="single" w:color="auto"/>
          <w:color w:val="auto"/>
        </w:rPr>
        <w:t>Section 4.5, 8.6.B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16.4</w:t>
      </w:r>
      <w:r>
        <w:rPr>
          <w:rFonts w:ascii="Arial" w:cs="Arial" w:eastAsia="Arial" w:hAnsi="Arial"/>
          <w:sz w:val="16"/>
          <w:szCs w:val="16"/>
          <w:color w:val="auto"/>
        </w:rPr>
        <w:t xml:space="preserve"> hereof, (b) pursuant to a dividend or distribution (including any stock split) of REIT Shares, Contingent Conversion Shares, Preferred Shares, Junior Shares or New Securities to all of the holders of REIT Shares, Contingent Conversion Shares, Preferred Shares, Junior Shares or New Securities, as the case may be, (c) upon a conversion, redemption or exchange of Preferred Shares, (d) upon a conversion of Junior Shares into REIT Shares, (e) upon a conversion, redemption, exchange or exercise of Contingent Conversion Shares into REIT Shares,</w:t>
      </w:r>
    </w:p>
    <w:p>
      <w:pPr>
        <w:spacing w:after="0" w:line="3" w:lineRule="exact"/>
        <w:rPr>
          <w:rFonts w:ascii="Arial" w:cs="Arial" w:eastAsia="Arial" w:hAnsi="Arial"/>
          <w:sz w:val="16"/>
          <w:szCs w:val="16"/>
          <w:color w:val="auto"/>
        </w:rPr>
      </w:pPr>
    </w:p>
    <w:p>
      <w:pPr>
        <w:ind w:firstLine="8"/>
        <w:spacing w:after="0" w:line="290" w:lineRule="auto"/>
        <w:tabs>
          <w:tab w:leader="none" w:pos="2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a conversion, redemption, exchange or exercise of New Securities or (g) pursuant to share grants or awards made pursuant to any equity incentive plan of the Parent (including the Parent’s 2004 Long Term Incentive Compensation Plan) . In the event of any issuance of additional REIT Shares, Contingent Conversion Shares, Preferred Shares, Junior Shares or New Securities by the Parent, and the direct or indirect contribution to the Partnership, by the Parent, of the cash proceeds or other consideration received from such issuance, the Partnership shall pay the Parent’s expenses associated with such issuance, including any underwriting discounts or commissions (it being understood that payment of some or all of such expenses may be made by the Parent on behalf of the Partnership out of the gross proceeds of such issuance prior to the direct or indirect contribution of such proceeds by the Parent to the Partnership).</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color w:val="auto"/>
        </w:rPr>
        <w:t>Stock Option Plan.</w:t>
      </w:r>
    </w:p>
    <w:p>
      <w:pPr>
        <w:spacing w:after="0" w:line="229" w:lineRule="exact"/>
        <w:rPr>
          <w:sz w:val="20"/>
          <w:szCs w:val="20"/>
          <w:color w:val="auto"/>
        </w:rPr>
      </w:pPr>
    </w:p>
    <w:p>
      <w:pPr>
        <w:ind w:right="100" w:firstLine="656"/>
        <w:spacing w:after="0" w:line="277" w:lineRule="auto"/>
        <w:tabs>
          <w:tab w:leader="none" w:pos="128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Options Granted to Company Employees and Independent Directors</w:t>
      </w:r>
      <w:r>
        <w:rPr>
          <w:rFonts w:ascii="Arial" w:cs="Arial" w:eastAsia="Arial" w:hAnsi="Arial"/>
          <w:sz w:val="18"/>
          <w:szCs w:val="18"/>
          <w:color w:val="auto"/>
        </w:rPr>
        <w:t>. If at any time or from time to time, in connection with a Stock Option Plan, a stock option granted to a Company Employee or Outside Director is duly exercised: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1305"/>
        <w:spacing w:after="0" w:line="342" w:lineRule="auto"/>
        <w:tabs>
          <w:tab w:leader="none" w:pos="1925"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Parent shall, as soon as practicable after such exercise, make or cause to be made directly or indirectly a Capital Contribution to the Partnership in an amount equal to the exercise price paid to the Parent by such exercising party in connection with the exercise of such stock option.</w:t>
      </w:r>
    </w:p>
    <w:p>
      <w:pPr>
        <w:spacing w:after="0" w:line="123" w:lineRule="exact"/>
        <w:rPr>
          <w:rFonts w:ascii="Arial" w:cs="Arial" w:eastAsia="Arial" w:hAnsi="Arial"/>
          <w:sz w:val="16"/>
          <w:szCs w:val="16"/>
          <w:color w:val="auto"/>
        </w:rPr>
      </w:pPr>
    </w:p>
    <w:p>
      <w:pPr>
        <w:ind w:right="100" w:firstLine="1305"/>
        <w:spacing w:after="0" w:line="259" w:lineRule="auto"/>
        <w:tabs>
          <w:tab w:leader="none" w:pos="19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Notwithstanding the amount of the Capital Contribution actually made pursuant to </w:t>
      </w:r>
      <w:r>
        <w:rPr>
          <w:rFonts w:ascii="Arial" w:cs="Arial" w:eastAsia="Arial" w:hAnsi="Arial"/>
          <w:sz w:val="18"/>
          <w:szCs w:val="18"/>
          <w:u w:val="single" w:color="auto"/>
          <w:color w:val="auto"/>
        </w:rPr>
        <w:t>Section 4.5.A(i)</w:t>
      </w:r>
      <w:r>
        <w:rPr>
          <w:rFonts w:ascii="Arial" w:cs="Arial" w:eastAsia="Arial" w:hAnsi="Arial"/>
          <w:sz w:val="18"/>
          <w:szCs w:val="18"/>
          <w:color w:val="auto"/>
        </w:rPr>
        <w:t xml:space="preserve"> hereof, the Parent shall be deemed to have contributed directly or indirectly to the Partnership, as a Capital Contribution, in consideration of an additional Limited Partner Interest (expressed in and as additional Partnership Units), an amount equal to the Value of a REIT Share as of the date of exercise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REIT Shares then being issued in connection with the exercise of such stock option.</w:t>
      </w:r>
    </w:p>
    <w:p>
      <w:pPr>
        <w:spacing w:after="0" w:line="186" w:lineRule="exact"/>
        <w:rPr>
          <w:rFonts w:ascii="Arial" w:cs="Arial" w:eastAsia="Arial" w:hAnsi="Arial"/>
          <w:sz w:val="18"/>
          <w:szCs w:val="18"/>
          <w:color w:val="auto"/>
        </w:rPr>
      </w:pPr>
    </w:p>
    <w:p>
      <w:pPr>
        <w:ind w:right="340" w:firstLine="1305"/>
        <w:spacing w:after="0" w:line="277" w:lineRule="auto"/>
        <w:tabs>
          <w:tab w:leader="none" w:pos="19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equitable Percentage Interest adjustment shall be made in which the General Partner shall be treated as having made a cash contribution equal to the amount described in </w:t>
      </w:r>
      <w:r>
        <w:rPr>
          <w:rFonts w:ascii="Arial" w:cs="Arial" w:eastAsia="Arial" w:hAnsi="Arial"/>
          <w:sz w:val="18"/>
          <w:szCs w:val="18"/>
          <w:u w:val="single" w:color="auto"/>
          <w:color w:val="auto"/>
        </w:rPr>
        <w:t>Section 4.5.A(ii)</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500" w:firstLine="656"/>
        <w:spacing w:after="0" w:line="277" w:lineRule="auto"/>
        <w:tabs>
          <w:tab w:leader="none" w:pos="127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Special Valuation Rule</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4.5</w:t>
      </w:r>
      <w:r>
        <w:rPr>
          <w:rFonts w:ascii="Arial" w:cs="Arial" w:eastAsia="Arial" w:hAnsi="Arial"/>
          <w:sz w:val="18"/>
          <w:szCs w:val="18"/>
          <w:color w:val="auto"/>
        </w:rPr>
        <w:t>, in determining the Value of a REIT Share, only the trading date immediately preceding the exercise of the relevant stock option under the Stock Option Plan shall be considered.</w:t>
      </w:r>
    </w:p>
    <w:p>
      <w:pPr>
        <w:sectPr>
          <w:pgSz w:w="11900" w:h="16838" w:orient="portrait"/>
          <w:cols w:equalWidth="0" w:num="1">
            <w:col w:w="11420"/>
          </w:cols>
          <w:pgMar w:left="240" w:top="125" w:right="239" w:bottom="139" w:gutter="0" w:footer="0" w:header="0"/>
        </w:sectPr>
      </w:pPr>
    </w:p>
    <w:bookmarkStart w:id="18" w:name="page19"/>
    <w:bookmarkEnd w:id="18"/>
    <w:p>
      <w:pPr>
        <w:ind w:right="80" w:firstLine="656"/>
        <w:spacing w:after="0" w:line="255" w:lineRule="auto"/>
        <w:tabs>
          <w:tab w:leader="none" w:pos="12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Future Stock Incentive Plans</w:t>
      </w:r>
      <w:r>
        <w:rPr>
          <w:rFonts w:ascii="Arial" w:cs="Arial" w:eastAsia="Arial" w:hAnsi="Arial"/>
          <w:sz w:val="18"/>
          <w:szCs w:val="18"/>
          <w:color w:val="auto"/>
        </w:rPr>
        <w:t xml:space="preserve">. Nothing in this Agreement shall be construed or applied to preclude or restrain the Parent from adopting, modifying or terminating stock incentive plans, including any Stock Option Plan, for the benefit of employees, directors or other business associates of the Parent, the Partnership or any of their Affiliates. The Limited Partners acknowledge and agree that, in the event that any such plan is adopted, modified or terminated by the Parent, amendments to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may become necessary or advisable and that any approval or consent of the Limited Partners required pursuant to the terms of this Agreement in order to effect any such amendments requested by the General Partner shall not be unreasonably withheld or delayed.</w:t>
      </w:r>
    </w:p>
    <w:p>
      <w:pPr>
        <w:spacing w:after="0" w:line="189"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Section 4.6 No Interest; No Return</w:t>
      </w:r>
      <w:r>
        <w:rPr>
          <w:rFonts w:ascii="Arial" w:cs="Arial" w:eastAsia="Arial" w:hAnsi="Arial"/>
          <w:sz w:val="17"/>
          <w:szCs w:val="17"/>
          <w:color w:val="auto"/>
        </w:rPr>
        <w:t>. No Partner shall be entitled to interest on its Capital Contribution or on such Partner’s Capital Account.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or by law, no Partner shall have any right to demand or receive the return of its Capital Contribution from the Partnership.</w:t>
      </w:r>
    </w:p>
    <w:p>
      <w:pPr>
        <w:spacing w:after="0" w:line="1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color w:val="auto"/>
        </w:rPr>
        <w:t>Conversion or Redemption of Contingent Conversion Units.</w:t>
      </w:r>
    </w:p>
    <w:p>
      <w:pPr>
        <w:spacing w:after="0" w:line="229" w:lineRule="exact"/>
        <w:rPr>
          <w:sz w:val="20"/>
          <w:szCs w:val="20"/>
          <w:color w:val="auto"/>
        </w:rPr>
      </w:pPr>
    </w:p>
    <w:p>
      <w:pPr>
        <w:ind w:firstLine="656"/>
        <w:spacing w:after="0" w:line="255" w:lineRule="auto"/>
        <w:tabs>
          <w:tab w:leader="none" w:pos="1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provided in the next sentence, the holders of Contingent Conversion Units shall not have any voting rights. So long as any Contingent Conversion Units are outstanding, the Partnership shall not, without the affirmative vote of the holders of at least two-thirds of the Contingent Conversion Units outstanding at the time, given in person or by proxy, either in writing or at a meeting, amend, alter or repeal the provisions of this Agreement, whether by merger, consolidation or otherwise (an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so as to materially and adversely affect any right, preference, privilege or voting power of the Contingent Conversion Units;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the occurrence of any Event, so long as the Contingent Conversion Units remain outstanding with the terms thereof materially unchanged, the occurrence of any such Event shall not be deemed to materially and adversely affect such rights, preferences, privileges or voting powers of the Contingent Conversion Units.</w:t>
      </w:r>
    </w:p>
    <w:p>
      <w:pPr>
        <w:spacing w:after="0" w:line="189" w:lineRule="exact"/>
        <w:rPr>
          <w:rFonts w:ascii="Arial" w:cs="Arial" w:eastAsia="Arial" w:hAnsi="Arial"/>
          <w:sz w:val="18"/>
          <w:szCs w:val="18"/>
          <w:color w:val="auto"/>
        </w:rPr>
      </w:pPr>
    </w:p>
    <w:p>
      <w:pPr>
        <w:ind w:left="1280" w:hanging="624"/>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holders of Contingent Conversion Units shall not be entitled to receive any distributions in respect of their Contingent Conversion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Units.</w:t>
      </w:r>
    </w:p>
    <w:p>
      <w:pPr>
        <w:spacing w:after="0" w:line="210" w:lineRule="exact"/>
        <w:rPr>
          <w:rFonts w:ascii="Arial" w:cs="Arial" w:eastAsia="Arial" w:hAnsi="Arial"/>
          <w:sz w:val="17"/>
          <w:szCs w:val="17"/>
          <w:color w:val="auto"/>
        </w:rPr>
      </w:pPr>
    </w:p>
    <w:p>
      <w:pPr>
        <w:ind w:right="100" w:firstLine="656"/>
        <w:spacing w:after="0" w:line="270" w:lineRule="auto"/>
        <w:tabs>
          <w:tab w:leader="none" w:pos="12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Within 30 days after the end of each quarter beginning with the quarter ending March 30, 2006 and ending with the quarter ending December 31, 2008, the Parent shall calculate the Lease-Up NOI over the 12-month period ending in such quarter (each such 12-month period being referred to as a “</w:t>
      </w:r>
      <w:r>
        <w:rPr>
          <w:rFonts w:ascii="Arial" w:cs="Arial" w:eastAsia="Arial" w:hAnsi="Arial"/>
          <w:sz w:val="17"/>
          <w:szCs w:val="17"/>
          <w:u w:val="single" w:color="auto"/>
          <w:color w:val="auto"/>
        </w:rPr>
        <w:t>Measurement Period</w:t>
      </w:r>
      <w:r>
        <w:rPr>
          <w:rFonts w:ascii="Arial" w:cs="Arial" w:eastAsia="Arial" w:hAnsi="Arial"/>
          <w:sz w:val="17"/>
          <w:szCs w:val="17"/>
          <w:color w:val="auto"/>
        </w:rPr>
        <w:t>”) and the applicable Conversion Percentage. For purposes hereof, (i) the “</w:t>
      </w:r>
      <w:r>
        <w:rPr>
          <w:rFonts w:ascii="Arial" w:cs="Arial" w:eastAsia="Arial" w:hAnsi="Arial"/>
          <w:sz w:val="17"/>
          <w:szCs w:val="17"/>
          <w:u w:val="single" w:color="auto"/>
          <w:color w:val="auto"/>
        </w:rPr>
        <w:t>Lease-Up NOI</w:t>
      </w:r>
      <w:r>
        <w:rPr>
          <w:rFonts w:ascii="Arial" w:cs="Arial" w:eastAsia="Arial" w:hAnsi="Arial"/>
          <w:sz w:val="17"/>
          <w:szCs w:val="17"/>
          <w:color w:val="auto"/>
        </w:rPr>
        <w:t xml:space="preserve">” for any Measurement Period shall equal the total revenues less the property related expenses achieved from the wholly owned early stage lease-up properties listed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subject to adjustment to take into account sales of any of the lease-up properties that occur on or prior to December 31, 2008, and (ii) the “</w:t>
      </w:r>
      <w:r>
        <w:rPr>
          <w:rFonts w:ascii="Arial" w:cs="Arial" w:eastAsia="Arial" w:hAnsi="Arial"/>
          <w:sz w:val="17"/>
          <w:szCs w:val="17"/>
          <w:u w:val="single" w:color="auto"/>
          <w:color w:val="auto"/>
        </w:rPr>
        <w:t>Conversion Percentage</w:t>
      </w:r>
      <w:r>
        <w:rPr>
          <w:rFonts w:ascii="Arial" w:cs="Arial" w:eastAsia="Arial" w:hAnsi="Arial"/>
          <w:sz w:val="17"/>
          <w:szCs w:val="17"/>
          <w:color w:val="auto"/>
        </w:rPr>
        <w:t>” shall be an amount not less than zero nor more than 100% equal to (A) a fraction, the numerator of which shall be an amount not less than zero equal to the Lease-Up NOI achieved during the Measurement Period less $5,100,000 and the denominator of which is equal to $4,600,000 less (B) the sum of all Conversion Percentages determined for all prior Measurement Periods. By way of example, if the Lease-Up NOI is $6,000,000 for the first Measurement Period and $7,000,000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Measurement Period, the Conversion Percentage shall equal approximately 20% for the first Measurement Period ($6,000,000 minus</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$5,100,000 with the remainder divided by $4,600,000) and shall equal approximately 21% for the second Measurement Period ($7,000,000 minus $5,100,000 with the remainder divided by $4,600,000 and 20% subtracted from the result 41%.). All calculations described above shall be performed by the Parent and shall be verified by the Parent’s independent accountants and reviewed and approved by a majority of the Parent’s independent directors whose decision shall be final and binding absent manifest error or fraud.</w:t>
      </w:r>
    </w:p>
    <w:p>
      <w:pPr>
        <w:spacing w:after="0" w:line="1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Within five days after the Lease-Up NOI and the Conversion Percentage have been determined for any Measurement Period in which the Conversion Percentage is greater than zero, the General Partner shall send to each holder of record of Contingent Conversion Units to the address shown on the record books of the Partnership a notice (each a “</w:t>
      </w:r>
      <w:r>
        <w:rPr>
          <w:rFonts w:ascii="Arial" w:cs="Arial" w:eastAsia="Arial" w:hAnsi="Arial"/>
          <w:sz w:val="17"/>
          <w:szCs w:val="17"/>
          <w:u w:val="single" w:color="auto"/>
          <w:color w:val="auto"/>
        </w:rPr>
        <w:t>Mandatory Conversion Notice</w:t>
      </w:r>
      <w:r>
        <w:rPr>
          <w:rFonts w:ascii="Arial" w:cs="Arial" w:eastAsia="Arial" w:hAnsi="Arial"/>
          <w:sz w:val="17"/>
          <w:szCs w:val="17"/>
          <w:color w:val="auto"/>
        </w:rPr>
        <w:t>”) setting forth the calculation of Lease-Up NOI, the Conversion Percentage in respect of such Measurement Period and the date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that Contingent Conversion Units will be converted into OP Units (which date shall be the date of the Mandatory Conversion Notice). Effective as of the Conversion Date, the number of Contingent Conversion Units held by such holder multiplied by the Conversion Percentage shall convert into OP Units. Each converted Contingent Conversion Unit shall be converted into OP Units at the conversion rate of one OP Unit for each converted Contingent Conversion Unit, subject to adjustment as determined in good faith by the General Partner to prevent dilution or enlargement of the conversion rights of the holders of the Contingent Conversion Unit in the event that the Partnership (A) makes a distribution on its OP Units in OP Units, (B) subdivides its outstanding OP Units into a greater number of units or (C) combines its outstanding OP Units into a smaller number of OP Units. Any such adjustment made pursuant to the preceding sentence will become effective immediately after the record date in the case of a distribution, and will become effective immediately after the effective date in the case of a subdivision or combination. If such distribution is declared but is not paid or made, the conversion rate then in effect will be appropriately readjusted; however, a readjustment will not affect any conversion which takes place before the readjustment. Whenever the conversion rate for the Contingent Conversion Units is adjusted, the General Partner will promptly send each holder of record of Contingent Conversion Units to the address shown on the record books of the Partnership a notice of the adjustment setting forth the adjusted conversion rate and the date on which the adjustment becomes effective and containing a brief description of the events which caused the adjustment.</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For purposes of this calculation, in the event that any property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is sold on or prior to December 31, 2008, in lieu of the actual net operating income derived from such property for the 12-month period ended on the measurement date immediately preceding such sale and in each subsequent 12-month Measurement Period, the Lease-Up NOI from such property for each period shall be equal to the sale price for such property multiplied by 8% and additional Contingent Conversion Units shall be immediately converted into OP Units to give effect to such recalculation to give effect to such provision. The sale of any property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while any Contingent Conversion Units remain outstanding shall be approved by a majority of the Parent’s independent directors.</w:t>
      </w:r>
    </w:p>
    <w:p>
      <w:pPr>
        <w:spacing w:after="0" w:line="193" w:lineRule="exact"/>
        <w:rPr>
          <w:sz w:val="20"/>
          <w:szCs w:val="20"/>
          <w:color w:val="auto"/>
        </w:rPr>
      </w:pPr>
    </w:p>
    <w:p>
      <w:pPr>
        <w:ind w:right="100" w:firstLine="656"/>
        <w:spacing w:after="0" w:line="255" w:lineRule="auto"/>
        <w:tabs>
          <w:tab w:leader="none" w:pos="1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there is a reclassification or change of outstanding OP Units (other than as a result of a subdivision or combination), or a merger or consolidation of the Partnership with any other entity that results in a reclassification, change, conversion, exchange or cancellation of outstanding OP Units, or a sale or transfer of all or substantially all of the assets of the Partnership, upon any subsequent conversion of Contingent Conversion Units each holder of Contingent Conversion Units will be entitled to receive the kind and amount of securities, cash and other property which the holder would have received if the Contingent Conversion Units had been converted into OP Units immediately before the first of those events and had retained all the securities, cash and other assets received as a result of all those events.</w:t>
      </w:r>
    </w:p>
    <w:p>
      <w:pPr>
        <w:sectPr>
          <w:pgSz w:w="11900" w:h="16838" w:orient="portrait"/>
          <w:cols w:equalWidth="0" w:num="1">
            <w:col w:w="11420"/>
          </w:cols>
          <w:pgMar w:left="240" w:top="125" w:right="239" w:bottom="40" w:gutter="0" w:footer="0" w:header="0"/>
        </w:sectPr>
      </w:pPr>
    </w:p>
    <w:bookmarkStart w:id="19" w:name="page20"/>
    <w:bookmarkEnd w:id="19"/>
    <w:p>
      <w:pPr>
        <w:ind w:firstLine="656"/>
        <w:spacing w:after="0" w:line="272"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Effective on each Conversion Date, the General Partner shall amend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appropriate to record the conversion of Contingent Conversion Units being converted on such Conversion Date. The Person in whose name OP Units (or other Partnership Units) are to be issued upon a conversion will be deemed to have become the holder of record of the OP Units (or other Partnership Units) as of the Conversion Date. All OP Units (or other Partnership Units) issued upon conversion of Contingent Conversion Units will upon issuance be duly and validly issued and fully paid OP Units, not subject to any liens and charges created by the Partnership nor subject to any preemptive rights. Effective on the Conversion Date, the converted Contingent Conversion Units will no longer be deemed to be outstanding and all rights of the holder with respect to those Contingent Conversion Units will immediately terminate, except the right to receive the OP Units, cash or other assets to be issued as a result of the conversion.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656"/>
        <w:spacing w:after="0" w:line="277" w:lineRule="auto"/>
        <w:tabs>
          <w:tab w:leader="none" w:pos="12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any such conversion, no fractional interests in OP Units shall be issued and instead the number of OP Units shall be rounded upward to the next whole number.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remaining outstanding Contingent Conversion Units not converted in respect of the Measurement Period ended on December 31, 2008,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 be cancelled.</w:t>
      </w:r>
    </w:p>
    <w:p>
      <w:pPr>
        <w:spacing w:after="0" w:line="210" w:lineRule="exact"/>
        <w:rPr>
          <w:rFonts w:ascii="Arial" w:cs="Arial" w:eastAsia="Arial" w:hAnsi="Arial"/>
          <w:sz w:val="16"/>
          <w:szCs w:val="16"/>
          <w:color w:val="auto"/>
        </w:rPr>
      </w:pPr>
    </w:p>
    <w:p>
      <w:pPr>
        <w:ind w:firstLine="656"/>
        <w:spacing w:after="0" w:line="308" w:lineRule="auto"/>
        <w:tabs>
          <w:tab w:leader="none" w:pos="128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From and after the initial issuance of Contingent Conversion Units, no additional Contingent Conversion Units shall be issued or sold by the Partnership, except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holders of record of the Contingent Conversion Units immediately prior to such issuance or sale.</w:t>
      </w:r>
    </w:p>
    <w:p>
      <w:pPr>
        <w:spacing w:after="0" w:line="146" w:lineRule="exact"/>
        <w:rPr>
          <w:rFonts w:ascii="Arial" w:cs="Arial" w:eastAsia="Arial" w:hAnsi="Arial"/>
          <w:sz w:val="17"/>
          <w:szCs w:val="17"/>
          <w:color w:val="auto"/>
        </w:rPr>
      </w:pPr>
    </w:p>
    <w:p>
      <w:pPr>
        <w:ind w:right="380" w:firstLine="656"/>
        <w:spacing w:after="0" w:line="277" w:lineRule="auto"/>
        <w:tabs>
          <w:tab w:leader="none" w:pos="12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Contingent Conversion Units may only be transferred by a holder of Contingent Conversion Units in connection with a concurrent transfer of OP Units to the same transferee.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Section 4.8 Other Contribution Provisions</w:t>
      </w:r>
      <w:r>
        <w:rPr>
          <w:rFonts w:ascii="Arial" w:cs="Arial" w:eastAsia="Arial" w:hAnsi="Arial"/>
          <w:sz w:val="17"/>
          <w:szCs w:val="17"/>
          <w:color w:val="auto"/>
        </w:rPr>
        <w:t>. In the event that any Partner is admitted to the Partnership and is given a Capital Account in exchange for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rendered to the Partnership, unless otherwise determined by the General Partner in its sole and absolute discretion, such transaction shall be treated by the Partnership and the affected Partner as if the Partnership had compensated such partner in cash and such Partner had contributed the cash to the capital of the Partnership. In addition, with the consent of the General Partner, one or more Limited Partners may enter into contribution agreements with the Partnership which have the effect of providing a guarantee of certain obligations of the Partnership.</w:t>
      </w:r>
    </w:p>
    <w:p>
      <w:pPr>
        <w:spacing w:after="0" w:line="1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Section 4.9 Not Publicly Traded</w:t>
      </w:r>
      <w:r>
        <w:rPr>
          <w:rFonts w:ascii="Arial" w:cs="Arial" w:eastAsia="Arial" w:hAnsi="Arial"/>
          <w:sz w:val="18"/>
          <w:szCs w:val="18"/>
          <w:color w:val="auto"/>
        </w:rPr>
        <w:t>. The General Partner, on behalf of the Partnership, shall use its best efforts not to take any action which would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Partnership being a “publicly traded partnership” under and as such term is defined in Code Section 7704(b).</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Section 5.1 Requirement and Characterization of Distributions</w:t>
      </w:r>
      <w:r>
        <w:rPr>
          <w:rFonts w:ascii="Arial" w:cs="Arial" w:eastAsia="Arial" w:hAnsi="Arial"/>
          <w:sz w:val="16"/>
          <w:szCs w:val="16"/>
          <w:color w:val="auto"/>
        </w:rPr>
        <w:t>. Subject to the terms of any Partnership Unit Designation, the General Partner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cause the Partnership to distribute at least quarterly all Available Cash generated by the Partnership during such quarter to the Holders of Partnership Units on such Partnership Record Date with respect to such quarter: (1) first, to Holders of Series A Preferred Units, pro rata in proportion to their respective Percentage Interests on such Partnership Record Date, in an amount equal to the Series A Preferred Priority Return (as further set forth in Section 16.2(A) of this Agreement), (2) second, with respect to any Partnership Interests that are entitled to any preference in distribution (other than Partnership Interests represented by Series A Preferred Units), in accordance with the rights of such class(es) of Partnership Interests (and, within such class(es),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proportion to the respective Percentage Interests on such Partnership Record Date) and (3) third, with respect to any Partnership Interests that are not entitled to any preference in distribution, in accordance with the rights of such class of Partnership Interests (and, within such class,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proportion to the respective Percentage Interests on such Partnership Record Date). Distributions payable with respect to any Partnership Units that were not outstanding during the entire quarterly period in respect of which any distribution is made shall be prorated based on the portion of the period that such units were outstanding. The General Partner in its sole and absolute discretion may distribute to the Holders Available Cash on a more frequent basis and provide for an appropriate Partnership Record Date. Notwithstanding anything herein to the contrary, the General Partner shall make such reasonable efforts, as determined by it in its sole and absolute discretion and consistent with the Parent’s qualification as a REIT, to cause the Partnership to distribute sufficient amounts to enable the Parent to pay stockholder dividends that will (a) satisfy the requirements for its qualification as a REIT under the Code and Regulations (the “</w:t>
      </w:r>
      <w:r>
        <w:rPr>
          <w:rFonts w:ascii="Arial" w:cs="Arial" w:eastAsia="Arial" w:hAnsi="Arial"/>
          <w:sz w:val="16"/>
          <w:szCs w:val="16"/>
          <w:u w:val="single" w:color="auto"/>
          <w:color w:val="auto"/>
        </w:rPr>
        <w:t>REIT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Requirements</w:t>
      </w:r>
      <w:r>
        <w:rPr>
          <w:rFonts w:ascii="Arial" w:cs="Arial" w:eastAsia="Arial" w:hAnsi="Arial"/>
          <w:sz w:val="16"/>
          <w:szCs w:val="16"/>
          <w:color w:val="auto"/>
        </w:rPr>
        <w:t>”) and (b) except to the extent otherwise determined by the Parent, in its sole and absolute discretion, avoid any federal income or excise tax liability of the Parent. Contingent Conversion Units shall not be entitled to distributions.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Section 5.2 Distributions In-Kind. </w:t>
      </w:r>
      <w:r>
        <w:rPr>
          <w:rFonts w:ascii="Arial" w:cs="Arial" w:eastAsia="Arial" w:hAnsi="Arial"/>
          <w:sz w:val="16"/>
          <w:szCs w:val="16"/>
          <w:color w:val="auto"/>
        </w:rPr>
        <w:t>No right is given to any Partner to demand and receive property other than cash as provided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General Partner may determine, in its sole and absolute discretion, to make a distribution in-kind of Partnership assets to the Holders, and such assets shall be distributed in such a fashion as to ensure that the fair market value is distributed and allocated in accordance with </w:t>
      </w:r>
      <w:r>
        <w:rPr>
          <w:rFonts w:ascii="Arial" w:cs="Arial" w:eastAsia="Arial" w:hAnsi="Arial"/>
          <w:sz w:val="16"/>
          <w:szCs w:val="16"/>
          <w:u w:val="single" w:color="auto"/>
          <w:color w:val="auto"/>
        </w:rPr>
        <w:t>Articles 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xml:space="preserve"> hereof.</w:t>
      </w:r>
    </w:p>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Section 5.3 Amounts Withheld</w:t>
      </w:r>
      <w:r>
        <w:rPr>
          <w:rFonts w:ascii="Arial" w:cs="Arial" w:eastAsia="Arial" w:hAnsi="Arial"/>
          <w:sz w:val="18"/>
          <w:szCs w:val="18"/>
          <w:color w:val="auto"/>
        </w:rPr>
        <w:t>. All amounts withheld pursuant to the Code or any provisions of any state or local tax law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any allocation, payment or distribution to any Holder shall be treated as amounts paid or distributed to such Holder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for all purposes under this Agreement.</w:t>
      </w:r>
    </w:p>
    <w:p>
      <w:pPr>
        <w:spacing w:after="0" w:line="17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Section 5.4 Distributions Upon Liquidation</w:t>
      </w:r>
      <w:r>
        <w:rPr>
          <w:rFonts w:ascii="Arial" w:cs="Arial" w:eastAsia="Arial" w:hAnsi="Arial"/>
          <w:sz w:val="18"/>
          <w:szCs w:val="18"/>
          <w:color w:val="auto"/>
        </w:rPr>
        <w:t>. Notwithstanding the other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net proceeds from a Terminating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 and any other cash received or reductions in reserves made after commencement of the liquidation of the Partnership, shall be distributed to the Holders in accordance with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hereof.</w:t>
      </w:r>
    </w:p>
    <w:p>
      <w:pPr>
        <w:spacing w:after="0" w:line="17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Section 5.5 Distributions to Reflect Issuance of Additional Partnership Units</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7.3.B</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 the event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 issues additional Partnership Units pursuant to the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subject to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the General Partner is hereby authorized to make such revisions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it determines are necessary or desirable to reflect the issuance of such additional Partnership Units, including, without limitation, making preferential distributions to certain classes of Partnership Units.</w:t>
      </w:r>
    </w:p>
    <w:p>
      <w:pPr>
        <w:sectPr>
          <w:pgSz w:w="11900" w:h="16838" w:orient="portrait"/>
          <w:cols w:equalWidth="0" w:num="1">
            <w:col w:w="11400"/>
          </w:cols>
          <w:pgMar w:left="240" w:top="125" w:right="259" w:bottom="0" w:gutter="0" w:footer="0" w:header="0"/>
        </w:sectPr>
      </w:pPr>
    </w:p>
    <w:bookmarkStart w:id="20" w:name="page21"/>
    <w:bookmarkEnd w:id="20"/>
    <w:p>
      <w:pPr>
        <w:spacing w:after="0" w:line="9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Section 5.6 Restricted Distributions</w:t>
      </w:r>
      <w:r>
        <w:rPr>
          <w:rFonts w:ascii="Arial" w:cs="Arial" w:eastAsia="Arial" w:hAnsi="Arial"/>
          <w:sz w:val="18"/>
          <w:szCs w:val="18"/>
          <w:color w:val="auto"/>
        </w:rPr>
        <w:t>. Notwithstanding any provision to the contrary contained in this Agreement, neither the Partnership nor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on behalf of the Partnership, shall make a distribution to any Holder on account of its Partnership Interest or interest in Partnership Units if such distribution would violate Section 17-607 of the Act or other applicable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0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Section 6.1 Timing and Amount of Allocations of Net Income and Net Loss</w:t>
      </w:r>
      <w:r>
        <w:rPr>
          <w:rFonts w:ascii="Arial" w:cs="Arial" w:eastAsia="Arial" w:hAnsi="Arial"/>
          <w:sz w:val="17"/>
          <w:szCs w:val="17"/>
          <w:color w:val="auto"/>
        </w:rPr>
        <w:t>. Net Income and Net Loss of the Partnership shall be determined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allocated with respect to each Partnership Year of the Partnership as of the end of each such year. Except as otherwise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11.6.C</w:t>
      </w:r>
      <w:r>
        <w:rPr>
          <w:rFonts w:ascii="Arial" w:cs="Arial" w:eastAsia="Arial" w:hAnsi="Arial"/>
          <w:sz w:val="17"/>
          <w:szCs w:val="17"/>
          <w:color w:val="auto"/>
        </w:rPr>
        <w:t xml:space="preserve"> hereof, an allocation to a Holder of a share of Net Income or Net Loss shall be treated as an allocation of the same share of each item of income, gain, loss or deduction that is taken into account in computing Net Income or Net Loss.</w:t>
      </w:r>
    </w:p>
    <w:p>
      <w:pPr>
        <w:spacing w:after="0" w:line="16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General Allocations.</w:t>
      </w:r>
    </w:p>
    <w:p>
      <w:pPr>
        <w:spacing w:after="0" w:line="22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Allocations of Net Income and Net Loss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60" w:firstLine="1305"/>
        <w:spacing w:after="0" w:line="277" w:lineRule="auto"/>
        <w:tabs>
          <w:tab w:leader="none" w:pos="195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Except as otherwise provided herein, Net Income for any Partnership Year or other applicable period shall be allocated in the following order and priority:</w:t>
      </w:r>
    </w:p>
    <w:p>
      <w:pPr>
        <w:spacing w:after="0" w:line="170" w:lineRule="exact"/>
        <w:rPr>
          <w:rFonts w:ascii="Arial" w:cs="Arial" w:eastAsia="Arial" w:hAnsi="Arial"/>
          <w:sz w:val="18"/>
          <w:szCs w:val="18"/>
          <w:color w:val="auto"/>
        </w:rPr>
      </w:pPr>
    </w:p>
    <w:p>
      <w:pPr>
        <w:ind w:right="920" w:firstLine="1953"/>
        <w:spacing w:after="0" w:line="308" w:lineRule="auto"/>
        <w:tabs>
          <w:tab w:leader="none" w:pos="2614" w:val="left"/>
        </w:tabs>
        <w:numPr>
          <w:ilvl w:val="2"/>
          <w:numId w:val="33"/>
        </w:numPr>
        <w:rPr>
          <w:rFonts w:ascii="Arial" w:cs="Arial" w:eastAsia="Arial" w:hAnsi="Arial"/>
          <w:sz w:val="17"/>
          <w:szCs w:val="17"/>
          <w:color w:val="auto"/>
        </w:rPr>
      </w:pPr>
      <w:r>
        <w:rPr>
          <w:rFonts w:ascii="Arial" w:cs="Arial" w:eastAsia="Arial" w:hAnsi="Arial"/>
          <w:sz w:val="17"/>
          <w:szCs w:val="17"/>
          <w:color w:val="auto"/>
        </w:rPr>
        <w:t>First, to the General Partner until the cumulative Net Income allocated to the General Partner pursuant to this subparagraph (a)(i) equals the cumulative Net Loss allocated to the General Partner pursuant to subparagraph (b)(vi) below;</w:t>
      </w:r>
    </w:p>
    <w:p>
      <w:pPr>
        <w:spacing w:after="0" w:line="146" w:lineRule="exact"/>
        <w:rPr>
          <w:rFonts w:ascii="Arial" w:cs="Arial" w:eastAsia="Arial" w:hAnsi="Arial"/>
          <w:sz w:val="17"/>
          <w:szCs w:val="17"/>
          <w:color w:val="auto"/>
        </w:rPr>
      </w:pPr>
    </w:p>
    <w:p>
      <w:pPr>
        <w:ind w:right="20" w:firstLine="1953"/>
        <w:spacing w:after="0" w:line="312" w:lineRule="auto"/>
        <w:tabs>
          <w:tab w:leader="none" w:pos="2624"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Second, to each Obligated Partner until the cumulative Net Income allocated to such Obligated Partner pursuant to this subparagraph (a)(ii) equals the cumulative Net Loss allocated to such Obligated Partner under subparagraph (b)(v) below (and, among the Obligated Partners,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in proportion to their respective percentages of the cumulative Net Loss allocated to all Obligated Partners pursuant to subparagraph (b)(v) below);</w:t>
      </w:r>
    </w:p>
    <w:p>
      <w:pPr>
        <w:spacing w:after="0" w:line="146" w:lineRule="exact"/>
        <w:rPr>
          <w:rFonts w:ascii="Arial" w:cs="Arial" w:eastAsia="Arial" w:hAnsi="Arial"/>
          <w:sz w:val="16"/>
          <w:szCs w:val="16"/>
          <w:color w:val="auto"/>
        </w:rPr>
      </w:pPr>
    </w:p>
    <w:p>
      <w:pPr>
        <w:ind w:right="160" w:firstLine="1953"/>
        <w:spacing w:after="0" w:line="277" w:lineRule="auto"/>
        <w:tabs>
          <w:tab w:leader="none" w:pos="2633"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Third, to Holders of Series A Preferred Units until the cumulative Net Income allocated under this subparagraph (a)(iii) equals the cumulative Net Loss allocated to such Holders under subparagraph (b)(iv)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1953"/>
        <w:spacing w:after="0" w:line="277" w:lineRule="auto"/>
        <w:tabs>
          <w:tab w:leader="none" w:pos="26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Fourth, to Holders of Series A Preferred Units until each such Partnership Unit has been allocated, on a cumulative basis pursuant to this subparagraph (a)(iv), Net Income equal to the Series A Preferred Priority Return;</w:t>
      </w:r>
    </w:p>
    <w:p>
      <w:pPr>
        <w:spacing w:after="0" w:line="170" w:lineRule="exact"/>
        <w:rPr>
          <w:rFonts w:ascii="Arial" w:cs="Arial" w:eastAsia="Arial" w:hAnsi="Arial"/>
          <w:sz w:val="18"/>
          <w:szCs w:val="18"/>
          <w:color w:val="auto"/>
        </w:rPr>
      </w:pPr>
    </w:p>
    <w:p>
      <w:pPr>
        <w:ind w:firstLine="1953"/>
        <w:spacing w:after="0" w:line="264" w:lineRule="auto"/>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Fifth, to Holders of any Partnership Units that are entitled to any preference in distribution (other than Series A Preferred Units) until the cumulative Net Income allocated under this subparagraph (a)(v) equals the cumulative Net Loss allocated to such Holders under subparagraph (b)(iii);</w:t>
      </w:r>
    </w:p>
    <w:p>
      <w:pPr>
        <w:spacing w:after="0" w:line="181" w:lineRule="exact"/>
        <w:rPr>
          <w:rFonts w:ascii="Arial" w:cs="Arial" w:eastAsia="Arial" w:hAnsi="Arial"/>
          <w:sz w:val="18"/>
          <w:szCs w:val="18"/>
          <w:color w:val="auto"/>
        </w:rPr>
      </w:pPr>
    </w:p>
    <w:p>
      <w:pPr>
        <w:ind w:right="40" w:firstLine="1953"/>
        <w:spacing w:after="0" w:line="264" w:lineRule="auto"/>
        <w:tabs>
          <w:tab w:leader="none" w:pos="26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Sixth, to Holders of any Partnership Units that are entitled to any preference in distribution (other than Series A Preferred Units) until each such Partnership Unit has been allocated, on a cumulative basis pursuant to this subparagraph (a)(vi), Net Income equal to the amount of distributions which are attributable to such Partnership Units; and</w:t>
      </w:r>
    </w:p>
    <w:p>
      <w:pPr>
        <w:spacing w:after="0" w:line="181" w:lineRule="exact"/>
        <w:rPr>
          <w:rFonts w:ascii="Arial" w:cs="Arial" w:eastAsia="Arial" w:hAnsi="Arial"/>
          <w:sz w:val="18"/>
          <w:szCs w:val="18"/>
          <w:color w:val="auto"/>
        </w:rPr>
      </w:pPr>
    </w:p>
    <w:p>
      <w:pPr>
        <w:ind w:firstLine="1953"/>
        <w:spacing w:after="0" w:line="286" w:lineRule="auto"/>
        <w:tabs>
          <w:tab w:leader="none" w:pos="2619"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Thereafter, with respect to Partnership Units that are not entitled to any preference in distribution or with respect to which distributions are not limited to any preference in distribution,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each such class in accordance with the terms of such class (and, within such class,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in proportion to the respective Percentage Interests as of the last day of the period for which such allocation is being made).</w:t>
      </w:r>
    </w:p>
    <w:p>
      <w:pPr>
        <w:spacing w:after="0" w:line="165" w:lineRule="exact"/>
        <w:rPr>
          <w:rFonts w:ascii="Arial" w:cs="Arial" w:eastAsia="Arial" w:hAnsi="Arial"/>
          <w:sz w:val="17"/>
          <w:szCs w:val="17"/>
          <w:color w:val="auto"/>
        </w:rPr>
      </w:pPr>
    </w:p>
    <w:p>
      <w:pPr>
        <w:ind w:right="180" w:firstLine="1305"/>
        <w:spacing w:after="0" w:line="277" w:lineRule="auto"/>
        <w:tabs>
          <w:tab w:leader="none" w:pos="19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Net Loss</w:t>
      </w:r>
      <w:r>
        <w:rPr>
          <w:rFonts w:ascii="Arial" w:cs="Arial" w:eastAsia="Arial" w:hAnsi="Arial"/>
          <w:sz w:val="18"/>
          <w:szCs w:val="18"/>
          <w:color w:val="auto"/>
        </w:rPr>
        <w:t>. Except as otherwise provided herein, Net Loss for any Partnership Year or other applicable period shall be allocated in the following order and priority:</w:t>
      </w:r>
    </w:p>
    <w:p>
      <w:pPr>
        <w:spacing w:after="0" w:line="170" w:lineRule="exact"/>
        <w:rPr>
          <w:rFonts w:ascii="Arial" w:cs="Arial" w:eastAsia="Arial" w:hAnsi="Arial"/>
          <w:sz w:val="18"/>
          <w:szCs w:val="18"/>
          <w:color w:val="auto"/>
        </w:rPr>
      </w:pPr>
    </w:p>
    <w:p>
      <w:pPr>
        <w:ind w:right="220" w:firstLine="1953"/>
        <w:spacing w:after="0" w:line="286" w:lineRule="auto"/>
        <w:tabs>
          <w:tab w:leader="none" w:pos="2614"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First, to each Holder of Partnership Units in proportion to and to the extent of the amount by which the cumulative Net Income allocated to such Partner pursuant to subparagraph (a)(vii) above exceeds, on a cumulative basis, the sum of (a) distributions with respect to such Partnership Units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(b) Net Loss allocated to such Partner pursuant to this subparagraph (b)(i);</w:t>
      </w:r>
    </w:p>
    <w:p>
      <w:pPr>
        <w:spacing w:after="0" w:line="165" w:lineRule="exact"/>
        <w:rPr>
          <w:rFonts w:ascii="Arial" w:cs="Arial" w:eastAsia="Arial" w:hAnsi="Arial"/>
          <w:sz w:val="17"/>
          <w:szCs w:val="17"/>
          <w:color w:val="auto"/>
        </w:rPr>
      </w:pPr>
    </w:p>
    <w:p>
      <w:pPr>
        <w:ind w:firstLine="1953"/>
        <w:spacing w:after="0" w:line="270" w:lineRule="auto"/>
        <w:tabs>
          <w:tab w:leader="none" w:pos="2624"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Second, with respect to classes of Partnership Units that are not entitled to any preference in distribution or with respect to which distributions are not limited to any preference in distribution,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each such class in accordance with the terms of such class (and within such class,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proportion to the respective Percentage Interests as of the last day of the period for which such allocation is being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Net Loss shall not be allocated to any Partner pursuant to this subparagraph (b)(ii) to the extent that such allocation would cause such Partner to have an Adjusted Capital Account Deficit or increase any existing Adjusted Capital Account Deficit (determined in each case (1) by not including in the Partners’ Adjusted Capital Accounts any amount that a Partner who also holds classes of Partnership Units that are entitled to any preferences in distribution upon liquidation, by subtracting from such Partners’ Adjusted Capital Account the amount of such preferred distribution to be made upon liquidation and (2) by not including in the Partners’ Adjusted Capital Accounts any amount that a Partner is obligated to contribute to the Partnership with respect to any deficit in its Capital Account pursuant to </w:t>
      </w:r>
      <w:r>
        <w:rPr>
          <w:rFonts w:ascii="Arial" w:cs="Arial" w:eastAsia="Arial" w:hAnsi="Arial"/>
          <w:sz w:val="17"/>
          <w:szCs w:val="17"/>
          <w:u w:val="single" w:color="auto"/>
          <w:color w:val="auto"/>
        </w:rPr>
        <w:t>Section 13.2.C</w:t>
      </w:r>
      <w:r>
        <w:rPr>
          <w:rFonts w:ascii="Arial" w:cs="Arial" w:eastAsia="Arial" w:hAnsi="Arial"/>
          <w:sz w:val="17"/>
          <w:szCs w:val="17"/>
          <w:color w:val="auto"/>
        </w:rPr>
        <w:t>) at the end of such Partnership Year or other applicable period;</w:t>
      </w:r>
    </w:p>
    <w:p>
      <w:pPr>
        <w:spacing w:after="0" w:line="181" w:lineRule="exact"/>
        <w:rPr>
          <w:rFonts w:ascii="Arial" w:cs="Arial" w:eastAsia="Arial" w:hAnsi="Arial"/>
          <w:sz w:val="17"/>
          <w:szCs w:val="17"/>
          <w:color w:val="auto"/>
        </w:rPr>
      </w:pPr>
    </w:p>
    <w:p>
      <w:pPr>
        <w:ind w:firstLine="1953"/>
        <w:spacing w:after="0" w:line="255" w:lineRule="auto"/>
        <w:tabs>
          <w:tab w:leader="none" w:pos="2633"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Third, with respect to classes of Partnership Units that are entitled to any preference in distribution upon liquidation (other than Series A Preferred Units), in reverse order of the priorities of each such class (and within each such class,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proportion to their respective Percentage Interests as of the last day of the period for which such allocation is being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Net Loss shall not be allocated to any Partner pursuant to this subparagraph (b)(iii) to the extent that such allocation would cause such Partner to have an Adjusted Capital Account Deficit (or increase any existing Adjusted Capital Account Deficit) (determined in each case by not including in the Partners’ Adjusted Capital Accounts any amount that a Partner is obligated to contribute to the Partnership with respect to any deficit in its Capital Account pursuant to </w:t>
      </w:r>
      <w:r>
        <w:rPr>
          <w:rFonts w:ascii="Arial" w:cs="Arial" w:eastAsia="Arial" w:hAnsi="Arial"/>
          <w:sz w:val="18"/>
          <w:szCs w:val="18"/>
          <w:u w:val="single" w:color="auto"/>
          <w:color w:val="auto"/>
        </w:rPr>
        <w:t>Section 13.2.C</w:t>
      </w:r>
      <w:r>
        <w:rPr>
          <w:rFonts w:ascii="Arial" w:cs="Arial" w:eastAsia="Arial" w:hAnsi="Arial"/>
          <w:sz w:val="18"/>
          <w:szCs w:val="18"/>
          <w:color w:val="auto"/>
        </w:rPr>
        <w:t>) at the end of such Partnership Year or other applicable period;</w:t>
      </w:r>
    </w:p>
    <w:p>
      <w:pPr>
        <w:spacing w:after="0" w:line="189" w:lineRule="exact"/>
        <w:rPr>
          <w:rFonts w:ascii="Arial" w:cs="Arial" w:eastAsia="Arial" w:hAnsi="Arial"/>
          <w:sz w:val="18"/>
          <w:szCs w:val="18"/>
          <w:color w:val="auto"/>
        </w:rPr>
      </w:pPr>
    </w:p>
    <w:p>
      <w:pPr>
        <w:jc w:val="both"/>
        <w:ind w:right="240" w:firstLine="1953"/>
        <w:spacing w:after="0" w:line="342" w:lineRule="auto"/>
        <w:tabs>
          <w:tab w:leader="none" w:pos="26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Fourth, to Holders of Series A Preferred Units; provided that Net Loss shall not be allocated to any Partner pursuant to this subparagraph (b)(iv) to the extent that such allocation would cause such Partner to have an Adjusted Capital Account Deficit (or increase any existing</w:t>
      </w:r>
    </w:p>
    <w:p>
      <w:pPr>
        <w:sectPr>
          <w:pgSz w:w="11900" w:h="16935" w:orient="portrait"/>
          <w:cols w:equalWidth="0" w:num="1">
            <w:col w:w="11400"/>
          </w:cols>
          <w:pgMar w:left="240" w:top="121" w:right="259" w:bottom="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Adjusted Capital Account Deficit) (determined in each case by not including in the Partners’ Adjusted Capital Accounts any amount that a Partner is obligated to contribute to the Partnership with respect to any deficit in its Capital Account pursuant to Section 13.2.C) at the end of such Partnership Year or other applicable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1953"/>
        <w:spacing w:after="0" w:line="264" w:lineRule="auto"/>
        <w:tabs>
          <w:tab w:leader="none" w:pos="2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Fifth, to and among the Obligated Partners, in proportion to their respective Protected Amounts, until such time as the Obligated Partners as a group have been allocated cumulative Net Loss pursuant to this subparagraph (b)(v) equal to the aggregate Protected Amounts of all Obligated Partners; and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Thereafter, to the General Partner.</w:t>
      </w:r>
    </w:p>
    <w:p>
      <w:pPr>
        <w:spacing w:after="0" w:line="225" w:lineRule="exact"/>
        <w:rPr>
          <w:rFonts w:ascii="Arial" w:cs="Arial" w:eastAsia="Arial" w:hAnsi="Arial"/>
          <w:sz w:val="18"/>
          <w:szCs w:val="18"/>
          <w:color w:val="auto"/>
        </w:rPr>
      </w:pPr>
    </w:p>
    <w:p>
      <w:pPr>
        <w:jc w:val="both"/>
        <w:ind w:right="340" w:firstLine="656"/>
        <w:spacing w:after="0" w:line="312" w:lineRule="auto"/>
        <w:tabs>
          <w:tab w:leader="none" w:pos="131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Allocations to Reflect Issuance of Additional Partnership Units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hereof, in the event that the Partnership issues additional Partnership Units pursuant to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the General Partner is hereby authorized to make such revisions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as it determines are necessary or desirable to reflect the terms of the issuance of such additional Partnership Units.</w:t>
      </w:r>
    </w:p>
    <w:p>
      <w:pPr>
        <w:spacing w:after="0" w:line="146" w:lineRule="exact"/>
        <w:rPr>
          <w:rFonts w:ascii="Arial" w:cs="Arial" w:eastAsia="Arial" w:hAnsi="Arial"/>
          <w:sz w:val="16"/>
          <w:szCs w:val="16"/>
          <w:color w:val="auto"/>
        </w:rPr>
      </w:pPr>
    </w:p>
    <w:p>
      <w:pPr>
        <w:ind w:right="80" w:firstLine="656"/>
        <w:spacing w:after="0" w:line="286" w:lineRule="auto"/>
        <w:tabs>
          <w:tab w:leader="none" w:pos="131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Allocations in Connection with a Liquidating Event</w:t>
      </w:r>
      <w:r>
        <w:rPr>
          <w:rFonts w:ascii="Arial" w:cs="Arial" w:eastAsia="Arial" w:hAnsi="Arial"/>
          <w:sz w:val="16"/>
          <w:szCs w:val="16"/>
          <w:color w:val="auto"/>
        </w:rPr>
        <w:t xml:space="preserve">. Except as otherwise provided in Section 6.3, the allocations of Net Income and Net Loss set forth in the foregoing provisions of this Section 6.2 or, if necessary, allocations of individual items of income, gain, loss and deduction which comprise such Net Income or Net Loss, shall be adjusted to the extent necessary and to the extent possible, so as to result in the Capital Account balance of each Partner being such that distributions to the Partners pursuant to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hereof upon the occurrence of a Liquidating Event shall be made first to the Holders of Series A Preferred Units (and proportionately among such Holders) in an amount equal to the Series A Preferred Redemption Amount for each Series A Preferred Unit, and thereafter to the Holders of other Partnership Interests. If, notwithstanding such allocations, (i) the amount distributable to any Holder of Series A Preferred Units pursuant to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hereof would be less than the Series A Preferred Redemption Amount with respect to such Holder’s Series A Preferred Units, and (ii) one or more other Holders would receive a distribution pursuant to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hereof (or a distribution in excess of the Series A Preferred Redemption Amount with respect to any Holder of Series A Preferred Units), then the amounts otherwise payable to such other Holders shall instead be paid (as a guaranteed payment pursuant to Section 707(c) of the Code) to Holders of Series A Preferred Units to the extent of the shortfall in their distributions under (i) above. If less than all of the distributions to such other Holders are reallocated to Holders of Series A Preferred Units as described above, the General Partner shall have the discretion to allocate the reduction in distributions among such other Holders in a manner that is consistent with their economic rights under this Agreement. In addition, the deduction created by any such guaranteed payment to the Holders of Series A Preferred Units shall be allocated among such other Holders as reasonably determined by the General Partner.</w:t>
      </w:r>
    </w:p>
    <w:p>
      <w:pPr>
        <w:spacing w:after="0" w:line="16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color w:val="auto"/>
        </w:rPr>
        <w:t>Additional Allocation Provisions</w:t>
      </w:r>
      <w:r>
        <w:rPr>
          <w:rFonts w:ascii="Arial" w:cs="Arial" w:eastAsia="Arial" w:hAnsi="Arial"/>
          <w:sz w:val="16"/>
          <w:szCs w:val="16"/>
          <w:color w:val="auto"/>
        </w:rPr>
        <w:t>. Notwithstanding the foregoing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0" w:lineRule="auto"/>
        <w:tabs>
          <w:tab w:leader="none" w:pos="129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Tax Treatment of Conversion of Contingent Conversion Units</w:t>
      </w:r>
      <w:r>
        <w:rPr>
          <w:rFonts w:ascii="Arial" w:cs="Arial" w:eastAsia="Arial" w:hAnsi="Arial"/>
          <w:sz w:val="17"/>
          <w:szCs w:val="17"/>
          <w:color w:val="auto"/>
        </w:rPr>
        <w:t>. Upon conversion of a Contingent Conversion Unit into an OP Unit, the Company will specially allocate to the converted Partner any Net Income attributable to an adjustment of Gross Asset Values under subparagraph (b)(v) of the definition of “</w:t>
      </w:r>
      <w:r>
        <w:rPr>
          <w:rFonts w:ascii="Arial" w:cs="Arial" w:eastAsia="Arial" w:hAnsi="Arial"/>
          <w:sz w:val="17"/>
          <w:szCs w:val="17"/>
          <w:u w:val="single" w:color="auto"/>
          <w:color w:val="auto"/>
        </w:rPr>
        <w:t>Gross Asset Value</w:t>
      </w:r>
      <w:r>
        <w:rPr>
          <w:rFonts w:ascii="Arial" w:cs="Arial" w:eastAsia="Arial" w:hAnsi="Arial"/>
          <w:sz w:val="17"/>
          <w:szCs w:val="17"/>
          <w:color w:val="auto"/>
        </w:rPr>
        <w:t xml:space="preserve">” until the portion of such Partner’s Capital Account attributable to each OP Unit received upon conversion equals the Capital Account attributable to an OP Unit at the time of conversion. To the extent such allocation is insufficient to bring the portion of the Capital Account attributable to each OP Unit received upon conversion by the converting Partner up to the Capital Account attributable to an OP Unit at the time of conversion, additional items of gross income for the Partnership Year (and future Partnership Years, if necessary) will be allocated to the converted Partner as quickly as possible until the portion of such Partner’s Capital Account attributable to each OP Unit received upon conversion equals the Capital Account attributable to an OP Unit at the time of conversion. Notwithstanding the foregoing, the General Partner is hereby authorized to make such revisions to this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as it determines are necessary to cause the Parent to comply with the REIT Requirements and to prevent the Parent from being subject to any additional taxes under Code Section 857 or Code Section 4981.</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Regulatory Allocations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5" w:lineRule="auto"/>
        <w:tabs>
          <w:tab w:leader="none" w:pos="1966"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Minimum Gain Chargeback</w:t>
      </w:r>
      <w:r>
        <w:rPr>
          <w:rFonts w:ascii="Arial" w:cs="Arial" w:eastAsia="Arial" w:hAnsi="Arial"/>
          <w:sz w:val="18"/>
          <w:szCs w:val="18"/>
          <w:color w:val="auto"/>
        </w:rPr>
        <w:t xml:space="preserve">. Except as otherwise provided in Regulations Section 1.704-2(f), notwithstanding the provisions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or any other provision of this </w:t>
      </w:r>
      <w:r>
        <w:rPr>
          <w:rFonts w:ascii="Arial" w:cs="Arial" w:eastAsia="Arial" w:hAnsi="Arial"/>
          <w:sz w:val="18"/>
          <w:szCs w:val="18"/>
          <w:u w:val="single" w:color="auto"/>
          <w:color w:val="auto"/>
        </w:rPr>
        <w:t>Article VI</w:t>
      </w:r>
      <w:r>
        <w:rPr>
          <w:rFonts w:ascii="Arial" w:cs="Arial" w:eastAsia="Arial" w:hAnsi="Arial"/>
          <w:sz w:val="18"/>
          <w:szCs w:val="18"/>
          <w:color w:val="auto"/>
        </w:rPr>
        <w:t>, if there is a net decrease in Partnership Minimum Gain during any Partnership Year, each Holder shall be specially allocated items of Partnership income and gain for such year (and, if necessary, subsequent years) in an amount equal to such Holder’s share of the net decrease in Partnership Minimum Gain, as determined under Regulations Section 1.704-2(g). Allocations pursuant to the previous sentence shall be made in proportion to the respective amounts required to be allocated to each Holder pursuant thereto. The items to be allocated shall be determined in accordance with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Regulations Sections 1.704-2(f)(6) and 1.704-2(j)(2). This </w:t>
      </w:r>
      <w:r>
        <w:rPr>
          <w:rFonts w:ascii="Arial" w:cs="Arial" w:eastAsia="Arial" w:hAnsi="Arial"/>
          <w:sz w:val="18"/>
          <w:szCs w:val="18"/>
          <w:u w:val="single" w:color="auto"/>
          <w:color w:val="auto"/>
        </w:rPr>
        <w:t>Section 6.3.B(i)</w:t>
      </w:r>
      <w:r>
        <w:rPr>
          <w:rFonts w:ascii="Arial" w:cs="Arial" w:eastAsia="Arial" w:hAnsi="Arial"/>
          <w:sz w:val="18"/>
          <w:szCs w:val="18"/>
          <w:color w:val="auto"/>
        </w:rPr>
        <w:t xml:space="preserve"> is intended to qualify as a “minimum gain chargeback” within the meaning of Regulations Section 1.704-2(f) and shall be interpreted consistently therewith.</w:t>
      </w:r>
    </w:p>
    <w:p>
      <w:pPr>
        <w:spacing w:after="0" w:line="170" w:lineRule="exact"/>
        <w:rPr>
          <w:sz w:val="20"/>
          <w:szCs w:val="20"/>
          <w:color w:val="auto"/>
        </w:rPr>
      </w:pPr>
    </w:p>
    <w:p>
      <w:pPr>
        <w:ind w:right="60" w:firstLine="1305"/>
        <w:spacing w:after="0" w:line="270" w:lineRule="auto"/>
        <w:tabs>
          <w:tab w:leader="none" w:pos="197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Partner Minimum Gain Chargeback</w:t>
      </w:r>
      <w:r>
        <w:rPr>
          <w:rFonts w:ascii="Arial" w:cs="Arial" w:eastAsia="Arial" w:hAnsi="Arial"/>
          <w:sz w:val="17"/>
          <w:szCs w:val="17"/>
          <w:color w:val="auto"/>
        </w:rPr>
        <w:t xml:space="preserve">. Except as otherwise provided in Regulations Section 1.704-2(i)(4) or in </w:t>
      </w:r>
      <w:r>
        <w:rPr>
          <w:rFonts w:ascii="Arial" w:cs="Arial" w:eastAsia="Arial" w:hAnsi="Arial"/>
          <w:sz w:val="17"/>
          <w:szCs w:val="17"/>
          <w:u w:val="single" w:color="auto"/>
          <w:color w:val="auto"/>
        </w:rPr>
        <w:t>Section 6.3.B(i)</w:t>
      </w:r>
      <w:r>
        <w:rPr>
          <w:rFonts w:ascii="Arial" w:cs="Arial" w:eastAsia="Arial" w:hAnsi="Arial"/>
          <w:sz w:val="17"/>
          <w:szCs w:val="17"/>
          <w:color w:val="auto"/>
        </w:rPr>
        <w:t xml:space="preserve"> hereof, if there is a net decrease in Partner Minimum Gain attributable to a Partner Nonrecourse Debt during any Partnership Year, each Holder who has a share of the Partner Minimum Gain attributable to such Partner Nonrecourse Debt, determined in accordance with Regulations Section 1.704-2(i)(5), shall be specially allocated items of Partnership income and gain for such year (and, if necessary, subsequent years) in an amount equal to such Holder’s share of the net decrease in Partner Minimum Gain attributable to such Partner Nonrecourse Debt, determined in accordance with Regulations Section 1.704-2(i)(4). Allocations pursuant to the previous sentence shall be made in proportion to the respective amounts required to be allocated to each General Partner, Limited Partner and other Holder pursuant thereto. The items to be so allocated shall be determined in accordance with Regulations Sections 1.704-2(i)(4) and 1.704-2(j)(2). This </w:t>
      </w:r>
      <w:r>
        <w:rPr>
          <w:rFonts w:ascii="Arial" w:cs="Arial" w:eastAsia="Arial" w:hAnsi="Arial"/>
          <w:sz w:val="17"/>
          <w:szCs w:val="17"/>
          <w:u w:val="single" w:color="auto"/>
          <w:color w:val="auto"/>
        </w:rPr>
        <w:t>Section 6.3.B(ii)</w:t>
      </w:r>
      <w:r>
        <w:rPr>
          <w:rFonts w:ascii="Arial" w:cs="Arial" w:eastAsia="Arial" w:hAnsi="Arial"/>
          <w:sz w:val="17"/>
          <w:szCs w:val="17"/>
          <w:color w:val="auto"/>
        </w:rPr>
        <w:t xml:space="preserve"> is intended to qualify as a “chargeback of partner nonrecourse debt minimum gain” within the meaning of Regulations Section 1.704-2(i) and shall be interpreted consistently therewith.</w:t>
      </w:r>
    </w:p>
    <w:p>
      <w:pPr>
        <w:sectPr>
          <w:pgSz w:w="11900" w:h="16838" w:orient="portrait"/>
          <w:cols w:equalWidth="0" w:num="1">
            <w:col w:w="11400"/>
          </w:cols>
          <w:pgMar w:left="240" w:top="125" w:right="259" w:bottom="151" w:gutter="0" w:footer="0" w:header="0"/>
        </w:sectPr>
      </w:pPr>
    </w:p>
    <w:bookmarkStart w:id="22" w:name="page23"/>
    <w:bookmarkEnd w:id="22"/>
    <w:p>
      <w:pPr>
        <w:spacing w:after="0" w:line="66" w:lineRule="exact"/>
        <w:rPr>
          <w:sz w:val="20"/>
          <w:szCs w:val="20"/>
          <w:color w:val="auto"/>
        </w:rPr>
      </w:pPr>
    </w:p>
    <w:p>
      <w:pPr>
        <w:ind w:right="220" w:firstLine="1305"/>
        <w:spacing w:after="0" w:line="279" w:lineRule="auto"/>
        <w:tabs>
          <w:tab w:leader="none" w:pos="198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Nonrecourse Deductions and Partner Nonrecourse Deductions</w:t>
      </w:r>
      <w:r>
        <w:rPr>
          <w:rFonts w:ascii="Arial" w:cs="Arial" w:eastAsia="Arial" w:hAnsi="Arial"/>
          <w:sz w:val="17"/>
          <w:szCs w:val="17"/>
          <w:color w:val="auto"/>
        </w:rPr>
        <w:t>. Any Nonrecourse Deductions for any Partnership Year shall be specially allocated to the Holders of Partnership Units in accordance with their Partnership Units. Any Partner Nonrecourse Deductions for any Partnership Year shall be specially allocated to the Holder(s) who bears the economic risk of loss with respect to the Partner Nonrecourse Debt to which such Partner Nonrecourse Deductions are attributable, in accordance with Regulations Section 1.704-2(i).</w:t>
      </w:r>
    </w:p>
    <w:p>
      <w:pPr>
        <w:spacing w:after="0" w:line="171" w:lineRule="exact"/>
        <w:rPr>
          <w:rFonts w:ascii="Arial" w:cs="Arial" w:eastAsia="Arial" w:hAnsi="Arial"/>
          <w:sz w:val="17"/>
          <w:szCs w:val="17"/>
          <w:color w:val="auto"/>
        </w:rPr>
      </w:pPr>
    </w:p>
    <w:p>
      <w:pPr>
        <w:ind w:right="100" w:firstLine="1305"/>
        <w:spacing w:after="0" w:line="257" w:lineRule="auto"/>
        <w:tabs>
          <w:tab w:leader="none" w:pos="19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xml:space="preserve">. If any Holder unexpectedly receives an adjustment, allocation or distribution described in Regulations Section 1.704-1(b)(2)(ii)(d)(4), (5), or (6), items of Partnership income and gain shall be allocated, in accordance with Regulations Section 1.704-1(b)(2)(ii) (d), to such Holder in an amount and manner sufficient to eliminate, to the extent required by such Regulations, the Adjusted Capital Account Deficit of such Holder as quickly as possible. It is intended that this </w:t>
      </w:r>
      <w:r>
        <w:rPr>
          <w:rFonts w:ascii="Arial" w:cs="Arial" w:eastAsia="Arial" w:hAnsi="Arial"/>
          <w:sz w:val="18"/>
          <w:szCs w:val="18"/>
          <w:u w:val="single" w:color="auto"/>
          <w:color w:val="auto"/>
        </w:rPr>
        <w:t>Section 6.3.B(iv)</w:t>
      </w:r>
      <w:r>
        <w:rPr>
          <w:rFonts w:ascii="Arial" w:cs="Arial" w:eastAsia="Arial" w:hAnsi="Arial"/>
          <w:sz w:val="18"/>
          <w:szCs w:val="18"/>
          <w:color w:val="auto"/>
        </w:rPr>
        <w:t xml:space="preserve"> qualify and be construed as a “qualified income offset” within the meaning of Regulations Section 1.704-1(b)(2)(ii)(d) and shall be interpreted consistently therewith.</w:t>
      </w:r>
    </w:p>
    <w:p>
      <w:pPr>
        <w:spacing w:after="0" w:line="188"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Gross Income Allocation</w:t>
      </w:r>
      <w:r>
        <w:rPr>
          <w:rFonts w:ascii="Arial" w:cs="Arial" w:eastAsia="Arial" w:hAnsi="Arial"/>
          <w:sz w:val="18"/>
          <w:szCs w:val="18"/>
          <w:color w:val="auto"/>
        </w:rPr>
        <w:t>. In the event that any Holder has an Adjusted Capital Account Deficit at the end of any Partnership Year, each such Holder shall be specially allocated items of Partnership income and gain in the amount of such excess to eliminate such deficit as quickly as possible.</w:t>
      </w:r>
    </w:p>
    <w:p>
      <w:pPr>
        <w:spacing w:after="0" w:line="181" w:lineRule="exact"/>
        <w:rPr>
          <w:rFonts w:ascii="Arial" w:cs="Arial" w:eastAsia="Arial" w:hAnsi="Arial"/>
          <w:sz w:val="18"/>
          <w:szCs w:val="18"/>
          <w:color w:val="auto"/>
        </w:rPr>
      </w:pPr>
    </w:p>
    <w:p>
      <w:pPr>
        <w:ind w:firstLine="1305"/>
        <w:spacing w:after="0" w:line="284" w:lineRule="auto"/>
        <w:tabs>
          <w:tab w:leader="none" w:pos="196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Section 754 Adjustment</w:t>
      </w:r>
      <w:r>
        <w:rPr>
          <w:rFonts w:ascii="Arial" w:cs="Arial" w:eastAsia="Arial" w:hAnsi="Arial"/>
          <w:sz w:val="16"/>
          <w:szCs w:val="16"/>
          <w:color w:val="auto"/>
        </w:rPr>
        <w:t>. To the extent that an adjustment to the adjusted tax basis of any Partnership asset pursuant to Code Section 734(b) or Code Section 743(b) is required, pursuant to Regulations Section 1.704-1(b)(2)(iv)(m)(2) or Regulations Section 1.704-1(b)(2)(iv)(m)(4), to be taken into account in determining Capital Accounts as the result of a distribution to a Holder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in accordance with their Partnership Units in the event that Regulations Section 1.704-1(b)(2)(iv)(m)(2) applies, or to the Holders to whom such distribution was made in the event that Regulations Section 1.704-1(b)</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(2)(iv)(m)(4) applies.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Curative Allocations</w:t>
      </w:r>
      <w:r>
        <w:rPr>
          <w:rFonts w:ascii="Arial" w:cs="Arial" w:eastAsia="Arial" w:hAnsi="Arial"/>
          <w:sz w:val="18"/>
          <w:szCs w:val="18"/>
          <w:color w:val="auto"/>
        </w:rPr>
        <w:t xml:space="preserve">. The allocations set forth in </w:t>
      </w:r>
      <w:r>
        <w:rPr>
          <w:rFonts w:ascii="Arial" w:cs="Arial" w:eastAsia="Arial" w:hAnsi="Arial"/>
          <w:sz w:val="18"/>
          <w:szCs w:val="18"/>
          <w:u w:val="single" w:color="auto"/>
          <w:color w:val="auto"/>
        </w:rPr>
        <w:t>Sections 6.3.B(i)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Regulatory</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u w:val="single" w:color="auto"/>
          <w:color w:val="auto"/>
        </w:rPr>
        <w:t>Allocations</w:t>
      </w:r>
      <w:r>
        <w:rPr>
          <w:rFonts w:ascii="Arial" w:cs="Arial" w:eastAsia="Arial" w:hAnsi="Arial"/>
          <w:sz w:val="17"/>
          <w:szCs w:val="17"/>
          <w:color w:val="auto"/>
        </w:rPr>
        <w:t xml:space="preserve">”) are intended to comply with certain regulatory requirements, including the requirements of Regulations Sections 1.704-1(b) and 1.704-2. Notwithstanding the provisions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the Regulatory Allocations shall be taken into account in allocating other items of income, gain, loss and deduction among the Holders of Partnership Units so that to the extent possible without violating the requirements giving rise to the Regulatory Allocations, the net amount of such allocations of other items and the Regulatory Allocations to each Holder of a Partnership Unit shall be equal to the net amount that would have been allocated to each such Holder if the Regulatory Allocations had not occurred.</w:t>
      </w:r>
    </w:p>
    <w:p>
      <w:pPr>
        <w:spacing w:after="0" w:line="179" w:lineRule="exact"/>
        <w:rPr>
          <w:sz w:val="20"/>
          <w:szCs w:val="20"/>
          <w:color w:val="auto"/>
        </w:rPr>
      </w:pPr>
    </w:p>
    <w:p>
      <w:pPr>
        <w:ind w:right="240" w:firstLine="656"/>
        <w:spacing w:after="0" w:line="277" w:lineRule="auto"/>
        <w:tabs>
          <w:tab w:leader="none" w:pos="131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Allocation of Excess Nonrecourse Liabilities</w:t>
      </w:r>
      <w:r>
        <w:rPr>
          <w:rFonts w:ascii="Arial" w:cs="Arial" w:eastAsia="Arial" w:hAnsi="Arial"/>
          <w:sz w:val="18"/>
          <w:szCs w:val="18"/>
          <w:color w:val="auto"/>
        </w:rPr>
        <w:t>. The Partnership shall allocate “nonrecourse liabilities” (within the meaning of Regulations Section 1.752-1(a)(2)) of the Partnership that are secured by multiple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Properties under any reasonable method chosen by the General Partner in accordance with Regulations Section 1.752-3(a)(3)(b). The Partnership shall allocate “excess nonrecourse liabilities” of the Partnership under any method approved under Regulations Section 1.752-3(a)(3) as chosen by the General Partner.</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Tax Allocations.</w:t>
      </w:r>
    </w:p>
    <w:p>
      <w:pPr>
        <w:spacing w:after="0" w:line="229" w:lineRule="exact"/>
        <w:rPr>
          <w:sz w:val="20"/>
          <w:szCs w:val="20"/>
          <w:color w:val="auto"/>
        </w:rPr>
      </w:pPr>
    </w:p>
    <w:p>
      <w:pPr>
        <w:ind w:right="100" w:firstLine="656"/>
        <w:spacing w:after="0" w:line="264"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for income tax purposes under the Code and the Regulations each Partnership item of income, gain, loss and deduction (collectively, “</w:t>
      </w:r>
      <w:r>
        <w:rPr>
          <w:rFonts w:ascii="Arial" w:cs="Arial" w:eastAsia="Arial" w:hAnsi="Arial"/>
          <w:sz w:val="18"/>
          <w:szCs w:val="18"/>
          <w:u w:val="single" w:color="auto"/>
          <w:color w:val="auto"/>
        </w:rPr>
        <w:t>Tax Items</w:t>
      </w:r>
      <w:r>
        <w:rPr>
          <w:rFonts w:ascii="Arial" w:cs="Arial" w:eastAsia="Arial" w:hAnsi="Arial"/>
          <w:sz w:val="18"/>
          <w:szCs w:val="18"/>
          <w:color w:val="auto"/>
        </w:rPr>
        <w:t xml:space="preserve">”) shall be allocated among the Holders of Partnership Units in the same manner as its correlative item of “book” income, gain, loss or deduction is allocated pursuant to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right="60" w:firstLine="656"/>
        <w:spacing w:after="0" w:line="253" w:lineRule="auto"/>
        <w:tabs>
          <w:tab w:leader="none" w:pos="131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Allocations Respecting Section 704(c) Revaluations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hereof, Tax Items with respect to Property that is contributed to the Partnership with a Gross Asset Value that varies from its basis in the hands of the contributing Partner immediately preceding the date of contribution shall be allocated among the Holders of Partnership Units for income tax purposes pursuant to Regulations promulgated under Code Section 704(c) so as to take into account such variation. The Partnership shall account for such variation under any method approved under Code Section 704(c) and the applicable Regulations as chosen by the General Partner, including, without limitation, the “remedial allocation method” as described in Regulations Section 1.704-3(d);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“traditional method” shall be used for any properties held directly or indirectly by Extra Space Storage, LLC and contributed to the Partnership simultaneously with the IPO. In the event that the Gross Asset Value of any partnership asset is adjusted pursuant to subsection (b) of the definition of “</w:t>
      </w:r>
      <w:r>
        <w:rPr>
          <w:rFonts w:ascii="Arial" w:cs="Arial" w:eastAsia="Arial" w:hAnsi="Arial"/>
          <w:sz w:val="18"/>
          <w:szCs w:val="18"/>
          <w:u w:val="single" w:color="auto"/>
          <w:color w:val="auto"/>
        </w:rPr>
        <w:t>Gross Asset Value</w:t>
      </w:r>
      <w:r>
        <w:rPr>
          <w:rFonts w:ascii="Arial" w:cs="Arial" w:eastAsia="Arial" w:hAnsi="Arial"/>
          <w:sz w:val="18"/>
          <w:szCs w:val="18"/>
          <w:color w:val="auto"/>
        </w:rPr>
        <w:t xml:space="preserve">” (provided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 subsequent allocations of Tax Items with respect to such asset shall take account of the variation, if any, between the adjusted basis of such asset and its Gross Asset Value in the same manner as under Code Section 704(c) and the applicable Regulations.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OPERATIONS OF BUSINESS</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Management.</w:t>
      </w:r>
    </w:p>
    <w:p>
      <w:pPr>
        <w:spacing w:after="0" w:line="229" w:lineRule="exact"/>
        <w:rPr>
          <w:sz w:val="20"/>
          <w:szCs w:val="20"/>
          <w:color w:val="auto"/>
        </w:rPr>
      </w:pPr>
    </w:p>
    <w:p>
      <w:pPr>
        <w:ind w:right="60" w:firstLine="656"/>
        <w:spacing w:after="0" w:line="284"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this Agreement, all management powers over the business and affairs of the Partnership are and shall be exclusively vested in the General Partner, and no Limited Partner shall have any right to participate in or exercise control or management power over the business and affairs of the Partnership. The General Partner may not be removed by the Partners with or without cause, except with the consent of the General Partner. In addition to the powers now or hereafter granted to a general partner of a limited partnership under applicable law or that are granted to the General Partner under any other provision of this Agreement, the General Partner, subject to the other provisions hereof including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have full power and authority to do all things deemed necessary or desirable by it to conduct the business of the Partnership, to exercise all powers set forth in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3.2</w:t>
      </w:r>
      <w:r>
        <w:rPr>
          <w:rFonts w:ascii="Arial" w:cs="Arial" w:eastAsia="Arial" w:hAnsi="Arial"/>
          <w:sz w:val="18"/>
          <w:szCs w:val="18"/>
          <w:color w:val="auto"/>
        </w:rPr>
        <w:t xml:space="preserve"> hereof and to effectuate the purposes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including, without limitation:</w:t>
      </w:r>
    </w:p>
    <w:p>
      <w:pPr>
        <w:spacing w:after="0" w:line="210" w:lineRule="exact"/>
        <w:rPr>
          <w:rFonts w:ascii="Arial" w:cs="Arial" w:eastAsia="Arial" w:hAnsi="Arial"/>
          <w:sz w:val="16"/>
          <w:szCs w:val="16"/>
          <w:color w:val="auto"/>
        </w:rPr>
      </w:pPr>
    </w:p>
    <w:p>
      <w:pPr>
        <w:jc w:val="both"/>
        <w:ind w:right="100" w:firstLine="1305"/>
        <w:spacing w:after="0" w:line="302" w:lineRule="auto"/>
        <w:tabs>
          <w:tab w:leader="none" w:pos="1966"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making of any expenditures, the lending or borrowing of money (including, without limitation, making prepayments on loans and borrowing money or selling assets to permit the Partnership to make distributions to its Partners in such amounts as will permit the Parent (so long as the Parent desires to maintain or restore its status as a REIT) to avoid the payment of any federal income tax (including, for this purpose, any excise tax pursuant to Code Section 4981) and to make distributions to its stockholders sufficient to permit the Parent to maintain or restore REIT status or otherwise to satisfy</w:t>
      </w:r>
    </w:p>
    <w:p>
      <w:pPr>
        <w:sectPr>
          <w:pgSz w:w="11900" w:h="16904" w:orient="portrait"/>
          <w:cols w:equalWidth="0" w:num="1">
            <w:col w:w="11420"/>
          </w:cols>
          <w:pgMar w:left="240" w:top="125" w:right="239" w:bottom="0" w:gutter="0" w:footer="0" w:header="0"/>
        </w:sectPr>
      </w:pPr>
    </w:p>
    <w:bookmarkStart w:id="23" w:name="page24"/>
    <w:bookmarkEnd w:id="23"/>
    <w:p>
      <w:pPr>
        <w:ind w:right="40"/>
        <w:spacing w:after="0" w:line="264" w:lineRule="auto"/>
        <w:rPr>
          <w:sz w:val="20"/>
          <w:szCs w:val="20"/>
          <w:color w:val="auto"/>
        </w:rPr>
      </w:pPr>
      <w:r>
        <w:rPr>
          <w:rFonts w:ascii="Arial" w:cs="Arial" w:eastAsia="Arial" w:hAnsi="Arial"/>
          <w:sz w:val="18"/>
          <w:szCs w:val="18"/>
          <w:color w:val="auto"/>
        </w:rPr>
        <w:t>the REIT Requirements), the assumption or guarantee of, or other contracting for, indebtedness and other liabilities, the issuance of evidences of indebtedness (including the securing of same by deed to secure debt, mortgage, deed of trust or other lien or encumbrance on the Partnership’s assets) and the incurring of any obligations that it deems necessary for the conduct of the activities of the Partnership;</w:t>
      </w:r>
    </w:p>
    <w:p>
      <w:pPr>
        <w:spacing w:after="0" w:line="181" w:lineRule="exact"/>
        <w:rPr>
          <w:sz w:val="20"/>
          <w:szCs w:val="20"/>
          <w:color w:val="auto"/>
        </w:rPr>
      </w:pPr>
    </w:p>
    <w:p>
      <w:pPr>
        <w:jc w:val="both"/>
        <w:ind w:right="120" w:firstLine="1305"/>
        <w:spacing w:after="0" w:line="264" w:lineRule="auto"/>
        <w:tabs>
          <w:tab w:leader="none" w:pos="19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 the registration of any class of securities of the Partnership under the Exchange Act and the listing of any debt securities of the Partnership on any exchange;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1305"/>
        <w:spacing w:after="0" w:line="312" w:lineRule="auto"/>
        <w:tabs>
          <w:tab w:leader="none" w:pos="19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acquisition, sale, lease, transfer, exchange or other disposition of any, all or substantially all of the assets of the Partnership (including, but not limited to, the exercise or grant of any conversion, option, privilege or subscription right or any other right available in connection with any assets at any time held by the Partnership) or the merger, consolidation, reorganization or other combination of the Partnership with or into another entity;</w:t>
      </w:r>
    </w:p>
    <w:p>
      <w:pPr>
        <w:spacing w:after="0" w:line="146" w:lineRule="exact"/>
        <w:rPr>
          <w:rFonts w:ascii="Arial" w:cs="Arial" w:eastAsia="Arial" w:hAnsi="Arial"/>
          <w:sz w:val="16"/>
          <w:szCs w:val="16"/>
          <w:color w:val="auto"/>
        </w:rPr>
      </w:pPr>
    </w:p>
    <w:p>
      <w:pPr>
        <w:ind w:right="20" w:firstLine="1305"/>
        <w:spacing w:after="0" w:line="297" w:lineRule="auto"/>
        <w:tabs>
          <w:tab w:leader="none" w:pos="196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mortgage, pledge, encumbrance or hypothecation of any assets of the Partnership, the use of the assets of the Partnership (including, without limitation, cash on hand) for any purpose consistent with the terms of this Agreement and on any terms that it sees fit, including, without limitation, the financing of the operations and activities of the General Partner, the Partnership or any of the Partnership’s Subsidiaries, the lending of funds to other Persons (including, without limitation, the Partnership’s Subsidiaries) and the repayment of obligations of the Partnership, its Subsidiaries and any other Person in which the Partnership has an equity investment, and the making of capital contributions to and equity investments in the Partnership’s Subsidiaries;</w:t>
      </w:r>
    </w:p>
    <w:p>
      <w:pPr>
        <w:spacing w:after="0" w:line="158" w:lineRule="exact"/>
        <w:rPr>
          <w:rFonts w:ascii="Arial" w:cs="Arial" w:eastAsia="Arial" w:hAnsi="Arial"/>
          <w:sz w:val="16"/>
          <w:szCs w:val="16"/>
          <w:color w:val="auto"/>
        </w:rPr>
      </w:pPr>
    </w:p>
    <w:p>
      <w:pPr>
        <w:jc w:val="both"/>
        <w:ind w:right="420" w:firstLine="1305"/>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management, operation, leasing, landscaping, repair, alteration, demolition, replacement or improvement of any Property, including, without limitation, any Contributed Property, or other asset of the Partnership or any Subsidiary, whether pursuant to a Services Agreement or otherwise;</w:t>
      </w:r>
    </w:p>
    <w:p>
      <w:pPr>
        <w:spacing w:after="0" w:line="181" w:lineRule="exact"/>
        <w:rPr>
          <w:rFonts w:ascii="Arial" w:cs="Arial" w:eastAsia="Arial" w:hAnsi="Arial"/>
          <w:sz w:val="18"/>
          <w:szCs w:val="18"/>
          <w:color w:val="auto"/>
        </w:rPr>
      </w:pPr>
    </w:p>
    <w:p>
      <w:pPr>
        <w:jc w:val="both"/>
        <w:ind w:right="240" w:firstLine="1305"/>
        <w:spacing w:after="0" w:line="259" w:lineRule="auto"/>
        <w:tabs>
          <w:tab w:leader="none" w:pos="19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leases, conveyances or other instruments that the General Partner considers useful or necessary to the conduct of the Partnership’s operations or the implementation of the General Partner’s powers under this Agreement, including contracting with contractors, developers, consultants, accountants, legal counsel, other professional advisors and other agents and the payment of their expenses and compensation out of the Partnership’s assets;</w:t>
      </w:r>
    </w:p>
    <w:p>
      <w:pPr>
        <w:spacing w:after="0" w:line="186" w:lineRule="exact"/>
        <w:rPr>
          <w:rFonts w:ascii="Arial" w:cs="Arial" w:eastAsia="Arial" w:hAnsi="Arial"/>
          <w:sz w:val="18"/>
          <w:szCs w:val="18"/>
          <w:color w:val="auto"/>
        </w:rPr>
      </w:pPr>
    </w:p>
    <w:p>
      <w:pPr>
        <w:ind w:right="460" w:firstLine="1305"/>
        <w:spacing w:after="0" w:line="342" w:lineRule="auto"/>
        <w:tabs>
          <w:tab w:leader="none" w:pos="19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distribution of Partnership cash or other Partnership assets in accordance with this Agreement, the holding, management, investment and reinvestment of cash and other assets of the Partnership and the collection and receipt of revenues, rents and income of the Partnership;</w:t>
      </w:r>
    </w:p>
    <w:p>
      <w:pPr>
        <w:spacing w:after="0" w:line="123" w:lineRule="exact"/>
        <w:rPr>
          <w:rFonts w:ascii="Arial" w:cs="Arial" w:eastAsia="Arial" w:hAnsi="Arial"/>
          <w:sz w:val="16"/>
          <w:szCs w:val="16"/>
          <w:color w:val="auto"/>
        </w:rPr>
      </w:pPr>
    </w:p>
    <w:p>
      <w:pPr>
        <w:ind w:right="660" w:firstLine="1305"/>
        <w:spacing w:after="0" w:line="342" w:lineRule="auto"/>
        <w:tabs>
          <w:tab w:leader="none" w:pos="1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and the Partners as it deems necessary or appropriate, including, without limitation, (i) casualty, liability and other insurance on the Properties and (ii) liability insurance for the Indemnitees hereunder;</w:t>
      </w:r>
    </w:p>
    <w:p>
      <w:pPr>
        <w:spacing w:after="0" w:line="123" w:lineRule="exact"/>
        <w:rPr>
          <w:rFonts w:ascii="Arial" w:cs="Arial" w:eastAsia="Arial" w:hAnsi="Arial"/>
          <w:sz w:val="16"/>
          <w:szCs w:val="16"/>
          <w:color w:val="auto"/>
        </w:rPr>
      </w:pPr>
    </w:p>
    <w:p>
      <w:pPr>
        <w:jc w:val="both"/>
        <w:ind w:right="80" w:firstLine="1305"/>
        <w:spacing w:after="0" w:line="276" w:lineRule="auto"/>
        <w:tabs>
          <w:tab w:leader="none" w:pos="19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formation of, or acquisition of an interest in, and the contribution of property to, any further limited or general partnerships, limited liability companies, joint ventures or other relationships that it deems desirable (including, without limitation, the acquisition of interests in, and the contributions of property to, any Subsidiary and any other Person in which it has an equity investment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long as the Parent has determined to continue to qualify as a REIT, the General Partner may not engage in any such formation, acquisition or contribution that would cause the Parent to fail to qualify as a REIT within the meaning of Code Section 856(a);</w:t>
      </w:r>
    </w:p>
    <w:p>
      <w:pPr>
        <w:spacing w:after="0" w:line="172" w:lineRule="exact"/>
        <w:rPr>
          <w:rFonts w:ascii="Arial" w:cs="Arial" w:eastAsia="Arial" w:hAnsi="Arial"/>
          <w:sz w:val="17"/>
          <w:szCs w:val="17"/>
          <w:color w:val="auto"/>
        </w:rPr>
      </w:pPr>
    </w:p>
    <w:p>
      <w:pPr>
        <w:ind w:firstLine="1305"/>
        <w:spacing w:after="0" w:line="276" w:lineRule="auto"/>
        <w:tabs>
          <w:tab w:leader="none" w:pos="19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control of any matters affecting the rights and obligations of the Partnership, including the settlement, compromise, submission to arbitration or any other form of dispute resolution, or abandonment, of any claim, cause of action, liability, debt or damages, due or owing to or from the Partnership, the commencement or defense of suits, legal proceedings, administrative proceedings, arbitrations or other forms of dispute resolution, and the representation of the Partnership in all suits or legal proceedings, administrative proceedings, arbitrations or other forms of dispute resolution, the incurring of legal expense, and the indemnification of any Person against liabilities and contingencies to the extent permitted by law;</w:t>
      </w:r>
    </w:p>
    <w:p>
      <w:pPr>
        <w:spacing w:after="0" w:line="172" w:lineRule="exact"/>
        <w:rPr>
          <w:rFonts w:ascii="Arial" w:cs="Arial" w:eastAsia="Arial" w:hAnsi="Arial"/>
          <w:sz w:val="17"/>
          <w:szCs w:val="17"/>
          <w:color w:val="auto"/>
        </w:rPr>
      </w:pPr>
    </w:p>
    <w:p>
      <w:pPr>
        <w:ind w:right="380" w:firstLine="1305"/>
        <w:spacing w:after="0" w:line="277" w:lineRule="auto"/>
        <w:tabs>
          <w:tab w:leader="none" w:pos="19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direct or indirect investment in any Subsidiary or any other Person (including, without limitation, the contribution or loan of funds by the Partnership to such Persons);</w:t>
      </w:r>
    </w:p>
    <w:p>
      <w:pPr>
        <w:spacing w:after="0" w:line="170" w:lineRule="exact"/>
        <w:rPr>
          <w:rFonts w:ascii="Arial" w:cs="Arial" w:eastAsia="Arial" w:hAnsi="Arial"/>
          <w:sz w:val="18"/>
          <w:szCs w:val="18"/>
          <w:color w:val="auto"/>
        </w:rPr>
      </w:pPr>
    </w:p>
    <w:p>
      <w:pPr>
        <w:ind w:right="40" w:firstLine="1305"/>
        <w:spacing w:after="0" w:line="264" w:lineRule="auto"/>
        <w:tabs>
          <w:tab w:leader="none" w:pos="19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otherwise specifically set forth in this Agreement, the determination of the fair market value of any Partnership property distributed in-kind using such reasonable method of valuation as it may adopt;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methods are otherwise consistent with the requirements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1305"/>
        <w:spacing w:after="0" w:line="277" w:lineRule="auto"/>
        <w:tabs>
          <w:tab w:leader="none" w:pos="20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enforcement of any rights against any Partner pursuant to representations, warranties, covenants and indemnities relating to such Partner’s contribution of property or assets to the Partnership;</w:t>
      </w:r>
    </w:p>
    <w:p>
      <w:pPr>
        <w:spacing w:after="0" w:line="170" w:lineRule="exact"/>
        <w:rPr>
          <w:rFonts w:ascii="Arial" w:cs="Arial" w:eastAsia="Arial" w:hAnsi="Arial"/>
          <w:sz w:val="18"/>
          <w:szCs w:val="18"/>
          <w:color w:val="auto"/>
        </w:rPr>
      </w:pPr>
    </w:p>
    <w:p>
      <w:pPr>
        <w:ind w:right="200" w:firstLine="1305"/>
        <w:spacing w:after="0" w:line="277" w:lineRule="auto"/>
        <w:tabs>
          <w:tab w:leader="none" w:pos="19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exercise, directly or indirectly, through any attorney-in-fact acting under a general or limited power-of-attorney, of any right, including the right to vote, appurtenant to any asset or investment held by the Partnership;</w:t>
      </w:r>
    </w:p>
    <w:p>
      <w:pPr>
        <w:spacing w:after="0" w:line="170" w:lineRule="exact"/>
        <w:rPr>
          <w:rFonts w:ascii="Arial" w:cs="Arial" w:eastAsia="Arial" w:hAnsi="Arial"/>
          <w:sz w:val="18"/>
          <w:szCs w:val="18"/>
          <w:color w:val="auto"/>
        </w:rPr>
      </w:pPr>
    </w:p>
    <w:p>
      <w:pPr>
        <w:ind w:right="20" w:firstLine="1305"/>
        <w:spacing w:after="0" w:line="342" w:lineRule="auto"/>
        <w:tabs>
          <w:tab w:leader="none" w:pos="19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exercise of any of the powers of the General Partner enumerated in this Agreement on behalf of or in connection with any Subsidiary of the Partnership or any other Person in which the Partnership has a direct or indirect interest, or jointly with any such Subsidiary or other Person;</w:t>
      </w:r>
    </w:p>
    <w:p>
      <w:pPr>
        <w:spacing w:after="0" w:line="123" w:lineRule="exact"/>
        <w:rPr>
          <w:rFonts w:ascii="Arial" w:cs="Arial" w:eastAsia="Arial" w:hAnsi="Arial"/>
          <w:sz w:val="16"/>
          <w:szCs w:val="16"/>
          <w:color w:val="auto"/>
        </w:rPr>
      </w:pPr>
    </w:p>
    <w:p>
      <w:pPr>
        <w:ind w:right="500" w:firstLine="1305"/>
        <w:spacing w:after="0" w:line="277" w:lineRule="auto"/>
        <w:tabs>
          <w:tab w:leader="none" w:pos="19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exercise of any of the powers of the General Partner enumerated in this Agreement on behalf of any Person in which the Partnership does not have an interest, pursuant to contractual or other arrangements with such Person;</w:t>
      </w:r>
    </w:p>
    <w:p>
      <w:pPr>
        <w:sectPr>
          <w:pgSz w:w="11900" w:h="16838" w:orient="portrait"/>
          <w:cols w:equalWidth="0" w:num="1">
            <w:col w:w="11420"/>
          </w:cols>
          <w:pgMar w:left="240" w:top="125" w:right="239" w:bottom="139" w:gutter="0" w:footer="0" w:header="0"/>
        </w:sectPr>
      </w:pPr>
    </w:p>
    <w:bookmarkStart w:id="24" w:name="page25"/>
    <w:bookmarkEnd w:id="24"/>
    <w:p>
      <w:pPr>
        <w:spacing w:after="0" w:line="50" w:lineRule="exact"/>
        <w:rPr>
          <w:sz w:val="20"/>
          <w:szCs w:val="20"/>
          <w:color w:val="auto"/>
        </w:rPr>
      </w:pPr>
    </w:p>
    <w:p>
      <w:pPr>
        <w:ind w:right="300" w:firstLine="1305"/>
        <w:spacing w:after="0" w:line="312" w:lineRule="auto"/>
        <w:tabs>
          <w:tab w:leader="none" w:pos="199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making, execution and delivery of any and all deeds, leases, notes, deeds to secure debt, mortgages, deeds of trust, security agreements, conveyances, contracts, guarantees, warranties, indemnities, waivers, releases or legal instruments or agreements in writing necessary or appropriate in the judgment of the General Partner for the accomplishment of any of the powers of the General Partner enumerated in this Agreement;</w:t>
      </w:r>
    </w:p>
    <w:p>
      <w:pPr>
        <w:spacing w:after="0" w:line="146" w:lineRule="exact"/>
        <w:rPr>
          <w:rFonts w:ascii="Arial" w:cs="Arial" w:eastAsia="Arial" w:hAnsi="Arial"/>
          <w:sz w:val="16"/>
          <w:szCs w:val="16"/>
          <w:color w:val="auto"/>
        </w:rPr>
      </w:pPr>
    </w:p>
    <w:p>
      <w:pPr>
        <w:ind w:firstLine="1305"/>
        <w:spacing w:after="0" w:line="308" w:lineRule="auto"/>
        <w:tabs>
          <w:tab w:leader="none" w:pos="200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issuance of additional Partnership Units, as appropriate and in the General Partner’s sole and absolute discretion, in connection with Capital Contributions by Additional Limited Partners and additional Capital Contributions by Partners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right="60" w:firstLine="1305"/>
        <w:spacing w:after="0" w:line="259" w:lineRule="auto"/>
        <w:tabs>
          <w:tab w:leader="none" w:pos="20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selection and dismissal of Company Employees (including, without limitation, employees having titles or offices such as president, vice president, secretary and treasurer), and agents, outside attorneys, accountants, consultants and contractors of the Partnership or the General Partner, the determination of their compensation and other terms of employment or hiring and the delegation to any such Company Employee the authority to conduct the business of the Partnership in accordance with the terms of this Agreement;</w:t>
      </w:r>
    </w:p>
    <w:p>
      <w:pPr>
        <w:spacing w:after="0" w:line="186" w:lineRule="exact"/>
        <w:rPr>
          <w:rFonts w:ascii="Arial" w:cs="Arial" w:eastAsia="Arial" w:hAnsi="Arial"/>
          <w:sz w:val="18"/>
          <w:szCs w:val="18"/>
          <w:color w:val="auto"/>
        </w:rPr>
      </w:pPr>
    </w:p>
    <w:p>
      <w:pPr>
        <w:ind w:right="160" w:firstLine="1305"/>
        <w:spacing w:after="0" w:line="277" w:lineRule="auto"/>
        <w:tabs>
          <w:tab w:leader="none" w:pos="20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the distribution of cash to acquire Partnership Units held by a Limited Partner in connection with a Limited Partner’s exercise of its Redemption Right under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firstLine="1305"/>
        <w:spacing w:after="0" w:line="276" w:lineRule="auto"/>
        <w:tabs>
          <w:tab w:leader="none" w:pos="201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amendment and restatement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 reflect accurately at all times the Capital Contributions and Percentage Interests of the Partners as the same are adjusted from time to time to the extent necessary to reflect redemptions, conversion of Contingent Conversion Units, Capital Contributions, the issuance of Partnership Units, the admission of any Additional Limited Partner or any Substituted Limited Partner or otherwise, which amendment and restatement, notwithstanding anything in this Agreement to the contrary, shall not be deemed an amendment to this Agreement, as long as the matter or event being reflected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otherwise is authorized by this Agreement;</w:t>
      </w:r>
    </w:p>
    <w:p>
      <w:pPr>
        <w:spacing w:after="0" w:line="172" w:lineRule="exact"/>
        <w:rPr>
          <w:rFonts w:ascii="Arial" w:cs="Arial" w:eastAsia="Arial" w:hAnsi="Arial"/>
          <w:sz w:val="17"/>
          <w:szCs w:val="17"/>
          <w:color w:val="auto"/>
        </w:rPr>
      </w:pPr>
    </w:p>
    <w:p>
      <w:pPr>
        <w:ind w:left="2020" w:hanging="715"/>
        <w:spacing w:after="0"/>
        <w:tabs>
          <w:tab w:leader="none" w:pos="2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collection and receipt of revenues and income of the Partnership; and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 election to dissolve the Partnership pursuant to </w:t>
      </w:r>
      <w:r>
        <w:rPr>
          <w:rFonts w:ascii="Arial" w:cs="Arial" w:eastAsia="Arial" w:hAnsi="Arial"/>
          <w:sz w:val="18"/>
          <w:szCs w:val="18"/>
          <w:u w:val="single" w:color="auto"/>
          <w:color w:val="auto"/>
        </w:rPr>
        <w:t>Section 13.1.D</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right="100"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B. Each of the Limited Partners agrees that, except as provided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the General Partner is authorized to execute, deliver and perform the above-mentioned agreements and transactions on behalf of the Partnership without any further act, approval or vote of the Partners, notwithstanding any other provision of this Agreement, the Act or any applicable law, rule or regulation. The execution, delivery or performance by the General Partner or the Partnership of any agreement authorized or permitted under this Agreement shall not constitute a breach by the General Partner of any duty that the General Partner may owe the Partnership or the Limited Partners or any other Persons under this Agreement or of any duty stated or implied by law or equity.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firstLine="656"/>
        <w:spacing w:after="0" w:line="342" w:lineRule="auto"/>
        <w:tabs>
          <w:tab w:leader="none" w:pos="13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At all times from and after the date hereof, the General Partner may cause the Partnership to establish and maintain working capital and other reserves in such amounts as the General Partner, in its sole and absolute discretion, deems appropriate and reasonable from time to time.</w:t>
      </w:r>
    </w:p>
    <w:p>
      <w:pPr>
        <w:spacing w:after="0" w:line="123" w:lineRule="exact"/>
        <w:rPr>
          <w:rFonts w:ascii="Arial" w:cs="Arial" w:eastAsia="Arial" w:hAnsi="Arial"/>
          <w:sz w:val="16"/>
          <w:szCs w:val="16"/>
          <w:color w:val="auto"/>
        </w:rPr>
      </w:pPr>
    </w:p>
    <w:p>
      <w:pPr>
        <w:ind w:right="240" w:firstLine="656"/>
        <w:spacing w:after="0" w:line="257" w:lineRule="auto"/>
        <w:tabs>
          <w:tab w:leader="none" w:pos="13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exercising its authority under this Agreement, the General Partner may, but shall be under no obligation to, take into account the tax consequences to any Partner (including the General Partner) of any action taken (or not taken) by it. The General Partner and the Partnership shall not have liability to a Limited Partner under any circumstances as a result of an income tax liability incurred by such Limited Partner as a result of an action (or inaction) by the General Partner pursuant to its authority under this Agreement provided that the General Partner has acted in good faith and pursuant to its authority under this Agreement.</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Section 7.2 Certificate of Limited Partnership</w:t>
      </w:r>
      <w:r>
        <w:rPr>
          <w:rFonts w:ascii="Arial" w:cs="Arial" w:eastAsia="Arial" w:hAnsi="Arial"/>
          <w:sz w:val="17"/>
          <w:szCs w:val="17"/>
          <w:color w:val="auto"/>
        </w:rPr>
        <w:t>. To the extent that such action is determined by the General Partner to be reasonable and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the General Partner shall file amendments to and restatements of the Certificate and do all the things to maintain the Partnership as a limited partnership (or a partnership in which the limited partners have limited liability) under the laws of the State of Delaware and each other state, the District of Columbia or any other jurisdiction, in which the Partnership may elect to do business or own property. Except as otherwise required under the Act, the General Partner shall not be required, before or after filing, to deliver or mail a copy of the Certificate or any amendment thereto to any Limited Partner. The General Partner shall use all reasonable efforts to cause to be filed such other certificates or documents as may be reasonable and necessary or appropriate for the formation, continuation, qualification and operation of a limited partnership (or a partnership in which the limited partners have limited liability to the extent provided by applicable law) in the State of Delaware and any other state, or the District of Columbia or other jurisdiction, in which the Partnership may elect to do business or own property.</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6"/>
          <w:szCs w:val="16"/>
          <w:b w:val="1"/>
          <w:bCs w:val="1"/>
          <w:color w:val="auto"/>
        </w:rPr>
        <w:t>Restrictions on General Partner’s Authority.</w:t>
      </w:r>
    </w:p>
    <w:p>
      <w:pPr>
        <w:spacing w:after="0" w:line="229" w:lineRule="exact"/>
        <w:rPr>
          <w:sz w:val="20"/>
          <w:szCs w:val="20"/>
          <w:color w:val="auto"/>
        </w:rPr>
      </w:pPr>
    </w:p>
    <w:p>
      <w:pPr>
        <w:ind w:right="60" w:firstLine="656"/>
        <w:spacing w:after="0" w:line="255" w:lineRule="auto"/>
        <w:tabs>
          <w:tab w:leader="none" w:pos="12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General Partner may not take any action in contravention of an express prohibition or limitation of this Agreement without the written consent of a Majority in Interest of the Outside Limited Partners and may not (1) perform any act that would subject a Limited Partner to liability as a general partner in any jurisdiction or any other liability except as provided herein or under the Act; or (2) enter into any contract, mortgage, loan or other agreement that prohibits or restricts, or has the effect of prohibiting or restricting, the ability of a Limited Partner to exercise its rights to a Redemption in full, except in each case with the written consent of such Limited Partner. The General Partner may not take any action in contravention of this Agreement, including, without limitation:</w:t>
      </w:r>
    </w:p>
    <w:p>
      <w:pPr>
        <w:spacing w:after="0" w:line="193" w:lineRule="exact"/>
        <w:rPr>
          <w:rFonts w:ascii="Arial" w:cs="Arial" w:eastAsia="Arial" w:hAnsi="Arial"/>
          <w:sz w:val="18"/>
          <w:szCs w:val="18"/>
          <w:color w:val="auto"/>
        </w:rPr>
      </w:pPr>
    </w:p>
    <w:p>
      <w:pPr>
        <w:ind w:right="220" w:firstLine="656"/>
        <w:spacing w:after="0" w:line="277" w:lineRule="auto"/>
        <w:tabs>
          <w:tab w:leader="none" w:pos="13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General Partner shall not, without the written consent of a Majority in Interest of the Outside Limited Partners, except as provided in </w:t>
      </w:r>
      <w:r>
        <w:rPr>
          <w:rFonts w:ascii="Arial" w:cs="Arial" w:eastAsia="Arial" w:hAnsi="Arial"/>
          <w:sz w:val="18"/>
          <w:szCs w:val="18"/>
          <w:u w:val="single" w:color="auto"/>
          <w:color w:val="auto"/>
        </w:rPr>
        <w:t>Sections 4.3.A</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7.3.C</w:t>
      </w:r>
      <w:r>
        <w:rPr>
          <w:rFonts w:ascii="Arial" w:cs="Arial" w:eastAsia="Arial" w:hAnsi="Arial"/>
          <w:sz w:val="18"/>
          <w:szCs w:val="18"/>
          <w:color w:val="auto"/>
        </w:rPr>
        <w:t xml:space="preserve"> hereof, amend, modify or terminate this Agreement.</w:t>
      </w:r>
    </w:p>
    <w:p>
      <w:pPr>
        <w:spacing w:after="0" w:line="170" w:lineRule="exact"/>
        <w:rPr>
          <w:rFonts w:ascii="Arial" w:cs="Arial" w:eastAsia="Arial" w:hAnsi="Arial"/>
          <w:sz w:val="18"/>
          <w:szCs w:val="18"/>
          <w:color w:val="auto"/>
        </w:rPr>
      </w:pPr>
    </w:p>
    <w:p>
      <w:pPr>
        <w:ind w:right="440" w:firstLine="656"/>
        <w:spacing w:after="0" w:line="277" w:lineRule="auto"/>
        <w:tabs>
          <w:tab w:leader="none" w:pos="13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Sections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14.2</w:t>
      </w:r>
      <w:r>
        <w:rPr>
          <w:rFonts w:ascii="Arial" w:cs="Arial" w:eastAsia="Arial" w:hAnsi="Arial"/>
          <w:sz w:val="18"/>
          <w:szCs w:val="18"/>
          <w:color w:val="auto"/>
        </w:rPr>
        <w:t>, the General Partner shall have the exclusive power, without the prior consent of the Limited Partners, to amend this Agreement as may be required to facilitate or implement any of the following purposes:</w:t>
      </w:r>
    </w:p>
    <w:p>
      <w:pPr>
        <w:spacing w:after="0" w:line="170" w:lineRule="exact"/>
        <w:rPr>
          <w:rFonts w:ascii="Arial" w:cs="Arial" w:eastAsia="Arial" w:hAnsi="Arial"/>
          <w:sz w:val="18"/>
          <w:szCs w:val="18"/>
          <w:color w:val="auto"/>
        </w:rPr>
      </w:pPr>
    </w:p>
    <w:p>
      <w:pPr>
        <w:ind w:right="200" w:firstLine="1305"/>
        <w:spacing w:after="0" w:line="277" w:lineRule="auto"/>
        <w:tabs>
          <w:tab w:leader="none" w:pos="19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add to the obligations of the General Partner or surrender any right or power granted to the General Partner or any Affiliate of the General Partner for the benefit of the Limited Partners;</w:t>
      </w:r>
    </w:p>
    <w:p>
      <w:pPr>
        <w:spacing w:after="0" w:line="170" w:lineRule="exact"/>
        <w:rPr>
          <w:rFonts w:ascii="Arial" w:cs="Arial" w:eastAsia="Arial" w:hAnsi="Arial"/>
          <w:sz w:val="18"/>
          <w:szCs w:val="18"/>
          <w:color w:val="auto"/>
        </w:rPr>
      </w:pPr>
    </w:p>
    <w:p>
      <w:pPr>
        <w:ind w:right="580" w:firstLine="1305"/>
        <w:spacing w:after="0" w:line="277" w:lineRule="auto"/>
        <w:tabs>
          <w:tab w:leader="none" w:pos="1976"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to reflect the admission, substitution or withdrawal of Partners or the termination of the Partnership in accordance with this Agreement, and to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connection with such admission, substitution or withdrawal;</w:t>
      </w:r>
    </w:p>
    <w:p>
      <w:pPr>
        <w:sectPr>
          <w:pgSz w:w="11900" w:h="16888" w:orient="portrait"/>
          <w:cols w:equalWidth="0" w:num="1">
            <w:col w:w="11420"/>
          </w:cols>
          <w:pgMar w:left="240" w:top="125" w:right="239" w:bottom="0" w:gutter="0" w:footer="0" w:header="0"/>
        </w:sectPr>
      </w:pPr>
    </w:p>
    <w:bookmarkStart w:id="25" w:name="page26"/>
    <w:bookmarkEnd w:id="25"/>
    <w:p>
      <w:pPr>
        <w:ind w:right="140" w:firstLine="1305"/>
        <w:spacing w:after="0" w:line="286" w:lineRule="auto"/>
        <w:tabs>
          <w:tab w:leader="none" w:pos="19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reflect a change that is of an inconsequential nature and does not adversely affect the Limited Partners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1305"/>
        <w:spacing w:after="0" w:line="277" w:lineRule="auto"/>
        <w:tabs>
          <w:tab w:leader="none" w:pos="19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satisfy any requirements, conditions or guidelines contained in any order, directive, opinion, ruling or regulation of a federal or state agency or contained in federal or state law;</w:t>
      </w:r>
    </w:p>
    <w:p>
      <w:pPr>
        <w:spacing w:after="0" w:line="170"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to reflect such changes as are reasonably necessary for the Parent to maintain or restore its status as a REIT or to satisfy the REIT Requirements; or (b) to reflect the Transfer of all or any part of a Partnership Interest among the General Partner, the Parent Limited Partner, the Parent and any Qualified REIT Subsidiary;</w:t>
      </w:r>
    </w:p>
    <w:p>
      <w:pPr>
        <w:spacing w:after="0" w:line="181" w:lineRule="exact"/>
        <w:rPr>
          <w:rFonts w:ascii="Arial" w:cs="Arial" w:eastAsia="Arial" w:hAnsi="Arial"/>
          <w:sz w:val="18"/>
          <w:szCs w:val="18"/>
          <w:color w:val="auto"/>
        </w:rPr>
      </w:pPr>
    </w:p>
    <w:p>
      <w:pPr>
        <w:ind w:right="580" w:firstLine="1305"/>
        <w:spacing w:after="0" w:line="277" w:lineRule="auto"/>
        <w:tabs>
          <w:tab w:leader="none" w:pos="19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modify the manner in which Capital Accounts are computed (but only to the extent set forth in the definition of “</w:t>
      </w: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or contemplated by the Code or the Regulations); and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to issue additional Partnership Interests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General Partner will provide notice to the Limited Partners whenever any action under this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is taken.</w:t>
      </w:r>
    </w:p>
    <w:p>
      <w:pPr>
        <w:spacing w:after="0" w:line="225" w:lineRule="exact"/>
        <w:rPr>
          <w:sz w:val="20"/>
          <w:szCs w:val="20"/>
          <w:color w:val="auto"/>
        </w:rPr>
      </w:pPr>
    </w:p>
    <w:p>
      <w:pPr>
        <w:ind w:right="20" w:firstLine="656"/>
        <w:spacing w:after="0" w:line="273" w:lineRule="auto"/>
        <w:tabs>
          <w:tab w:leader="none" w:pos="130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Sections 7.3.B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7.3.C</w:t>
      </w:r>
      <w:r>
        <w:rPr>
          <w:rFonts w:ascii="Arial" w:cs="Arial" w:eastAsia="Arial" w:hAnsi="Arial"/>
          <w:sz w:val="17"/>
          <w:szCs w:val="17"/>
          <w:color w:val="auto"/>
        </w:rPr>
        <w:t xml:space="preserve"> hereof, this Agreement shall not be amended, and no action may be taken by the General Partner, without the consent of each Partner adversely affected thereby, if such amendment or action would (i) convert a Limited Partner Interest in the Partnership into a General Partner Interest (except as a result of the General Partner acquiring such Partnership Interest), (ii) modify the limited liability of a Limited Partner or (iii) amend this </w:t>
      </w:r>
      <w:r>
        <w:rPr>
          <w:rFonts w:ascii="Arial" w:cs="Arial" w:eastAsia="Arial" w:hAnsi="Arial"/>
          <w:sz w:val="17"/>
          <w:szCs w:val="17"/>
          <w:u w:val="single" w:color="auto"/>
          <w:color w:val="auto"/>
        </w:rPr>
        <w:t>Section 7.3.D</w:t>
      </w:r>
      <w:r>
        <w:rPr>
          <w:rFonts w:ascii="Arial" w:cs="Arial" w:eastAsia="Arial" w:hAnsi="Arial"/>
          <w:sz w:val="17"/>
          <w:szCs w:val="17"/>
          <w:color w:val="auto"/>
        </w:rPr>
        <w:t xml:space="preserve">. Further, no amendment may alter the restrictions on the General Partner’s authority set forth elsewhere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without the consent specified therein. Any such amendment or action consented to by any Partner shall be effective as to that Partner, notwithstanding the absence of such consent by any other Partner.</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Reimbursement of the General Partner and Parent.</w:t>
      </w:r>
    </w:p>
    <w:p>
      <w:pPr>
        <w:spacing w:after="0" w:line="229" w:lineRule="exact"/>
        <w:rPr>
          <w:sz w:val="20"/>
          <w:szCs w:val="20"/>
          <w:color w:val="auto"/>
        </w:rPr>
      </w:pPr>
    </w:p>
    <w:p>
      <w:pPr>
        <w:ind w:right="320" w:firstLine="656"/>
        <w:spacing w:after="0" w:line="264"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elsewhere in this Agreement (including the provisions of </w:t>
      </w:r>
      <w:r>
        <w:rPr>
          <w:rFonts w:ascii="Arial" w:cs="Arial" w:eastAsia="Arial" w:hAnsi="Arial"/>
          <w:sz w:val="18"/>
          <w:szCs w:val="18"/>
          <w:u w:val="single" w:color="auto"/>
          <w:color w:val="auto"/>
        </w:rPr>
        <w:t>Articles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regarding distributions, payments and allocations to which it may be entitled), the General Partner shall not be compensated for its services as general partner of the Partnership.</w:t>
      </w:r>
    </w:p>
    <w:p>
      <w:pPr>
        <w:spacing w:after="0" w:line="181" w:lineRule="exact"/>
        <w:rPr>
          <w:rFonts w:ascii="Arial" w:cs="Arial" w:eastAsia="Arial" w:hAnsi="Arial"/>
          <w:sz w:val="18"/>
          <w:szCs w:val="18"/>
          <w:color w:val="auto"/>
        </w:rPr>
      </w:pPr>
    </w:p>
    <w:p>
      <w:pPr>
        <w:ind w:right="60" w:firstLine="656"/>
        <w:spacing w:after="0" w:line="268" w:lineRule="auto"/>
        <w:tabs>
          <w:tab w:leader="none" w:pos="1313"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Partnership shall be responsible for and shall pay all expenses relating to the Partnership’s, the General Partner’s and the Parent’s organization, the ownership of their assets and their operations. The General Partner and/or the Parent are hereby authorized to pay compensation for accounting, administrative, legal, technical, management and other services rendered to the Partnership. Except to the extent provided in this Agreement, the General Partner, the Parent and their Affiliates shall be reimbursed on a monthly basis, or such other basis as the General Partner may determine in its sole and absolute discretion, for all expenses that the General Partner, the Parent and their Affiliates incur relating to the ownership and operation of, or for the benefit of, the Partnership (including, without limitation, administrative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reimbursement shall be reduced by any interest earned by the General Partner with respect to bank accounts or other instruments or accounts held by it on behalf of the Partnership. The Partners acknowledge that all such expenses of the General Partner and/or the Parent are deemed to be for the benefit of the Partnership. Such reimbursement shall be in addition to any reimbursement made as a result of indemnification pursuant to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hereof. In the event that certain expenses are incurred for the benefit of the Partnership and other entities (including the General Partner and/or the Parent), such expenses will be allocated to the Partnership and such other entities in such a manner as the General Partner in its sole and absolute discretion deems fair and reasonable. All payments and reimbursements hereunder shall be characterized for federal income tax purposes as expenses of the Partnership incurred on its behalf, and not as expenses of the General Partner and/or the Parent.</w:t>
      </w:r>
    </w:p>
    <w:p>
      <w:pPr>
        <w:spacing w:after="0" w:line="187" w:lineRule="exact"/>
        <w:rPr>
          <w:rFonts w:ascii="Arial" w:cs="Arial" w:eastAsia="Arial" w:hAnsi="Arial"/>
          <w:sz w:val="17"/>
          <w:szCs w:val="17"/>
          <w:color w:val="auto"/>
        </w:rPr>
      </w:pPr>
    </w:p>
    <w:p>
      <w:pPr>
        <w:ind w:firstLine="656"/>
        <w:spacing w:after="0" w:line="257" w:lineRule="auto"/>
        <w:tabs>
          <w:tab w:leader="none" w:pos="13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Parent shall elect to purchase from its stockholders REIT Shares for the purpose of delivering such REIT Shares to satisfy an obligation under any dividend reinvestment program adopted by the Parent, any employee stock purchase plan adopted by the Parent or any similar obligation or arrangement undertaken by the Parent in the future or for the purpose of retiring such REIT Shares, the purchase price paid by the Parent for such REIT Shares and any other expenses incurred by the Parent in connection with such purchase shall be considered expenses of the Partnership and shall be advanced to the Parent or reimbursed to the Parent, subject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condition that: (1) if such REIT Shares subsequently are sold by the Parent, the Parent shall pay or cause to be paid to the Partnership any proceeds received by the Parent for such REIT Shares (which sales proceeds shall include the amount of dividends reinvested under any dividend reinvestment or similar program; provided, that a transfer of REIT Shares for Partnership Units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would not be considered a sale for such purposes); and</w:t>
      </w:r>
    </w:p>
    <w:p>
      <w:pPr>
        <w:ind w:right="40" w:firstLine="8"/>
        <w:spacing w:after="0" w:line="269"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if such REIT Shares are not retransferred by the Parent within 30 days after the purchase thereof, or the Parent otherwise determines not to retransfer such REIT Shares, the Parent shall cause the Partnership to redeem a number of Partnership Units held by the Parent equal to the number of such REIT Shares, as adjusted (x) pursuant to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(in the event the General Partner acquires material assets, other than on behalf of the Partnership) and (y) for stock dividends and distributions, stock splits and subdivisions, reverse stock splits and combinations, distributions of rights, warrants or options, and distributions of evidences of indebtedness or assets relating to assets not received by the General Partner pursuant 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by the Partnership (in which case such advancement or reimbursement of expenses shall be treated as having been made as a distribution in redemption of such number of Partnership Units held by the General Partner).</w:t>
      </w:r>
    </w:p>
    <w:p>
      <w:pPr>
        <w:spacing w:after="0" w:line="180" w:lineRule="exact"/>
        <w:rPr>
          <w:rFonts w:ascii="Arial" w:cs="Arial" w:eastAsia="Arial" w:hAnsi="Arial"/>
          <w:sz w:val="17"/>
          <w:szCs w:val="17"/>
          <w:color w:val="auto"/>
        </w:rPr>
      </w:pPr>
    </w:p>
    <w:p>
      <w:pPr>
        <w:ind w:right="40" w:firstLine="656"/>
        <w:spacing w:after="0" w:line="342" w:lineRule="auto"/>
        <w:tabs>
          <w:tab w:leader="none" w:pos="1309"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the General Partner shall be treated as having made a Capital Contribution in the amount of all expenses that the Parent incurs relating to the Parent’s offering of REIT Shares, Contingent Conversion Shares, Preferred Shares, Junior Shares or New Securities.</w:t>
      </w:r>
    </w:p>
    <w:p>
      <w:pPr>
        <w:sectPr>
          <w:pgSz w:w="11900" w:h="16838" w:orient="portrait"/>
          <w:cols w:equalWidth="0" w:num="1">
            <w:col w:w="11400"/>
          </w:cols>
          <w:pgMar w:left="240" w:top="125" w:right="259" w:bottom="0" w:gutter="0" w:footer="0" w:header="0"/>
        </w:sectPr>
      </w:pPr>
    </w:p>
    <w:bookmarkStart w:id="26" w:name="page27"/>
    <w:bookmarkEnd w:id="26"/>
    <w:p>
      <w:pPr>
        <w:ind w:right="60" w:firstLine="656"/>
        <w:spacing w:after="0" w:line="259" w:lineRule="auto"/>
        <w:tabs>
          <w:tab w:leader="none" w:pos="13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and to the extent any reimbursements to the General Partner pursuant to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constitute gross income of the General Partner (as opposed to the repayment of advances made by the General Partner on behalf of the Partnership), such amounts shall constitute guaranteed payments with respect to capital within the meaning of Code Section 707(c), shall be treated consistently therewith by the Partnership and all Partners, and shall not be treated as distributions for purposes of computing the Partners’ Capital Accounts.</w:t>
      </w:r>
    </w:p>
    <w:p>
      <w:pPr>
        <w:spacing w:after="0" w:line="18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Section 7.5 Outside Activities of the General Partner</w:t>
      </w:r>
      <w:r>
        <w:rPr>
          <w:rFonts w:ascii="Arial" w:cs="Arial" w:eastAsia="Arial" w:hAnsi="Arial"/>
          <w:sz w:val="16"/>
          <w:szCs w:val="16"/>
          <w:color w:val="auto"/>
        </w:rPr>
        <w:t>. The General Partner shall not directly or indirectly enter into or conduct any business,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in connection with (a) the ownership, acquisition and disposition of Partnership Interests as General Partner, (b) the management of the business of the Partnership, (c) if the General Partner becomes a reporting company with a class (or classes) of securities registered under the Exchange Act, the operation of the General Partner as such, (d) financing or refinancing of any type related to the Partnership or its assets or activities, (e) any of the foregoing activities as they relate to a Subsidiary of the Partnership, and (f) such activities as are incidental thereto. Nothing contained herein shall be deemed to prohibit the General Partner from executing guarantees of Partnership debt for which it would otherwise be liable in its capacity as General Partner.</w:t>
      </w:r>
    </w:p>
    <w:p>
      <w:pPr>
        <w:spacing w:after="0" w:line="15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Contracts with Affiliates.</w:t>
      </w:r>
    </w:p>
    <w:p>
      <w:pPr>
        <w:spacing w:after="0" w:line="229" w:lineRule="exact"/>
        <w:rPr>
          <w:sz w:val="20"/>
          <w:szCs w:val="20"/>
          <w:color w:val="auto"/>
        </w:rPr>
      </w:pPr>
    </w:p>
    <w:p>
      <w:pPr>
        <w:ind w:right="240" w:firstLine="656"/>
        <w:spacing w:after="0" w:line="264" w:lineRule="auto"/>
        <w:tabs>
          <w:tab w:leader="none" w:pos="12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Partnership may lend or contribute funds or other assets to its Subsidiaries or other Persons in which it has an equity investment, and such Persons may borrow funds from the Partnership, on terms and conditions established in the sole and absolute discretion of the General Partner. The foregoing authority shall not create any right or benefit in favor of any Subsidiary or any other Person.</w:t>
      </w:r>
    </w:p>
    <w:p>
      <w:pPr>
        <w:spacing w:after="0" w:line="181" w:lineRule="exact"/>
        <w:rPr>
          <w:rFonts w:ascii="Arial" w:cs="Arial" w:eastAsia="Arial" w:hAnsi="Arial"/>
          <w:sz w:val="18"/>
          <w:szCs w:val="18"/>
          <w:color w:val="auto"/>
        </w:rPr>
      </w:pPr>
    </w:p>
    <w:p>
      <w:pPr>
        <w:ind w:right="60" w:firstLine="656"/>
        <w:spacing w:after="0" w:line="264" w:lineRule="auto"/>
        <w:tabs>
          <w:tab w:leader="none" w:pos="13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 as the General Partner, in its sole and absolute discretion, believes to be advisable.</w:t>
      </w:r>
    </w:p>
    <w:p>
      <w:pPr>
        <w:spacing w:after="0" w:line="181" w:lineRule="exact"/>
        <w:rPr>
          <w:rFonts w:ascii="Arial" w:cs="Arial" w:eastAsia="Arial" w:hAnsi="Arial"/>
          <w:sz w:val="18"/>
          <w:szCs w:val="18"/>
          <w:color w:val="auto"/>
        </w:rPr>
      </w:pPr>
    </w:p>
    <w:p>
      <w:pPr>
        <w:ind w:right="440" w:firstLine="656"/>
        <w:spacing w:after="0" w:line="264" w:lineRule="auto"/>
        <w:tabs>
          <w:tab w:leader="none" w:pos="13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expressly permitted by this Agreement, neither the General Partner nor any of its Affiliates shall sell, transfer or convey any property to the Partnership, directly or indirectly, except pursuant to transactions that are determined by the General Partner in good faith to be fair and reasonable.</w:t>
      </w:r>
    </w:p>
    <w:p>
      <w:pPr>
        <w:spacing w:after="0" w:line="181" w:lineRule="exact"/>
        <w:rPr>
          <w:rFonts w:ascii="Arial" w:cs="Arial" w:eastAsia="Arial" w:hAnsi="Arial"/>
          <w:sz w:val="18"/>
          <w:szCs w:val="18"/>
          <w:color w:val="auto"/>
        </w:rPr>
      </w:pPr>
    </w:p>
    <w:p>
      <w:pPr>
        <w:ind w:right="20" w:firstLine="656"/>
        <w:spacing w:after="0" w:line="259" w:lineRule="auto"/>
        <w:tabs>
          <w:tab w:leader="none" w:pos="13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General Partner and/or the Parent, in its sole and absolute discretion and without the approval of the Limited Partners, may propose and adopt on behalf of the Partnership employee benefit plans funded by the Partnership for the benefit of employees of the General Partner, the Partnership, Subsidiaries of the Partnership or any Affiliate of any of them in respect of services performed, directly or indirectly, for the benefit of the Partnership or any of the Partnership’s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656"/>
        <w:spacing w:after="0" w:line="342" w:lineRule="auto"/>
        <w:tabs>
          <w:tab w:leader="none" w:pos="131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General Partner is expressly authorized to enter into, in the name and on behalf of the Partnership, any Services Agreement with Affiliates of any of the Partnership or the General Partner, on such terms as the General Partner, in its sole and absolute discretion, believes are advisable.</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firstLine="656"/>
        <w:spacing w:after="0" w:line="285" w:lineRule="auto"/>
        <w:tabs>
          <w:tab w:leader="none" w:pos="12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Partnership shall indemnify each Indemnitee from and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Partnership (“</w:t>
      </w:r>
      <w:r>
        <w:rPr>
          <w:rFonts w:ascii="Arial" w:cs="Arial" w:eastAsia="Arial" w:hAnsi="Arial"/>
          <w:sz w:val="16"/>
          <w:szCs w:val="16"/>
          <w:u w:val="single" w:color="auto"/>
          <w:color w:val="auto"/>
        </w:rPr>
        <w:t>Actions</w:t>
      </w:r>
      <w:r>
        <w:rPr>
          <w:rFonts w:ascii="Arial" w:cs="Arial" w:eastAsia="Arial" w:hAnsi="Arial"/>
          <w:sz w:val="16"/>
          <w:szCs w:val="16"/>
          <w:color w:val="auto"/>
        </w:rPr>
        <w:t xml:space="preserve">”) as set forth in this Agreement in which such Indemnitee may be involved, or is threatened to be involved, as a party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Partnership shall not indemnify an Indemnitee (1) for willful misconduct or a knowing violation of the law, (2) for any transaction for which such Indemnitee received an improper personal benefit in violation or breach of any provision of this Agreement, or (3) in the case of any criminal proceeding, the Indemnitee had reasonable cause to believe that the act or omission was unlawful. Without limitation, the foregoing indemnity shall extend to any liability of any Indemnitee, pursuant to a loan guaranty or otherwise, for any indebtedness of the Partnership or any Subsidiary of the Partnership (including, without limitation, any indebtedness which the Partnership or any Subsidiary of the Partnership has assumed or taken subject to), and the General Partner is hereby authorized and empowered, on behalf of the Partnership, to enter into one or more indemnity agreements consistent with the provisions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in favor of any Indemnitee having or potentially having liability for any such indebtedness. The termination of any proceeding by judgment, order or settlement does not create a presumption that the Indemnitee did not meet the requisite standard of conduct set forth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The termination of any proceeding by conviction of an Indemnitee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by an Indemnitee, or an entry of an order of probation against an Indemnitee prior to judgment, does not create a presumption that such Indemnitee acted in a manner contrary to that specified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with respect to the subject matter of such proceeding. Any indemnification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made only out of the assets of the Partnership and any insurance proceeds from the liability policy covering the General Partner and any Indemnitees, and neither the General Partner nor any Limited Partner shall have any obligation to contribute to the capital of the Partnership or otherwise provide funds to enable the Partnership to fund its obligations under this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280" w:firstLine="656"/>
        <w:spacing w:after="0" w:line="276" w:lineRule="auto"/>
        <w:tabs>
          <w:tab w:leader="none" w:pos="13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expenses incurred by an Indemnitee who is a party to a proceeding or otherwise subject to or the focus of or is involved in any Action shall be paid or reimbursed by the Partnership as incurred by the Indemnitee in advance of the final disposition of the Action upon receipt by the Partnership of (1) a written affirmation by the Indemnitee of the Indemnitee’s good faith belief that the standard of conduct necessary for indemnification by the Partnership as authorized in this </w:t>
      </w:r>
      <w:r>
        <w:rPr>
          <w:rFonts w:ascii="Arial" w:cs="Arial" w:eastAsia="Arial" w:hAnsi="Arial"/>
          <w:sz w:val="17"/>
          <w:szCs w:val="17"/>
          <w:u w:val="single" w:color="auto"/>
          <w:color w:val="auto"/>
        </w:rPr>
        <w:t>Section 7.7.B</w:t>
      </w:r>
      <w:r>
        <w:rPr>
          <w:rFonts w:ascii="Arial" w:cs="Arial" w:eastAsia="Arial" w:hAnsi="Arial"/>
          <w:sz w:val="17"/>
          <w:szCs w:val="17"/>
          <w:color w:val="auto"/>
        </w:rPr>
        <w:t xml:space="preserve"> has been met and (2) a written undertaking by or on behalf of the Indemnitee to repay the amount if it shall ultimately be determined that the standard of conduct has not been met.</w:t>
      </w:r>
    </w:p>
    <w:p>
      <w:pPr>
        <w:spacing w:after="0" w:line="172" w:lineRule="exact"/>
        <w:rPr>
          <w:rFonts w:ascii="Arial" w:cs="Arial" w:eastAsia="Arial" w:hAnsi="Arial"/>
          <w:sz w:val="17"/>
          <w:szCs w:val="17"/>
          <w:color w:val="auto"/>
        </w:rPr>
      </w:pPr>
    </w:p>
    <w:p>
      <w:pPr>
        <w:ind w:right="20" w:firstLine="656"/>
        <w:spacing w:after="0" w:line="279" w:lineRule="auto"/>
        <w:tabs>
          <w:tab w:leader="none" w:pos="13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be in addition to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and administrators of the Indemnitee unless otherwise provided in a written agreement with such Indemnitee or in the writing pursuant to which such Indemnitee is indemnified.</w:t>
      </w:r>
    </w:p>
    <w:p>
      <w:pPr>
        <w:spacing w:after="0" w:line="171" w:lineRule="exact"/>
        <w:rPr>
          <w:rFonts w:ascii="Arial" w:cs="Arial" w:eastAsia="Arial" w:hAnsi="Arial"/>
          <w:sz w:val="17"/>
          <w:szCs w:val="17"/>
          <w:color w:val="auto"/>
        </w:rPr>
      </w:pPr>
    </w:p>
    <w:p>
      <w:pPr>
        <w:ind w:right="40" w:firstLine="656"/>
        <w:spacing w:after="0" w:line="259" w:lineRule="auto"/>
        <w:tabs>
          <w:tab w:leader="none" w:pos="13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ectPr>
          <w:pgSz w:w="11900" w:h="16838" w:orient="portrait"/>
          <w:cols w:equalWidth="0" w:num="1">
            <w:col w:w="11420"/>
          </w:cols>
          <w:pgMar w:left="240" w:top="125" w:right="239" w:bottom="0" w:gutter="0" w:footer="0" w:header="0"/>
        </w:sectPr>
      </w:pPr>
    </w:p>
    <w:bookmarkStart w:id="27" w:name="page28"/>
    <w:bookmarkEnd w:id="27"/>
    <w:p>
      <w:pPr>
        <w:ind w:right="80" w:firstLine="656"/>
        <w:spacing w:after="0" w:line="279" w:lineRule="auto"/>
        <w:tabs>
          <w:tab w:leader="none" w:pos="13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liabilities which an Indemnitee incurs as a result of acting on behalf of the Partnership, the General Partner or the Parent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mechanism, or otherwise) shall be treated as liabilities or judgments or fines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unless such liabilities arise as a result of (1) such Indemnitee’s intentional misconduct or knowing violation of the law, (2) any transaction in which such Indemnitee received a personal benefit in violation or breach of any provision of this Agreement or applicable law, or (3) in the case of any criminal proceeding, the Indemnitee had reasonable cause to believe that the act or omission was unlawful.</w:t>
      </w:r>
    </w:p>
    <w:p>
      <w:pPr>
        <w:spacing w:after="0" w:line="187"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no event may an Indemnitee subject any of the Partners to personal liability by reason of the indemnification provisions set forth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60" w:firstLine="656"/>
        <w:spacing w:after="0" w:line="308" w:lineRule="auto"/>
        <w:tabs>
          <w:tab w:leader="none" w:pos="1323"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80" w:firstLine="656"/>
        <w:spacing w:after="0" w:line="297" w:lineRule="auto"/>
        <w:tabs>
          <w:tab w:leader="none" w:pos="1309"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are for the benefit of the Indemnitees, their heirs, successors, assigns and administrators and shall not be deemed to create any rights for the benefit of any other Persons. Any amendment, modification or repeal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or any provision hereof shall be prospective only and shall not in any way affect the obligations of the Partnership or the limitations on the Partnership’s liability to any Indemnitee under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8" w:lineRule="exact"/>
        <w:rPr>
          <w:rFonts w:ascii="Arial" w:cs="Arial" w:eastAsia="Arial" w:hAnsi="Arial"/>
          <w:sz w:val="16"/>
          <w:szCs w:val="16"/>
          <w:color w:val="auto"/>
        </w:rPr>
      </w:pPr>
    </w:p>
    <w:p>
      <w:pPr>
        <w:jc w:val="both"/>
        <w:ind w:right="400" w:firstLine="656"/>
        <w:spacing w:after="0" w:line="259" w:lineRule="auto"/>
        <w:tabs>
          <w:tab w:leader="none" w:pos="1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and to the extent any payments to the General Partner pursuant to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constitute gross income to the General Partner (as opposed to the repayment of advances made on behalf of the Partnership) such amounts shall be treated as “guaranteed payments” within the meaning of Code Section 707(c), shall be treated consistently therewith by the Partnership and all Partners, and shall not be treated by distribution for purposes of computing the Partners’ Capital Accounts.</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color w:val="auto"/>
        </w:rPr>
        <w:t>Liability of the General Partner.</w:t>
      </w:r>
    </w:p>
    <w:p>
      <w:pPr>
        <w:spacing w:after="0" w:line="229" w:lineRule="exact"/>
        <w:rPr>
          <w:sz w:val="20"/>
          <w:szCs w:val="20"/>
          <w:color w:val="auto"/>
        </w:rPr>
      </w:pPr>
    </w:p>
    <w:p>
      <w:pPr>
        <w:ind w:right="20" w:firstLine="656"/>
        <w:spacing w:after="0" w:line="312" w:lineRule="auto"/>
        <w:tabs>
          <w:tab w:leader="none" w:pos="1296"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neither the General Partner nor any of its trustees or officers shall be liable or accountable in damages or otherwise to the Partnership, any Partners or any Assignees for losses sustained, liabilities incurred or benefits not derived as a result of errors in judgment or mistakes of fact or law or of any act or omission if the General Partner or such trustee or officer acted in good faith.</w:t>
      </w:r>
    </w:p>
    <w:p>
      <w:pPr>
        <w:spacing w:after="0" w:line="146" w:lineRule="exact"/>
        <w:rPr>
          <w:rFonts w:ascii="Arial" w:cs="Arial" w:eastAsia="Arial" w:hAnsi="Arial"/>
          <w:sz w:val="16"/>
          <w:szCs w:val="16"/>
          <w:color w:val="auto"/>
        </w:rPr>
      </w:pPr>
    </w:p>
    <w:p>
      <w:pPr>
        <w:ind w:right="20" w:firstLine="656"/>
        <w:spacing w:after="0" w:line="254" w:lineRule="auto"/>
        <w:tabs>
          <w:tab w:leader="none" w:pos="13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Limited Partners expressly acknowledge that the General Partner is acting for the benefit of the Partnership, the Limited Partners and the Parent’s stockholders collectively and that the General Partner is under no obligation to give priority to the separate interests of the Limited Partners or the Parent’s stockholders (including, without limitation, the tax consequences to Limited Partners, Assignees or the Parent’s stockholders) in deciding whether to cause the Partnership to take (or decline to take) any actions. If there is a conflict between the interests of the stockholders of the Parent on one hand and the Limited Partners on the other, the General Partner shall endeavor in good faith to resolve the conflict in a manner not adverse to either the stockholders of the Parent or the Limited Partners. The General Partner shall not be liable under this Agreement to the Partnership or to any Partner for monetary damages for losses sustained, liabilities incurred, or benefits not derived by Limited Partners in connection with such decisions;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General Partner has acted in good faith.</w:t>
      </w:r>
    </w:p>
    <w:p>
      <w:pPr>
        <w:spacing w:after="0" w:line="192" w:lineRule="exact"/>
        <w:rPr>
          <w:rFonts w:ascii="Arial" w:cs="Arial" w:eastAsia="Arial" w:hAnsi="Arial"/>
          <w:sz w:val="18"/>
          <w:szCs w:val="18"/>
          <w:color w:val="auto"/>
        </w:rPr>
      </w:pPr>
    </w:p>
    <w:p>
      <w:pPr>
        <w:ind w:right="200" w:firstLine="656"/>
        <w:spacing w:after="0" w:line="259" w:lineRule="auto"/>
        <w:tabs>
          <w:tab w:leader="none" w:pos="13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its obligations and duties as General Partner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hereof, the General Partner may exercise any of the powers granted to it by this Agreement and perform any of the duties imposed upon it hereunder either directly or by or through its employees or agents (subject to the supervision and control of the General Partner). The General Partner shall not be responsible for any misconduct or negligence on the part of any such agent appointed by it in good faith.</w:t>
      </w:r>
    </w:p>
    <w:p>
      <w:pPr>
        <w:spacing w:after="0" w:line="186" w:lineRule="exact"/>
        <w:rPr>
          <w:rFonts w:ascii="Arial" w:cs="Arial" w:eastAsia="Arial" w:hAnsi="Arial"/>
          <w:sz w:val="18"/>
          <w:szCs w:val="18"/>
          <w:color w:val="auto"/>
        </w:rPr>
      </w:pPr>
    </w:p>
    <w:p>
      <w:pPr>
        <w:ind w:right="580" w:firstLine="656"/>
        <w:spacing w:after="0" w:line="264" w:lineRule="auto"/>
        <w:tabs>
          <w:tab w:leader="none" w:pos="1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that, at law or in equity, the General Partner has duties (including fiduciary duties) and liabilities relating thereto to the Partnership or the Limited Partners, the General Partner shall not be liable to the Partnership or to any other Partner for its good faith reliance on the provisions of this Agreement. The provisions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to the extent that they restrict the duties and liabilities of the General Partner otherwise existing at law or in equity, are agreed by the Partners to replace such other duties and liabilities of such General Partner.</w:t>
      </w:r>
    </w:p>
    <w:p>
      <w:pPr>
        <w:spacing w:after="0" w:line="170" w:lineRule="exact"/>
        <w:rPr>
          <w:sz w:val="20"/>
          <w:szCs w:val="20"/>
          <w:color w:val="auto"/>
        </w:rPr>
      </w:pPr>
    </w:p>
    <w:p>
      <w:pPr>
        <w:ind w:firstLine="656"/>
        <w:spacing w:after="0" w:line="270" w:lineRule="auto"/>
        <w:tabs>
          <w:tab w:leader="none" w:pos="13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Notwithstanding anything herein to the contrary, except for fraud, willful misconduct or gross negligence, or pursuant to any express indemnities given to the Partnership by any Partner pursuant to any other written instrument, no Partner shall have any personal liability whatsoever, to the Partnership or to the other Partner(s), for the debts or liabilities of the Partnership or the Partnership’s obligations hereunder, and the full recourse of the other Partner(s) shall be limited to the interest of that Partner in the Partnership. To the fullest extent permitted by law, no officer, trustee or shareholder of the General Partner shall be liable to the Partnership for money damages except for (1) active and deliberate dishonesty established by a non-appealable final judgment or (2) actual receipt of an improper benefit or profit in money, property or services. Without limitation of the foregoing, and except for fraud, willful misconduct or gross negligence, or pursuant to any such express indemnity, no property or assets of any Partner, other than its interest in the Partnership, shall be subject to levy, execution or other enforcement procedures for the satisfaction of any judgment (or other judicial process) in favor of any other Partner(s) and arising out of, or in connection with, this Agreement. This Agreement is executed by the trustees of the General Partner solely as trustees of the same and not in their own individual capacities.</w:t>
      </w:r>
    </w:p>
    <w:p>
      <w:pPr>
        <w:sectPr>
          <w:pgSz w:w="11900" w:h="16838" w:orient="portrait"/>
          <w:cols w:equalWidth="0" w:num="1">
            <w:col w:w="11420"/>
          </w:cols>
          <w:pgMar w:left="240" w:top="125" w:right="239" w:bottom="0" w:gutter="0" w:footer="0" w:header="0"/>
        </w:sectPr>
      </w:pPr>
    </w:p>
    <w:bookmarkStart w:id="28" w:name="page29"/>
    <w:bookmarkEnd w:id="28"/>
    <w:p>
      <w:pPr>
        <w:spacing w:after="0" w:line="56" w:lineRule="exact"/>
        <w:rPr>
          <w:sz w:val="20"/>
          <w:szCs w:val="20"/>
          <w:color w:val="auto"/>
        </w:rPr>
      </w:pPr>
    </w:p>
    <w:p>
      <w:pPr>
        <w:ind w:right="40" w:firstLine="656"/>
        <w:spacing w:after="0" w:line="279" w:lineRule="auto"/>
        <w:tabs>
          <w:tab w:leader="none" w:pos="12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Any amendment, modification or repeal of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or any provision hereof shall be prospective only and shall not in any way affect the limitations on the General Partner’s, and its officers’ and trustees’, liability to the Partnership and the Limited Partners under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6"/>
          <w:szCs w:val="16"/>
          <w:b w:val="1"/>
          <w:bCs w:val="1"/>
          <w:color w:val="auto"/>
        </w:rPr>
        <w:t>Other Matters Concerning the General Partner and the Parent.</w:t>
      </w:r>
    </w:p>
    <w:p>
      <w:pPr>
        <w:spacing w:after="0" w:line="229" w:lineRule="exact"/>
        <w:rPr>
          <w:sz w:val="20"/>
          <w:szCs w:val="20"/>
          <w:color w:val="auto"/>
        </w:rPr>
      </w:pPr>
    </w:p>
    <w:p>
      <w:pPr>
        <w:ind w:right="180" w:firstLine="656"/>
        <w:spacing w:after="0" w:line="264" w:lineRule="auto"/>
        <w:tabs>
          <w:tab w:leader="none" w:pos="12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General Partner and the Parent may rely and shall be protected in acting or refraining from acting upon any resolution, certificate, statement, instrument, opinion, report, notice, request, consent, order, bond, debenture or other paper or document believed by it in good faith to be genuine and to have been signed or presented by the proper party or parties.</w:t>
      </w:r>
    </w:p>
    <w:p>
      <w:pPr>
        <w:spacing w:after="0" w:line="181" w:lineRule="exact"/>
        <w:rPr>
          <w:rFonts w:ascii="Arial" w:cs="Arial" w:eastAsia="Arial" w:hAnsi="Arial"/>
          <w:sz w:val="18"/>
          <w:szCs w:val="18"/>
          <w:color w:val="auto"/>
        </w:rPr>
      </w:pPr>
    </w:p>
    <w:p>
      <w:pPr>
        <w:ind w:firstLine="656"/>
        <w:spacing w:after="0" w:line="279" w:lineRule="auto"/>
        <w:tabs>
          <w:tab w:leader="none" w:pos="131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General Partner and the Parent may consult with legal counsel, accountants, appraisers, management consultants, investment bankers, architects, engineers, environmental consultants and other consultants and advisers selected by it, and any act taken or omitted to be taken in reliance upon the opinion of such Persons as to matters that the General Partner and the Parent reasonably believe to be within such Person’s professional or expert competence shall be conclusively presumed to have been done or omitted in good faith and in accordance with such opinion.</w:t>
      </w:r>
    </w:p>
    <w:p>
      <w:pPr>
        <w:spacing w:after="0" w:line="171" w:lineRule="exact"/>
        <w:rPr>
          <w:rFonts w:ascii="Arial" w:cs="Arial" w:eastAsia="Arial" w:hAnsi="Arial"/>
          <w:sz w:val="17"/>
          <w:szCs w:val="17"/>
          <w:color w:val="auto"/>
        </w:rPr>
      </w:pPr>
    </w:p>
    <w:p>
      <w:pPr>
        <w:ind w:right="160" w:firstLine="656"/>
        <w:spacing w:after="0" w:line="312" w:lineRule="auto"/>
        <w:tabs>
          <w:tab w:leader="none" w:pos="131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General Partner shall have the right, in respect of any of its powers or obligations hereunder, to act through any of its duly authorized officers and a duly appointed attorney or attorneys-in-fact. Each such attorney shall, to the extent provided by the General Partner in the power of attorney, have full power and authority to do and perform all and every act and duty that is permitted or required to be done by the General Partner hereunder.</w:t>
      </w:r>
    </w:p>
    <w:p>
      <w:pPr>
        <w:spacing w:after="0" w:line="146" w:lineRule="exact"/>
        <w:rPr>
          <w:rFonts w:ascii="Arial" w:cs="Arial" w:eastAsia="Arial" w:hAnsi="Arial"/>
          <w:sz w:val="16"/>
          <w:szCs w:val="16"/>
          <w:color w:val="auto"/>
        </w:rPr>
      </w:pPr>
    </w:p>
    <w:p>
      <w:pPr>
        <w:ind w:right="80" w:firstLine="656"/>
        <w:spacing w:after="0" w:line="257" w:lineRule="auto"/>
        <w:tabs>
          <w:tab w:leader="none" w:pos="13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the Act, any action of the General Partner or the Parent on behalf of the Partnership or any decision of the General Partner or the Parent to refrain from acting on behalf of the Partnership, undertaken in the good faith belief that such action or omission is necessary or advisable in order (1) to protect the ability of the Parent to continue to qualify as a REIT, (2) for the Parent otherwise to satisfy the REIT Requirements, or (3) to avoid the Parent incurring any taxes under Code Section 857 or Code Section 4981, is expressly authorized under this Agreement and is deemed approved by all of the Limited Partners.</w:t>
      </w:r>
    </w:p>
    <w:p>
      <w:pPr>
        <w:spacing w:after="0" w:line="184" w:lineRule="exact"/>
        <w:rPr>
          <w:sz w:val="20"/>
          <w:szCs w:val="20"/>
          <w:color w:val="auto"/>
        </w:rPr>
      </w:pPr>
    </w:p>
    <w:p>
      <w:pPr>
        <w:ind w:right="400"/>
        <w:spacing w:after="0" w:line="314" w:lineRule="auto"/>
        <w:rPr>
          <w:sz w:val="20"/>
          <w:szCs w:val="20"/>
          <w:color w:val="auto"/>
        </w:rPr>
      </w:pPr>
      <w:r>
        <w:rPr>
          <w:rFonts w:ascii="Arial" w:cs="Arial" w:eastAsia="Arial" w:hAnsi="Arial"/>
          <w:sz w:val="16"/>
          <w:szCs w:val="16"/>
          <w:b w:val="1"/>
          <w:bCs w:val="1"/>
          <w:color w:val="auto"/>
        </w:rPr>
        <w:t>Section 7.10 Title to Partnership Assets</w:t>
      </w:r>
      <w:r>
        <w:rPr>
          <w:rFonts w:ascii="Arial" w:cs="Arial" w:eastAsia="Arial" w:hAnsi="Arial"/>
          <w:sz w:val="16"/>
          <w:szCs w:val="16"/>
          <w:color w:val="auto"/>
        </w:rPr>
        <w:t>. Title to Partnership assets, whether real, personal or mixed and whether tangible or intangible,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owned by the Partnership as an entity, and no Partner, individually or collectively with other Partners or Persons, shall have any ownership interest in such Partnership assets or any portion thereof. Title to any or all of the Partnership assets may be held in the name of the Partnership,</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the General Partner for the use and benefit of the Partnership in accordance with the provisions of this Agreement. All Partnership assets shall be recorded as the property of the Partnership in its books and records, irrespective of the name in which legal title to such Partnership assets is held.</w:t>
      </w:r>
    </w:p>
    <w:p>
      <w:pPr>
        <w:spacing w:after="0" w:line="18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auto"/>
        </w:rPr>
        <w:t>Section 7.11 Reliance by Third Parties</w:t>
      </w:r>
      <w:r>
        <w:rPr>
          <w:rFonts w:ascii="Arial" w:cs="Arial" w:eastAsia="Arial" w:hAnsi="Arial"/>
          <w:sz w:val="16"/>
          <w:szCs w:val="16"/>
          <w:color w:val="auto"/>
        </w:rPr>
        <w:t>. Notwithstanding anything to the contrary in this Agreement, any Person dealing with the Partnership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assume that the General Partner has full power and authority, without the consent or approval of any other Partner or Person, to encumber, sell or otherwise use in any manner any and all assets of the Partnership and to enter into any contracts on behalf of the Partnership, and take any and all actions on behalf of the Partnership, and such Person shall be entitled to deal with the General Partner as if it were the Partnership’s sole party in interest, both legally and beneficially. Each Limited Partner hereby waives any and all defenses or other remedies that may be available against such Person to contest, negate or disaffirm any action of the General Partner in connection with any such dealing. In no event shall any Person dealing with the General Partner or its representatives be obligated to ascertain that the terms of this Agreement have been complied with or to inquire into the necessity or expediency of any act or action of the General Partner or its representatives. Each and every certificate, document or other instrument executed on behalf of the Partnership by the General Partner or its representatives shall be conclusive evidence in favor of any and every Person relying in good faith thereon or claiming thereunder that</w:t>
      </w:r>
    </w:p>
    <w:p>
      <w:pPr>
        <w:spacing w:after="0" w:line="4" w:lineRule="exact"/>
        <w:rPr>
          <w:sz w:val="20"/>
          <w:szCs w:val="20"/>
          <w:color w:val="auto"/>
        </w:rPr>
      </w:pPr>
    </w:p>
    <w:p>
      <w:pPr>
        <w:ind w:right="80" w:firstLine="8"/>
        <w:spacing w:after="0" w:line="254"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the time of the execution and delivery of such certificate, document or instrument, this Agreement was in full force and effect, (2) the Person executing and delivering such certificate, document or instrument was duly authorized and empowered to do so for and on behalf of the Partnership, and (3) such certificate, document or instrument was duly executed and delivered in accordance with the terms and provisions of this Agreement and is binding upon the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OBLIGATIONS OF LIMITED PARTNERS</w:t>
      </w:r>
    </w:p>
    <w:p>
      <w:pPr>
        <w:spacing w:after="0" w:line="20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Section 8.1 Limitation of Liability</w:t>
      </w:r>
      <w:r>
        <w:rPr>
          <w:rFonts w:ascii="Arial" w:cs="Arial" w:eastAsia="Arial" w:hAnsi="Arial"/>
          <w:sz w:val="18"/>
          <w:szCs w:val="18"/>
          <w:color w:val="auto"/>
        </w:rPr>
        <w:t>. The Limited Partners shall have no liability under this Agreement (other than for breach thereof)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expressly provided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under the Act.</w:t>
      </w:r>
    </w:p>
    <w:p>
      <w:pPr>
        <w:spacing w:after="0" w:line="16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Section 8.2 Management of Business</w:t>
      </w:r>
      <w:r>
        <w:rPr>
          <w:rFonts w:ascii="Arial" w:cs="Arial" w:eastAsia="Arial" w:hAnsi="Arial"/>
          <w:sz w:val="16"/>
          <w:szCs w:val="16"/>
          <w:color w:val="auto"/>
        </w:rPr>
        <w:t>. No Limited Partner or Assignee (other than the General Partner, any of its Affiliates or any officer,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 employee, partner, agent or trustee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officer, director, member, employee, partner, agent, representative, shareholder or trustee of the General Partner, the Partnership or any of their Affiliates, in their capacity as such, shall not affect, impair or eliminate the limitations on the liability of the Limited Partners or Assignees under this Agreement.</w:t>
      </w:r>
    </w:p>
    <w:p>
      <w:pPr>
        <w:spacing w:after="0" w:line="1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Section 8.3 Outside Activities of Limited Partners</w:t>
      </w:r>
      <w:r>
        <w:rPr>
          <w:rFonts w:ascii="Arial" w:cs="Arial" w:eastAsia="Arial" w:hAnsi="Arial"/>
          <w:sz w:val="16"/>
          <w:szCs w:val="16"/>
          <w:color w:val="auto"/>
        </w:rPr>
        <w:t>. Subject to any agreements entered into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7.6.E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any other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by a Limited Partner or its Affiliates with the General Partner, the Partnership, the Parent or any Affiliate thereof (including, without limitation, any employment agreement), any Limited Partner (other than the Parent Limited Partner) and any Assignee, officer, director, employee, agent, trustee, Affiliate, member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to the extent expressly</w:t>
      </w:r>
    </w:p>
    <w:p>
      <w:pPr>
        <w:sectPr>
          <w:pgSz w:w="11900" w:h="16895" w:orient="portrait"/>
          <w:cols w:equalWidth="0" w:num="1">
            <w:col w:w="11400"/>
          </w:cols>
          <w:pgMar w:left="240" w:top="125" w:right="259" w:bottom="0" w:gutter="0" w:footer="0" w:header="0"/>
        </w:sectPr>
      </w:pPr>
    </w:p>
    <w:bookmarkStart w:id="29" w:name="page30"/>
    <w:bookmarkEnd w:id="29"/>
    <w:p>
      <w:pPr>
        <w:ind w:right="100"/>
        <w:spacing w:after="0" w:line="264" w:lineRule="auto"/>
        <w:rPr>
          <w:sz w:val="20"/>
          <w:szCs w:val="20"/>
          <w:color w:val="auto"/>
        </w:rPr>
      </w:pPr>
      <w:r>
        <w:rPr>
          <w:rFonts w:ascii="Arial" w:cs="Arial" w:eastAsia="Arial" w:hAnsi="Arial"/>
          <w:sz w:val="18"/>
          <w:szCs w:val="18"/>
          <w:color w:val="auto"/>
        </w:rPr>
        <w:t xml:space="preserve">provided herein), and such Person shall have no obligation pursuant to this Agreement, subject to </w:t>
      </w:r>
      <w:r>
        <w:rPr>
          <w:rFonts w:ascii="Arial" w:cs="Arial" w:eastAsia="Arial" w:hAnsi="Arial"/>
          <w:sz w:val="18"/>
          <w:szCs w:val="18"/>
          <w:u w:val="single" w:color="auto"/>
          <w:color w:val="auto"/>
        </w:rPr>
        <w:t>Section 7.6.E</w:t>
      </w:r>
      <w:r>
        <w:rPr>
          <w:rFonts w:ascii="Arial" w:cs="Arial" w:eastAsia="Arial" w:hAnsi="Arial"/>
          <w:sz w:val="18"/>
          <w:szCs w:val="18"/>
          <w:color w:val="auto"/>
        </w:rPr>
        <w:t xml:space="preserve"> hereof and any other agreements entered into by a Limited Partner or its Affiliates with the General Partner, the Partnership, the Parent or any Affiliate thereof, to offer any interest in any such business ventures to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Partnership, any Limited Partner, the Parent or any such other Person, even if such opportunity is of a character that, if presented to the Partnership, any Limited Partner, the Parent or such other Person, could be taken by such Person.</w:t>
      </w:r>
    </w:p>
    <w:p>
      <w:pPr>
        <w:spacing w:after="0" w:line="16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Section 8.4 Return of Capital</w:t>
      </w:r>
      <w:r>
        <w:rPr>
          <w:rFonts w:ascii="Arial" w:cs="Arial" w:eastAsia="Arial" w:hAnsi="Arial"/>
          <w:sz w:val="16"/>
          <w:szCs w:val="16"/>
          <w:color w:val="auto"/>
        </w:rPr>
        <w:t>. Except pursuant to the rights of Redemption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b w:val="1"/>
          <w:bCs w:val="1"/>
          <w:color w:val="auto"/>
        </w:rPr>
        <w:t xml:space="preserve"> </w:t>
      </w:r>
      <w:r>
        <w:rPr>
          <w:rFonts w:ascii="Arial" w:cs="Arial" w:eastAsia="Arial" w:hAnsi="Arial"/>
          <w:sz w:val="16"/>
          <w:szCs w:val="16"/>
          <w:color w:val="auto"/>
        </w:rPr>
        <w:t>hereof, no Limited Partner shall be entitled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withdrawal or return of its Capital Contribution, except to the extent of distributions made pursuant to this Agreement or upon termination of the Partnership as provided herein. Except to the extent provided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or otherwise expressly provided in this Agreement, no Limited Partner or Assignee shall have priority over any other Limited Partner or Assignee either as to the return of Capital Contributions or as to profits, losses or distributions.</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Section 8.5 Adjustment Factor</w:t>
      </w:r>
      <w:r>
        <w:rPr>
          <w:rFonts w:ascii="Arial" w:cs="Arial" w:eastAsia="Arial" w:hAnsi="Arial"/>
          <w:sz w:val="18"/>
          <w:szCs w:val="18"/>
          <w:color w:val="auto"/>
        </w:rPr>
        <w:t>. The Partnership shall notify any Limited Partner that is a Qualifying Party, on request, of the then current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Factor or any change made to the Adjustment Factor.</w:t>
      </w:r>
    </w:p>
    <w:p>
      <w:pPr>
        <w:spacing w:after="0" w:line="1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6"/>
          <w:szCs w:val="16"/>
          <w:b w:val="1"/>
          <w:bCs w:val="1"/>
          <w:color w:val="auto"/>
        </w:rPr>
        <w:t>Redemption Rights.</w:t>
      </w:r>
    </w:p>
    <w:p>
      <w:pPr>
        <w:spacing w:after="0" w:line="229" w:lineRule="exact"/>
        <w:rPr>
          <w:sz w:val="20"/>
          <w:szCs w:val="20"/>
          <w:color w:val="auto"/>
        </w:rPr>
      </w:pPr>
    </w:p>
    <w:p>
      <w:pPr>
        <w:ind w:right="20" w:firstLine="656"/>
        <w:spacing w:after="0" w:line="253" w:lineRule="auto"/>
        <w:tabs>
          <w:tab w:leader="none" w:pos="12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after the date 12 months after the Effective Date, with respect to the OP Units (including any Contingent Conversion Units that are converted into OP Units) acquired on or contemporaneously with the Effective Date, each Limited Partner (other than the Parent Limited Partner) shall have the right (subject to the terms and conditions set forth herein and in any other such agreement, as applicable) to require the Partnership to redeem all or a portion of the OP Units held by such Limited Partner (such OP Units being hereafter referred to as “</w:t>
      </w:r>
      <w:r>
        <w:rPr>
          <w:rFonts w:ascii="Arial" w:cs="Arial" w:eastAsia="Arial" w:hAnsi="Arial"/>
          <w:sz w:val="18"/>
          <w:szCs w:val="18"/>
          <w:u w:val="single" w:color="auto"/>
          <w:color w:val="auto"/>
        </w:rPr>
        <w:t>Tendered Units</w:t>
      </w:r>
      <w:r>
        <w:rPr>
          <w:rFonts w:ascii="Arial" w:cs="Arial" w:eastAsia="Arial" w:hAnsi="Arial"/>
          <w:sz w:val="18"/>
          <w:szCs w:val="18"/>
          <w:color w:val="auto"/>
        </w:rPr>
        <w:t>”) in exchange for the Cash Amount (a “</w:t>
      </w:r>
      <w:r>
        <w:rPr>
          <w:rFonts w:ascii="Arial" w:cs="Arial" w:eastAsia="Arial" w:hAnsi="Arial"/>
          <w:sz w:val="18"/>
          <w:szCs w:val="18"/>
          <w:u w:val="single" w:color="auto"/>
          <w:color w:val="auto"/>
        </w:rPr>
        <w:t>Redemption</w:t>
      </w:r>
      <w:r>
        <w:rPr>
          <w:rFonts w:ascii="Arial" w:cs="Arial" w:eastAsia="Arial" w:hAnsi="Arial"/>
          <w:sz w:val="18"/>
          <w:szCs w:val="18"/>
          <w:color w:val="auto"/>
        </w:rPr>
        <w:t>”) unless the terms of such OP Units or a separate agreement entered into between the Partnership and the holder of such OP Units provide that such OP Units are not entitled to a right of Redemption. The Tendering Partner shall have no right, with respect to any OP Units so redeemed, to receive any distributions paid on or after the Specified Redemption Date. Any Redemption shall be exercised pursuant to a Notice of Redemption delivered to the General Partner by the Limited Partner who is exercising the right (the “</w:t>
      </w:r>
      <w:r>
        <w:rPr>
          <w:rFonts w:ascii="Arial" w:cs="Arial" w:eastAsia="Arial" w:hAnsi="Arial"/>
          <w:sz w:val="18"/>
          <w:szCs w:val="18"/>
          <w:u w:val="single" w:color="auto"/>
          <w:color w:val="auto"/>
        </w:rPr>
        <w:t>Tendering Partner</w:t>
      </w:r>
      <w:r>
        <w:rPr>
          <w:rFonts w:ascii="Arial" w:cs="Arial" w:eastAsia="Arial" w:hAnsi="Arial"/>
          <w:sz w:val="18"/>
          <w:szCs w:val="18"/>
          <w:color w:val="auto"/>
        </w:rPr>
        <w:t>”). The Cash Amount shall be payable to the Tendering Partner on the Specified Redemption Date.</w:t>
      </w:r>
    </w:p>
    <w:p>
      <w:pPr>
        <w:spacing w:after="0" w:line="197" w:lineRule="exact"/>
        <w:rPr>
          <w:rFonts w:ascii="Arial" w:cs="Arial" w:eastAsia="Arial" w:hAnsi="Arial"/>
          <w:sz w:val="18"/>
          <w:szCs w:val="18"/>
          <w:color w:val="auto"/>
        </w:rPr>
      </w:pPr>
    </w:p>
    <w:p>
      <w:pPr>
        <w:ind w:firstLine="656"/>
        <w:spacing w:after="0" w:line="290" w:lineRule="auto"/>
        <w:tabs>
          <w:tab w:leader="none" w:pos="131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8.6.A</w:t>
      </w:r>
      <w:r>
        <w:rPr>
          <w:rFonts w:ascii="Arial" w:cs="Arial" w:eastAsia="Arial" w:hAnsi="Arial"/>
          <w:sz w:val="16"/>
          <w:szCs w:val="16"/>
          <w:color w:val="auto"/>
        </w:rPr>
        <w:t xml:space="preserve"> above, if a Limited Partner has delivered to the General Partner a Notice of Redemption then the Parent may, in its sole and absolute discretion, (subject to the limitations on ownership and transfer of REIT Shares set forth in the Charter) elect to assume and satisfy the General Partner’s Redemption obligation and acquire some or all of the Tendered Units from the Tendering Partner in exchange for the REIT Shares Amount (as of the Specified Redemption Date) and, if the Parent so elects, the Tendering Partner shall sell the Tendered Units to the Parent in exchange for the REIT Shares Amount. In such event, the Tendering Partner shall have no right to cause the Partnership to redeem such Tendered Units. The Parent shall promptly give such Tendering Partner written notice of its election, and the Tendering Partner may elect to withdraw its redemption request at any time prior to the acceptance of the cash or REIT Shares Amount by such Tendering Partner. Assuming the Parent exercises its option to deliver REIT Shares, the Parent shall contribute the Tendered Units to the General Partner and/or the Parent Limited Partner, as the case may be.</w:t>
      </w:r>
    </w:p>
    <w:p>
      <w:pPr>
        <w:spacing w:after="0" w:line="166" w:lineRule="exact"/>
        <w:rPr>
          <w:rFonts w:ascii="Arial" w:cs="Arial" w:eastAsia="Arial" w:hAnsi="Arial"/>
          <w:sz w:val="16"/>
          <w:szCs w:val="16"/>
          <w:color w:val="auto"/>
        </w:rPr>
      </w:pPr>
    </w:p>
    <w:p>
      <w:pPr>
        <w:ind w:right="20" w:firstLine="656"/>
        <w:spacing w:after="0" w:line="273" w:lineRule="auto"/>
        <w:tabs>
          <w:tab w:leader="none" w:pos="131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REIT Shares Amount, if applicable, shall be delivered as duly authorized, validly issued, fully paid and nonassessable REIT Shares and, if applicable, free of any pledge, lien, encumbrance or restriction, other than those provided in the Charter or the Bylaws of the Parent, the Securities Act, relevant state securities or blue sky laws and any applicable registration rights agreement with respect to such REIT Shares entered into by the Tendering Partner. Notwithstanding any delay in such delivery (but subject to </w:t>
      </w:r>
      <w:r>
        <w:rPr>
          <w:rFonts w:ascii="Arial" w:cs="Arial" w:eastAsia="Arial" w:hAnsi="Arial"/>
          <w:sz w:val="17"/>
          <w:szCs w:val="17"/>
          <w:u w:val="single" w:color="auto"/>
          <w:color w:val="auto"/>
        </w:rPr>
        <w:t>Section 8.6.E</w:t>
      </w:r>
      <w:r>
        <w:rPr>
          <w:rFonts w:ascii="Arial" w:cs="Arial" w:eastAsia="Arial" w:hAnsi="Arial"/>
          <w:sz w:val="17"/>
          <w:szCs w:val="17"/>
          <w:color w:val="auto"/>
        </w:rPr>
        <w:t>), the Tendering Partner shall be deemed the owner of such REIT Shares for all purposes, including without limitation, rights to vote or consent, and receive dividends, as of the Specified Redemption Date. In addition, the REIT Shares for which the Partnership Units might be exchanged shall also bear a legend which generally provides the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 ON OWNERSHIP AND TRANSFER</w:t>
      </w:r>
    </w:p>
    <w:p>
      <w:pPr>
        <w:spacing w:after="0" w:line="22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SHARES OF CAPITAL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COMPANY’S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ARTICLES OF AMENDMENT AND RESTATEMENT, (i) NO PERSON MAY BENEFICIALLY OR CONSTRUCTIVELY OWN SHARES OF THE COMPANY’S COMMON STOCK IN EXCESS OF [ • %] (BY VALUE OR BY NUMBER OF SHARES, WHICHEVER IS MORE RESTRICTIVE) OF THE OUTSTANDING COMMON STOCK OF THE COMPANY OR SHARES OF THE COMPANY’S CAPITAL STOCK IN EXCESS OF [ • %] (BY VALUE OR BY NUMBER OF SHARES, WHICHEVER IS MORE RESTRICTIVE) OF THE OUTSTANDING CAPITAL STOCK OF THE COMPANY;</w:t>
      </w:r>
    </w:p>
    <w:p>
      <w:pPr>
        <w:spacing w:after="0" w:line="2" w:lineRule="exact"/>
        <w:rPr>
          <w:sz w:val="20"/>
          <w:szCs w:val="20"/>
          <w:color w:val="auto"/>
        </w:rPr>
      </w:pPr>
    </w:p>
    <w:p>
      <w:pPr>
        <w:ind w:right="60" w:firstLine="8"/>
        <w:spacing w:after="0" w:line="267" w:lineRule="auto"/>
        <w:tabs>
          <w:tab w:leader="none" w:pos="2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PERSON MAY BENEFICIALLY OR CONSTRUCTIVELY OWN SHARES OF CAPITAL STOCK THAT WOULD RESULT IN THE COMPANY BEING “CLOSELY HELD” UNDER SECTION 856(h) OF THE CODE OR OTHERWISE CAUSE THE COMPANY TO FAIL TO QUALIFY AS A REIT; AND (iii) NO PERSON MAY TRANSFER SHARES OF COMMON STOCK IF SUCH TRANSFER WOULD RESULT IN THE COMMON STOCK OF THE COMPANY BEING OWNED BY FEWER THAN 100 PERSONS. ANY PERSON WHO BENEFICIALLY OR CONSTRUCTIVELY OWNS OR ATTEMPTS TO BENEFICIALLY OR CONSTRUCTIVELY OWN SHARES OF CAPITAL STOCK IN VIOLATION OF THE ABOVE LIMITATIONS MUST IMMEDIATELY NOTIFY THE COMPANY. IF ANY OF THE RESTRICTIONS ON TRANSFER OR OWNERSHIP IS VIOLATED, THE SHARES OF CAPITAL STOCK REPRESENTED HEREBY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w:t>
      </w:r>
    </w:p>
    <w:p>
      <w:pPr>
        <w:sectPr>
          <w:pgSz w:w="11900" w:h="16838" w:orient="portrait"/>
          <w:cols w:equalWidth="0" w:num="1">
            <w:col w:w="11420"/>
          </w:cols>
          <w:pgMar w:left="240" w:top="125" w:right="239" w:bottom="0" w:gutter="0" w:footer="0" w:header="0"/>
        </w:sectPr>
      </w:pPr>
    </w:p>
    <w:bookmarkStart w:id="30" w:name="page31"/>
    <w:bookmarkEnd w:id="30"/>
    <w:p>
      <w:pPr>
        <w:ind w:right="60"/>
        <w:spacing w:after="0" w:line="276" w:lineRule="auto"/>
        <w:rPr>
          <w:sz w:val="20"/>
          <w:szCs w:val="20"/>
          <w:color w:val="auto"/>
        </w:rPr>
      </w:pPr>
      <w:r>
        <w:rPr>
          <w:rFonts w:ascii="Arial" w:cs="Arial" w:eastAsia="Arial" w:hAnsi="Arial"/>
          <w:sz w:val="17"/>
          <w:szCs w:val="17"/>
          <w:color w:val="auto"/>
        </w:rPr>
        <w:t>VOID AB INITIO. ALL TERMS IN THIS LEGEND THAT ARE DEFINED IN THE ARTICLES OF AMENDMENT AND RESTATEMENT OF THE COMPANY SHALL HAVE THE MEANINGS ASCRIBED TO THEM IN THE ARTICLES OF AMENDMENT AND RESTATEMENT OF THE COMPANY, AS THE SAME MAY BE AMENDED FROM TIME TO TIME, A COPY OF WHICH, INCLUDING THE RESTRICTIONS ON TRANSFER AND OWNERSHIP, WILL BE FURNISHED TO EACH HOLDER OF SHARES OF CAPITAL STOCK ON REQUEST AND WITHOUT CHARGE. REQUESTS FOR SUCH A COPY MAY BE DIRECTED TO THE SECRETARY OF THE COMPANY AT ITS PRINCIPAL OFFICE.</w:t>
      </w:r>
    </w:p>
    <w:p>
      <w:pPr>
        <w:spacing w:after="0" w:line="173" w:lineRule="exact"/>
        <w:rPr>
          <w:sz w:val="20"/>
          <w:szCs w:val="20"/>
          <w:color w:val="auto"/>
        </w:rPr>
      </w:pPr>
    </w:p>
    <w:p>
      <w:pPr>
        <w:ind w:right="80" w:firstLine="656"/>
        <w:spacing w:after="0" w:line="257" w:lineRule="auto"/>
        <w:tabs>
          <w:tab w:leader="none" w:pos="13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Limited Partner covenants and agrees with the General Partner that all Tendered Units shall be delivered to the General Partner free and clear of all liens, claims and encumbrances whatsoever and should any such liens, claims and/or encumbrances exist or arise with respect to such Tendered Units, the General Partner shall be under no obligation to acquire the same. Each Limited Partner further agrees that, in the event any state or local property transfer tax is payable as a result of the transfer of its Tendered Units to the General Partner (or its designee), such Limited Partner shall assume and pay such transfer tax.</w:t>
      </w:r>
    </w:p>
    <w:p>
      <w:pPr>
        <w:spacing w:after="0" w:line="188" w:lineRule="exact"/>
        <w:rPr>
          <w:rFonts w:ascii="Arial" w:cs="Arial" w:eastAsia="Arial" w:hAnsi="Arial"/>
          <w:sz w:val="18"/>
          <w:szCs w:val="18"/>
          <w:color w:val="auto"/>
        </w:rPr>
      </w:pPr>
    </w:p>
    <w:p>
      <w:pPr>
        <w:ind w:firstLine="656"/>
        <w:spacing w:after="0" w:line="272" w:lineRule="auto"/>
        <w:tabs>
          <w:tab w:leader="none" w:pos="13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8.6.A</w:t>
      </w:r>
      <w:r>
        <w:rPr>
          <w:rFonts w:ascii="Arial" w:cs="Arial" w:eastAsia="Arial" w:hAnsi="Arial"/>
          <w:sz w:val="17"/>
          <w:szCs w:val="17"/>
          <w:color w:val="auto"/>
        </w:rPr>
        <w:t xml:space="preserve">, </w:t>
      </w:r>
      <w:r>
        <w:rPr>
          <w:rFonts w:ascii="Arial" w:cs="Arial" w:eastAsia="Arial" w:hAnsi="Arial"/>
          <w:sz w:val="17"/>
          <w:szCs w:val="17"/>
          <w:u w:val="single" w:color="auto"/>
          <w:color w:val="auto"/>
        </w:rPr>
        <w:t>8.6.B</w:t>
      </w:r>
      <w:r>
        <w:rPr>
          <w:rFonts w:ascii="Arial" w:cs="Arial" w:eastAsia="Arial" w:hAnsi="Arial"/>
          <w:sz w:val="17"/>
          <w:szCs w:val="17"/>
          <w:color w:val="auto"/>
        </w:rPr>
        <w:t xml:space="preserve">, </w:t>
      </w:r>
      <w:r>
        <w:rPr>
          <w:rFonts w:ascii="Arial" w:cs="Arial" w:eastAsia="Arial" w:hAnsi="Arial"/>
          <w:sz w:val="17"/>
          <w:szCs w:val="17"/>
          <w:u w:val="single" w:color="auto"/>
          <w:color w:val="auto"/>
        </w:rPr>
        <w:t>8.6.C</w:t>
      </w:r>
      <w:r>
        <w:rPr>
          <w:rFonts w:ascii="Arial" w:cs="Arial" w:eastAsia="Arial" w:hAnsi="Arial"/>
          <w:sz w:val="17"/>
          <w:szCs w:val="17"/>
          <w:color w:val="auto"/>
        </w:rPr>
        <w:t xml:space="preserve"> or any other provision of this Agreement, a Limited Partner (i) shall not be entitled to effect a Redemption for cash or an exchange for REIT Shares to the extent the ownership or right to acquire REIT Shares pursuant to such exchange by such Partner on the Specified Redemption Date could cause such Partner or any other Person to violate the restrictions on ownership and transfer of REIT Shares set forth in the Charter of the Parent and (ii) shall have no rights under this Agreement to acquire REIT Shares which would otherwise be prohibited under the Charter. To the extent any attempted Redemption or exchange for REIT Shares would be in violation of this </w:t>
      </w:r>
      <w:r>
        <w:rPr>
          <w:rFonts w:ascii="Arial" w:cs="Arial" w:eastAsia="Arial" w:hAnsi="Arial"/>
          <w:sz w:val="17"/>
          <w:szCs w:val="17"/>
          <w:u w:val="single" w:color="auto"/>
          <w:color w:val="auto"/>
        </w:rPr>
        <w:t>Section 8.6.E</w:t>
      </w:r>
      <w:r>
        <w:rPr>
          <w:rFonts w:ascii="Arial" w:cs="Arial" w:eastAsia="Arial" w:hAnsi="Arial"/>
          <w:sz w:val="17"/>
          <w:szCs w:val="17"/>
          <w:color w:val="auto"/>
        </w:rPr>
        <w:t xml:space="preserve">, it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such Limited Partner shall not acquire any rights or economic interest in the cash otherwise payable upon such Redemption or the REIT Shares otherwise issuable upon such exchange.</w:t>
      </w:r>
    </w:p>
    <w:p>
      <w:pPr>
        <w:spacing w:after="0" w:line="177" w:lineRule="exact"/>
        <w:rPr>
          <w:rFonts w:ascii="Arial" w:cs="Arial" w:eastAsia="Arial" w:hAnsi="Arial"/>
          <w:sz w:val="17"/>
          <w:szCs w:val="17"/>
          <w:color w:val="auto"/>
        </w:rPr>
      </w:pPr>
    </w:p>
    <w:p>
      <w:pPr>
        <w:ind w:right="100" w:firstLine="656"/>
        <w:spacing w:after="0" w:line="271" w:lineRule="auto"/>
        <w:tabs>
          <w:tab w:leader="none" w:pos="12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(but subject to </w:t>
      </w:r>
      <w:r>
        <w:rPr>
          <w:rFonts w:ascii="Arial" w:cs="Arial" w:eastAsia="Arial" w:hAnsi="Arial"/>
          <w:sz w:val="17"/>
          <w:szCs w:val="17"/>
          <w:u w:val="single" w:color="auto"/>
          <w:color w:val="auto"/>
        </w:rPr>
        <w:t>Section 8.6.E</w:t>
      </w:r>
      <w:r>
        <w:rPr>
          <w:rFonts w:ascii="Arial" w:cs="Arial" w:eastAsia="Arial" w:hAnsi="Arial"/>
          <w:sz w:val="17"/>
          <w:szCs w:val="17"/>
          <w:color w:val="auto"/>
        </w:rPr>
        <w:t xml:space="preserve">), with respect to any Redemption or exchange for REIT Shares pursuant to this </w:t>
      </w:r>
      <w:r>
        <w:rPr>
          <w:rFonts w:ascii="Arial" w:cs="Arial" w:eastAsia="Arial" w:hAnsi="Arial"/>
          <w:sz w:val="17"/>
          <w:szCs w:val="17"/>
          <w:u w:val="single" w:color="auto"/>
          <w:color w:val="auto"/>
        </w:rPr>
        <w:t>Section 8.6</w:t>
      </w:r>
      <w:r>
        <w:rPr>
          <w:rFonts w:ascii="Arial" w:cs="Arial" w:eastAsia="Arial" w:hAnsi="Arial"/>
          <w:sz w:val="17"/>
          <w:szCs w:val="17"/>
          <w:color w:val="auto"/>
        </w:rPr>
        <w:t>: (i) all OP Units acquired by the General Partner pursuant thereto shall automatically, and without further action required, be converted into and deemed to be General Partner Interests comprised of the same number and class of OP Units; (ii) without the consent of the General Partner, each Limited Partner may not effect a Redemption for less than 1,000 OP Units or, if the Limited Partner holds less than 1,000 OP Units, all of the OP Units held by such Limited Partner; (iii) without the consent of the General Partner, each Limited Partner may not effect a Redemption during the period after the Partnership Record Date with respect to a distribution and before the record date established by the General Partner for a distribution to its shareholders of some or all of its portion of such distribution; (iv) the consummation of any Redemption or exchange for REIT Shares shall be subject to the expiration or termination of the applicable waiting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period, if any, under the Hart-Scott-Rodino Antitrust Improvements Act of 1976, as amended; and (v) each Tendering Partner shall continue to own all OP Units subject to any Redemption or exchange for REIT Shares, and be treated as a Limited Partner with respect to such OP Units for all purposes of this Agreement, until such OP Units are transferred to the General Partner and paid for or exchanged on the Specified Redemption Date. Until a Specified Redemption Date, the Tendering Partner shall have no rights as a shareholder of the General Partner with respect to such Tendering Partner’s OP Units.</w:t>
      </w:r>
    </w:p>
    <w:p>
      <w:pPr>
        <w:spacing w:after="0" w:line="154" w:lineRule="exact"/>
        <w:rPr>
          <w:sz w:val="20"/>
          <w:szCs w:val="20"/>
          <w:color w:val="auto"/>
        </w:rPr>
      </w:pPr>
    </w:p>
    <w:p>
      <w:pPr>
        <w:ind w:right="340" w:firstLine="656"/>
        <w:spacing w:after="0" w:line="342" w:lineRule="auto"/>
        <w:tabs>
          <w:tab w:leader="none" w:pos="13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In the event that the Partnership issues additional Partnership Interests to any Additional Limited Partner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the General Partner shall make such revisions to this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as it determines are necessary to reflect the issuance of such additional Partnership Interests.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5"/>
          <w:szCs w:val="15"/>
          <w:b w:val="1"/>
          <w:bCs w:val="1"/>
          <w:color w:val="auto"/>
        </w:rPr>
        <w:t>Records and Accounting.</w:t>
      </w:r>
    </w:p>
    <w:p>
      <w:pPr>
        <w:spacing w:after="0" w:line="229" w:lineRule="exact"/>
        <w:rPr>
          <w:sz w:val="20"/>
          <w:szCs w:val="20"/>
          <w:color w:val="auto"/>
        </w:rPr>
      </w:pPr>
    </w:p>
    <w:p>
      <w:pPr>
        <w:jc w:val="both"/>
        <w:ind w:right="60" w:firstLine="656"/>
        <w:spacing w:after="0" w:line="272" w:lineRule="auto"/>
        <w:tabs>
          <w:tab w:leader="none" w:pos="12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General Partner shall keep or cause to be kept at the principal office of the Partnership those records and documents required to be maintained by the Act and other books and records deemed by the General Partner to be appropriate with respect to the Partnership’s business, including, without limitation, all books and records necessary to provide to the Limited Partners any information, lists and copies of documents required to be provided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hereof. Any records maintained by or on behalf of the Partnership in the regular course of its business may be kept on, or be in the form for, magnetic tape, photographs, micrographics or any other information storage device,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records so maintained are convertible into clearly legible written form within a reasonable period of time. The books of the Partnership shall be maintained, for financial and tax reporting purposes, on an accrual basis in accordance with generally accepted accounting principles.</w:t>
      </w:r>
    </w:p>
    <w:p>
      <w:pPr>
        <w:spacing w:after="0" w:line="177" w:lineRule="exact"/>
        <w:rPr>
          <w:rFonts w:ascii="Arial" w:cs="Arial" w:eastAsia="Arial" w:hAnsi="Arial"/>
          <w:sz w:val="17"/>
          <w:szCs w:val="17"/>
          <w:color w:val="auto"/>
        </w:rPr>
      </w:pPr>
    </w:p>
    <w:p>
      <w:pPr>
        <w:ind w:right="40" w:firstLine="656"/>
        <w:spacing w:after="0" w:line="259" w:lineRule="auto"/>
        <w:tabs>
          <w:tab w:leader="none" w:pos="1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books of the Partnership shall be maintained, for financial and tax reporting purposes, on an accrual basis in accordance with generally accepted accounting principles, or on such other basis as the General Partner determines to be necessary or appropriate. To the extent permitted by sound accounting practices and principles, the Partnership and the General Partner may operate with integrated or consolidated accounting records, operations and principles.</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Partnership Year</w:t>
      </w:r>
      <w:r>
        <w:rPr>
          <w:rFonts w:ascii="Arial" w:cs="Arial" w:eastAsia="Arial" w:hAnsi="Arial"/>
          <w:sz w:val="16"/>
          <w:szCs w:val="16"/>
          <w:color w:val="auto"/>
        </w:rPr>
        <w:t>. The Partnership Year of the Partnership shall be the calendar year.</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5"/>
          <w:szCs w:val="15"/>
          <w:b w:val="1"/>
          <w:bCs w:val="1"/>
          <w:color w:val="auto"/>
        </w:rPr>
        <w:t>Reports.</w:t>
      </w:r>
    </w:p>
    <w:p>
      <w:pPr>
        <w:spacing w:after="0" w:line="229" w:lineRule="exact"/>
        <w:rPr>
          <w:sz w:val="20"/>
          <w:szCs w:val="20"/>
          <w:color w:val="auto"/>
        </w:rPr>
      </w:pPr>
    </w:p>
    <w:p>
      <w:pPr>
        <w:ind w:right="20" w:firstLine="656"/>
        <w:spacing w:after="0" w:line="257" w:lineRule="auto"/>
        <w:tabs>
          <w:tab w:leader="none" w:pos="12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the date on which the Parent mails its annual report to its stockholders, the General Partner shall cause to be mailed to the Limited Partner an annual report, as of the close of the most recently ended Fiscal Year, containing financial statements of the Partnership, or of the Parent if such statements are prepared solely on a consolidated basis with the Partnership, for such Partnership Year, presented in accordance with generally accepted accounting principles, such statements to be audited by a nationally recognized firm of independent public accountants selected by the Parent.</w:t>
      </w:r>
    </w:p>
    <w:p>
      <w:pPr>
        <w:spacing w:after="0" w:line="188" w:lineRule="exact"/>
        <w:rPr>
          <w:rFonts w:ascii="Arial" w:cs="Arial" w:eastAsia="Arial" w:hAnsi="Arial"/>
          <w:sz w:val="18"/>
          <w:szCs w:val="18"/>
          <w:color w:val="auto"/>
        </w:rPr>
      </w:pPr>
    </w:p>
    <w:p>
      <w:pPr>
        <w:ind w:right="100" w:firstLine="656"/>
        <w:spacing w:after="0" w:line="279" w:lineRule="auto"/>
        <w:tabs>
          <w:tab w:leader="none" w:pos="1313"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and to the extent that the Parent mails quarterly reports to its stockholders, as soon as practicable, but in no event later than the date on such reports are mailed, the General Partner shall cause to be mailed to each Limited Partner a report containing unaudited financial statements, as of the last day of such fiscal quarter, of the Partnership, or of the Parent if such statements are prepared solely on a consolidated basis with the Partnership, and such other information as may be required by applicable law or regulations, or as the Parent determines to be appropriate.</w:t>
      </w:r>
    </w:p>
    <w:p>
      <w:pPr>
        <w:sectPr>
          <w:pgSz w:w="11900" w:h="16838" w:orient="portrait"/>
          <w:cols w:equalWidth="0" w:num="1">
            <w:col w:w="11400"/>
          </w:cols>
          <w:pgMar w:left="240" w:top="125" w:right="259" w:bottom="19"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07"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Section 10.1 Preparation of Tax Returns</w:t>
      </w:r>
      <w:r>
        <w:rPr>
          <w:rFonts w:ascii="Arial" w:cs="Arial" w:eastAsia="Arial" w:hAnsi="Arial"/>
          <w:sz w:val="18"/>
          <w:szCs w:val="18"/>
          <w:color w:val="auto"/>
        </w:rPr>
        <w:t>. The General Partner shall arrange for the preparation and timely filing of all returns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income, gains, deductions, losses and other items required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Partnership for federal and state income tax purposes and shall use all reasonable effort to furnish, within 90 days of the close of each taxable year, the tax information reasonably required by Limited Partners for federal and state income tax reporting purposes. The Limited Partners shall promptly provide the General Partner with such information relating to the Contributed Properties, including tax basis and other relevant information, as may be reasonably requested by the General Partner from time to time.</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Section 10.2 Tax Elections</w:t>
      </w:r>
      <w:r>
        <w:rPr>
          <w:rFonts w:ascii="Arial" w:cs="Arial" w:eastAsia="Arial" w:hAnsi="Arial"/>
          <w:sz w:val="17"/>
          <w:szCs w:val="17"/>
          <w:color w:val="auto"/>
        </w:rPr>
        <w:t>. Except as otherwise provided herein, the General Partner shall, in its sole and absolute discretion, determine whether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make any available election pursuant to the Code, including, but not limited to, the election under Code Section 754 and the election to use the “recurring item” method of accounting provided under Code Section 461(h) with respect to property taxes imposed on the Partnership’s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“recurring item” method of accounting is elected with respect to such property taxes, the Partnership shall pay the applicable property taxes prior to the date provided in Code Section 461(h) for purposes of determining economic performance. The General Partner shall have the right to seek to revoke any such election (including, without limitation, any election under Code Sections 461(h) and 754) upon the General Partner’s determination in its sole and absolute discretion that such revocation is in the best interests of the Partners.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color w:val="auto"/>
        </w:rPr>
        <w:t>Tax Matters Partner.</w:t>
      </w:r>
    </w:p>
    <w:p>
      <w:pPr>
        <w:spacing w:after="0" w:line="229" w:lineRule="exact"/>
        <w:rPr>
          <w:sz w:val="20"/>
          <w:szCs w:val="20"/>
          <w:color w:val="auto"/>
        </w:rPr>
      </w:pPr>
    </w:p>
    <w:p>
      <w:pPr>
        <w:ind w:right="140" w:firstLine="656"/>
        <w:spacing w:after="0" w:line="257" w:lineRule="auto"/>
        <w:tabs>
          <w:tab w:leader="none" w:pos="12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General Partner shall be the “tax matters partner” of the Partnership for federal income tax purposes. The tax matters partner shall receive no compensation for its services. All third-party costs and expenses incurred by the tax matters partner in performing its duties as such (including legal and accounting fees and expenses) shall be borne by the Partnership in addition to any reimbursement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 Nothing herein shall be construed to restrict the Partnership from engaging an accounting firm to assist the tax matters partner in discharging its duties hereunder, so long as the compensation paid by the Partnership for such services is reasonable.</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tax matters partner is authorized, but not required:</w:t>
      </w:r>
    </w:p>
    <w:p>
      <w:pPr>
        <w:spacing w:after="0" w:line="225" w:lineRule="exact"/>
        <w:rPr>
          <w:rFonts w:ascii="Arial" w:cs="Arial" w:eastAsia="Arial" w:hAnsi="Arial"/>
          <w:sz w:val="18"/>
          <w:szCs w:val="18"/>
          <w:color w:val="auto"/>
        </w:rPr>
      </w:pPr>
    </w:p>
    <w:p>
      <w:pPr>
        <w:ind w:right="240" w:firstLine="1305"/>
        <w:spacing w:after="0" w:line="255" w:lineRule="auto"/>
        <w:tabs>
          <w:tab w:leader="none" w:pos="1966"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enter into any settlement with the IRS with respect to any administrative or judicial proceedings for the adjustment of Partnership items required to be taken into account by a Partner for income tax purposes (such administrative proceedings being referred to as a “tax audit” and such judicial proceedings being referred to as “judicial review”), and in the settlement agreement the tax matters partner may expressly state that such agreement shall bind all Partners, except that such settlement agreement shall not bind any Partner (i) who (within the time prescribed pursuant to the Code and Regulations) files a statement with the IRS providing that the tax matters partner shall not have the authority to enter into a settlement agreement on behalf of such Partner or (ii) who is a “notice partner” (as defined in Code Section 6231) or a member of a “notice group” (as defined in Code Section 6223(b)(2));</w:t>
      </w:r>
    </w:p>
    <w:p>
      <w:pPr>
        <w:spacing w:after="0" w:line="189" w:lineRule="exact"/>
        <w:rPr>
          <w:rFonts w:ascii="Arial" w:cs="Arial" w:eastAsia="Arial" w:hAnsi="Arial"/>
          <w:sz w:val="18"/>
          <w:szCs w:val="18"/>
          <w:color w:val="auto"/>
        </w:rPr>
      </w:pPr>
    </w:p>
    <w:p>
      <w:pPr>
        <w:ind w:right="20" w:firstLine="1305"/>
        <w:spacing w:after="0" w:line="259" w:lineRule="auto"/>
        <w:tabs>
          <w:tab w:leader="none" w:pos="1976"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event that a notice of a final administrative adjustment at the Partnership level of any item required to be taken into account by a Partner for tax purposes (a “</w:t>
      </w:r>
      <w:r>
        <w:rPr>
          <w:rFonts w:ascii="Arial" w:cs="Arial" w:eastAsia="Arial" w:hAnsi="Arial"/>
          <w:sz w:val="18"/>
          <w:szCs w:val="18"/>
          <w:u w:val="single" w:color="auto"/>
          <w:color w:val="auto"/>
        </w:rPr>
        <w:t>final adjustment</w:t>
      </w:r>
      <w:r>
        <w:rPr>
          <w:rFonts w:ascii="Arial" w:cs="Arial" w:eastAsia="Arial" w:hAnsi="Arial"/>
          <w:sz w:val="18"/>
          <w:szCs w:val="18"/>
          <w:color w:val="auto"/>
        </w:rPr>
        <w:t>”) is mailed to the tax matters partner, to seek judicial review of such final adjustment, including the filing of a petition for readjustment with the United States Tax Court or the United States Claims Court, or the filing of a complaint for refund with the District Court of the United States for the district in which the Partnership’s principal place of business is located;</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intervene in any action brought by any other Partner for judicial review of a final adjustment;</w:t>
      </w:r>
    </w:p>
    <w:p>
      <w:pPr>
        <w:spacing w:after="0" w:line="225" w:lineRule="exact"/>
        <w:rPr>
          <w:rFonts w:ascii="Arial" w:cs="Arial" w:eastAsia="Arial" w:hAnsi="Arial"/>
          <w:sz w:val="18"/>
          <w:szCs w:val="18"/>
          <w:color w:val="auto"/>
        </w:rPr>
      </w:pPr>
    </w:p>
    <w:p>
      <w:pPr>
        <w:ind w:right="340" w:firstLine="1305"/>
        <w:spacing w:after="0" w:line="277" w:lineRule="auto"/>
        <w:tabs>
          <w:tab w:leader="none" w:pos="1961"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file a request for an administrative adjustment with the IRS at any time and, if any part of such request is not allowed by the IRS, to file an appropriate pleading (petition or complaint) for judicial review with respect to such request;</w:t>
      </w:r>
    </w:p>
    <w:p>
      <w:pPr>
        <w:spacing w:after="0" w:line="170" w:lineRule="exact"/>
        <w:rPr>
          <w:rFonts w:ascii="Arial" w:cs="Arial" w:eastAsia="Arial" w:hAnsi="Arial"/>
          <w:sz w:val="18"/>
          <w:szCs w:val="18"/>
          <w:color w:val="auto"/>
        </w:rPr>
      </w:pPr>
    </w:p>
    <w:p>
      <w:pPr>
        <w:ind w:right="360" w:firstLine="1305"/>
        <w:spacing w:after="0" w:line="277" w:lineRule="auto"/>
        <w:tabs>
          <w:tab w:leader="none" w:pos="19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enter into an agreement with the IRS to extend the period for assessing any tax that is attributable to any item required to be taken into account by a Partner for tax purposes, or an item affected by such item;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1305"/>
        <w:spacing w:after="0" w:line="277" w:lineRule="auto"/>
        <w:tabs>
          <w:tab w:leader="none" w:pos="19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take any other action on behalf of the Partners in connection with any tax audit or judicial review proceeding to the extent permitted by applicable law or regulations.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The taking of any action and the incurring of any expense by the tax matters partner in connection with any such proceeding, except to the extent required by law, is a matter in the sole and absolute discretion of the tax matters partner and the provisions relating to indemnification of the General Partner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hereof shall be fully applicable to the tax matters partner in its capacity as such.</w:t>
      </w:r>
    </w:p>
    <w:p>
      <w:pPr>
        <w:spacing w:after="0" w:line="181" w:lineRule="exact"/>
        <w:rPr>
          <w:sz w:val="20"/>
          <w:szCs w:val="20"/>
          <w:color w:val="auto"/>
        </w:rPr>
      </w:pPr>
    </w:p>
    <w:p>
      <w:pPr>
        <w:ind w:right="60" w:firstLine="656"/>
        <w:spacing w:after="0" w:line="259" w:lineRule="auto"/>
        <w:tabs>
          <w:tab w:leader="none" w:pos="13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tax matters partner shall receive no compensation for its services. All third party costs and expenses incurred by the tax matters partner in performing its duties as such (including legal and accounting fees) shall be borne by the Partnership. Nothing herein shall be construed to restrict the Partnership from engaging an accounting firm to assist the tax matters partner in discharging its duties hereunder, so long as the compensation paid by the Partnership for such services is reasonable.</w:t>
      </w:r>
    </w:p>
    <w:p>
      <w:pPr>
        <w:spacing w:after="0" w:line="183"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b w:val="1"/>
          <w:bCs w:val="1"/>
          <w:color w:val="auto"/>
        </w:rPr>
        <w:t>Section 10.4 Withholding</w:t>
      </w:r>
      <w:r>
        <w:rPr>
          <w:rFonts w:ascii="Arial" w:cs="Arial" w:eastAsia="Arial" w:hAnsi="Arial"/>
          <w:sz w:val="16"/>
          <w:szCs w:val="16"/>
          <w:color w:val="auto"/>
        </w:rPr>
        <w:t>. Each Limited Partner hereby authorizes the Partnership to withhold from or pay on behalf of or with respect to such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any amount of federal, state, local or foreign taxes that the General Partner determines that the Partnership is required to withhold or pay with respect to any amount distributable or allocable to such Limited Partner pursuant to this Agreement, including, without limitation, any taxes required to be withheld</w:t>
      </w:r>
    </w:p>
    <w:p>
      <w:pPr>
        <w:sectPr>
          <w:pgSz w:w="11900" w:h="16838" w:orient="portrait"/>
          <w:cols w:equalWidth="0" w:num="1">
            <w:col w:w="11420"/>
          </w:cols>
          <w:pgMar w:left="240" w:top="121" w:right="239" w:bottom="0" w:gutter="0" w:footer="0" w:header="0"/>
        </w:sectPr>
      </w:pPr>
    </w:p>
    <w:bookmarkStart w:id="32" w:name="page33"/>
    <w:bookmarkEnd w:id="32"/>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or paid by the Partnership pursuant to Code Sections 1441, 1442, 1445 or 1446. Any amount paid on behalf of or with respect to a Limited Partner shall constitute a loan by the Partnership to such Limited Partner, which loan shall be repaid by such Limited Partner within 15 days after notice from the General Partner that such payment must be made unless (i) the Partnership withholds such payment from a distribution that would otherwise be made to the Limited Partner or (ii) the General Partner determines, in its sole and absolute discretion, that such payment may be satisfied out of the Available Funds of the Partnership that would, but for such payment, be distributed to the Limited Partner.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In the event that a Limited Partner fails to pay any amounts owed to the Partnership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when due, the General Partner may, in its sole and absolute discretion,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without limitation, the right to receive distributions). Any amounts payable by a Limited Partner hereunder shall bear interest at the base rate on corporate loans at large United States money center commercial banks, as published from time to time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plus four percentage points (but not higher than the maximum lawful rate) from the date such amount is due (</w:t>
      </w:r>
      <w:r>
        <w:rPr>
          <w:rFonts w:ascii="Arial" w:cs="Arial" w:eastAsia="Arial" w:hAnsi="Arial"/>
          <w:sz w:val="17"/>
          <w:szCs w:val="17"/>
          <w:i w:val="1"/>
          <w:iCs w:val="1"/>
          <w:color w:val="auto"/>
        </w:rPr>
        <w:t>i.e</w:t>
      </w:r>
      <w:r>
        <w:rPr>
          <w:rFonts w:ascii="Arial" w:cs="Arial" w:eastAsia="Arial" w:hAnsi="Arial"/>
          <w:sz w:val="17"/>
          <w:szCs w:val="17"/>
          <w:color w:val="auto"/>
        </w:rPr>
        <w:t>., 15 days after demand) until such amount is paid in full. Each Limited Partner shall take such actions as the Partnership or the General Partner shall request in order to perfect or enforce the security interest created hereunder.</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Section 10.5 Organizational Expenses</w:t>
      </w:r>
      <w:r>
        <w:rPr>
          <w:rFonts w:ascii="Arial" w:cs="Arial" w:eastAsia="Arial" w:hAnsi="Arial"/>
          <w:sz w:val="18"/>
          <w:szCs w:val="18"/>
          <w:color w:val="auto"/>
        </w:rPr>
        <w:t>. The Partnership shall elect to amortize expenses, if any, incurred by it in organizing the Partnership ratably over</w:t>
      </w:r>
      <w:r>
        <w:rPr>
          <w:rFonts w:ascii="Arial" w:cs="Arial" w:eastAsia="Arial" w:hAnsi="Arial"/>
          <w:sz w:val="18"/>
          <w:szCs w:val="18"/>
          <w:b w:val="1"/>
          <w:bCs w:val="1"/>
          <w:color w:val="auto"/>
        </w:rPr>
        <w:t xml:space="preserve"> </w:t>
      </w:r>
      <w:r>
        <w:rPr>
          <w:rFonts w:ascii="Arial" w:cs="Arial" w:eastAsia="Arial" w:hAnsi="Arial"/>
          <w:sz w:val="18"/>
          <w:szCs w:val="18"/>
          <w:color w:val="auto"/>
        </w:rPr>
        <w:t>a 60-month period as provided in Code Section 709.</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TRANSFERS AND WITHDRAWALS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Transfer.</w:t>
      </w:r>
    </w:p>
    <w:p>
      <w:pPr>
        <w:spacing w:after="0" w:line="229" w:lineRule="exact"/>
        <w:rPr>
          <w:sz w:val="20"/>
          <w:szCs w:val="20"/>
          <w:color w:val="auto"/>
        </w:rPr>
      </w:pPr>
    </w:p>
    <w:p>
      <w:pPr>
        <w:ind w:right="220" w:firstLine="656"/>
        <w:spacing w:after="0" w:line="308" w:lineRule="auto"/>
        <w:tabs>
          <w:tab w:leader="none" w:pos="12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No Partnership Interest shall be Transferred, in whole or in part, except in accordance with the terms and conditions set forth in </w:t>
      </w:r>
      <w:r>
        <w:rPr>
          <w:rFonts w:ascii="Arial" w:cs="Arial" w:eastAsia="Arial" w:hAnsi="Arial"/>
          <w:sz w:val="16"/>
          <w:szCs w:val="16"/>
          <w:u w:val="single" w:color="auto"/>
          <w:color w:val="auto"/>
        </w:rPr>
        <w:t>Section</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auto"/>
        </w:rPr>
        <w:t>4.7(i)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Transfer or purported Transfer of a Partnership Interest not made in accordance with </w:t>
      </w:r>
      <w:r>
        <w:rPr>
          <w:rFonts w:ascii="Arial" w:cs="Arial" w:eastAsia="Arial" w:hAnsi="Arial"/>
          <w:sz w:val="18"/>
          <w:szCs w:val="18"/>
          <w:u w:val="single" w:color="auto"/>
          <w:color w:val="auto"/>
        </w:rPr>
        <w:t>Section 4.7(i)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unless consented to by the General Partner in its sole and absolute discretion.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656"/>
        <w:spacing w:after="0" w:line="255" w:lineRule="auto"/>
        <w:tabs>
          <w:tab w:leader="none" w:pos="13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11.6.D</w:t>
      </w:r>
      <w:r>
        <w:rPr>
          <w:rFonts w:ascii="Arial" w:cs="Arial" w:eastAsia="Arial" w:hAnsi="Arial"/>
          <w:sz w:val="18"/>
          <w:szCs w:val="18"/>
          <w:color w:val="auto"/>
        </w:rPr>
        <w:t xml:space="preserve"> hereof), the Partnership Interests of the General Partner may be Transferred, at any time or from time to time, to any Person that is, at the time of such Transfer, the Parent or any successor thereto or a Qualified REIT Subsidiary. Any transferee of the entire General Partner Interest pursuant to this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shall automatically become, without further action or Consent of any Limited Partners, the sole general partner of the Partnership, subject to all the rights, privileges, duties and obligations under this Agreement and the Act relating to a general partner. Upon any Transfer permitted by this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the transferor Partner shall be relieved of all its obligations under this Agreement. The provisions of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(other than the last sentence thereof),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11.4</w:t>
      </w:r>
      <w:r>
        <w:rPr>
          <w:rFonts w:ascii="Arial" w:cs="Arial" w:eastAsia="Arial" w:hAnsi="Arial"/>
          <w:sz w:val="18"/>
          <w:szCs w:val="18"/>
          <w:color w:val="auto"/>
        </w:rPr>
        <w:t xml:space="preserve"> hereof shall not apply to any Transfer permitted by this </w:t>
      </w:r>
      <w:r>
        <w:rPr>
          <w:rFonts w:ascii="Arial" w:cs="Arial" w:eastAsia="Arial" w:hAnsi="Arial"/>
          <w:sz w:val="18"/>
          <w:szCs w:val="18"/>
          <w:u w:val="single" w:color="auto"/>
          <w:color w:val="auto"/>
        </w:rPr>
        <w:t>Section 11.1.C</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60" w:firstLine="656"/>
        <w:spacing w:after="0" w:line="255" w:lineRule="auto"/>
        <w:tabs>
          <w:tab w:leader="none" w:pos="13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 Transfer of any Partnership Interest may be made to a lender to the Partnership or any Person who is related (within the meaning of Section 1.752-4(b) of the Regulations) to any lender to the Partnership whose loan constitutes a Nonrecourse Liability, without the consent of the General Partner in its sole and absolute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a condition to such consent, the lender will be required to enter into an arrangement with the Partnership and the General Partner to redeem or exchange for REIT Shares any Partnership Units in which a security interest is held by such lender concurrently with such time as such lender would be deemed to be a partner in the Partnership for purposes of allocating liabilities to such lender under Code Section 752.</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Transfer of General Partner’s Partnership Interest.</w:t>
      </w:r>
    </w:p>
    <w:p>
      <w:pPr>
        <w:spacing w:after="0" w:line="229" w:lineRule="exact"/>
        <w:rPr>
          <w:sz w:val="20"/>
          <w:szCs w:val="20"/>
          <w:color w:val="auto"/>
        </w:rPr>
      </w:pPr>
    </w:p>
    <w:p>
      <w:pPr>
        <w:ind w:right="200" w:firstLine="656"/>
        <w:spacing w:after="0" w:line="277" w:lineRule="auto"/>
        <w:tabs>
          <w:tab w:leader="none" w:pos="12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General Partner may not Transfer any of its General Partner Interest or withdraw from the Partnership except as provided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11.1.C</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11.2.C</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firstLine="656"/>
        <w:spacing w:after="0" w:line="286" w:lineRule="auto"/>
        <w:tabs>
          <w:tab w:leader="none" w:pos="1313"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11.1.C</w:t>
      </w:r>
      <w:r>
        <w:rPr>
          <w:rFonts w:ascii="Arial" w:cs="Arial" w:eastAsia="Arial" w:hAnsi="Arial"/>
          <w:sz w:val="16"/>
          <w:szCs w:val="16"/>
          <w:color w:val="auto"/>
        </w:rPr>
        <w:t xml:space="preserve"> above and </w:t>
      </w:r>
      <w:r>
        <w:rPr>
          <w:rFonts w:ascii="Arial" w:cs="Arial" w:eastAsia="Arial" w:hAnsi="Arial"/>
          <w:sz w:val="16"/>
          <w:szCs w:val="16"/>
          <w:u w:val="single" w:color="auto"/>
          <w:color w:val="auto"/>
        </w:rPr>
        <w:t>Section 11.2.C</w:t>
      </w:r>
      <w:r>
        <w:rPr>
          <w:rFonts w:ascii="Arial" w:cs="Arial" w:eastAsia="Arial" w:hAnsi="Arial"/>
          <w:sz w:val="16"/>
          <w:szCs w:val="16"/>
          <w:color w:val="auto"/>
        </w:rPr>
        <w:t xml:space="preserve"> below, the General Partner shall not withdraw from the Partnership and shall not Transfer all or any portion of its interest in the Partnership (whether by sale, disposition, statutory merger or consolidation, liquidation or otherwise) without the Consent of a Majority in Interest of the Outside Limited Partners, which Consent may be given or withheld in the sole and absolute discretion of such Limited Partners. Upon any Transfer of such a Partnership Interest pursuant to the Consent of a Majority in Interest of the Outside Limited Partners and otherwise in accordance with the provisions of this </w:t>
      </w:r>
      <w:r>
        <w:rPr>
          <w:rFonts w:ascii="Arial" w:cs="Arial" w:eastAsia="Arial" w:hAnsi="Arial"/>
          <w:sz w:val="16"/>
          <w:szCs w:val="16"/>
          <w:u w:val="single" w:color="auto"/>
          <w:color w:val="auto"/>
        </w:rPr>
        <w:t>Section 11.2.B</w:t>
      </w:r>
      <w:r>
        <w:rPr>
          <w:rFonts w:ascii="Arial" w:cs="Arial" w:eastAsia="Arial" w:hAnsi="Arial"/>
          <w:sz w:val="16"/>
          <w:szCs w:val="16"/>
          <w:color w:val="auto"/>
        </w:rPr>
        <w:t>, the transferee shall become a successor General Partner for all purposes herein, and shall be vested with the powers and rights of the transferor General Partner, and shall be liable for all obligations and responsible for all duties of the General Partner, once such transferee has executed such instruments as may be necessary to effectuate such admission and to confirm the agreement of such transferee to be bound by all the terms and provisions of this Agreement with respect to the Partnership Interest so acquired. It is a condition to any Transfer otherwise permitted hereunder that the transferee assumes, by operation of law or express agreement, all of the obligations of the transferor General Partner under this Agreement with respect to such Transferred Partnership Interest, and such Transfer shall relieve the transferor General Partner of its obligations under this Agreement without the Consent of a Majority in Interest of the Outside Limited Partners. In the event that the General Partner withdraws from the Partnership, in violation of this Agreement or otherwise, or otherwise dissolves or terminates, or upon the Incapacity of the General Partner, all of the remaining Partners may elect to continue the Partnership business by selecting a successor General Partner in accordance with the Act.</w:t>
      </w:r>
    </w:p>
    <w:p>
      <w:pPr>
        <w:spacing w:after="0" w:line="174" w:lineRule="exact"/>
        <w:rPr>
          <w:rFonts w:ascii="Arial" w:cs="Arial" w:eastAsia="Arial" w:hAnsi="Arial"/>
          <w:sz w:val="16"/>
          <w:szCs w:val="16"/>
          <w:color w:val="auto"/>
        </w:rPr>
      </w:pPr>
    </w:p>
    <w:p>
      <w:pPr>
        <w:ind w:right="160" w:firstLine="656"/>
        <w:spacing w:after="0" w:line="277" w:lineRule="auto"/>
        <w:tabs>
          <w:tab w:leader="none" w:pos="13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11.2.B</w:t>
      </w:r>
      <w:r>
        <w:rPr>
          <w:rFonts w:ascii="Arial" w:cs="Arial" w:eastAsia="Arial" w:hAnsi="Arial"/>
          <w:sz w:val="18"/>
          <w:szCs w:val="18"/>
          <w:color w:val="auto"/>
        </w:rPr>
        <w:t>, the General Partner may Transfer its Interest in connection with any merger or sale of all or substantially all of the assets of the Parent.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Transfer of Limited Partners’ Partnership Interests.</w:t>
      </w:r>
    </w:p>
    <w:p>
      <w:pPr>
        <w:spacing w:after="0" w:line="229" w:lineRule="exact"/>
        <w:rPr>
          <w:sz w:val="20"/>
          <w:szCs w:val="20"/>
          <w:color w:val="auto"/>
        </w:rPr>
      </w:pPr>
    </w:p>
    <w:p>
      <w:pPr>
        <w:ind w:right="140" w:firstLine="656"/>
        <w:spacing w:after="0" w:line="277" w:lineRule="auto"/>
        <w:tabs>
          <w:tab w:leader="none" w:pos="12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Limited Partner shall Transfer all or any portion of its Partnership Interest to any transferee without the consent of the General Partner, which consent may be withheld in its sole and absolute discretion.</w:t>
      </w:r>
    </w:p>
    <w:p>
      <w:pPr>
        <w:sectPr>
          <w:pgSz w:w="11900" w:h="16888" w:orient="portrait"/>
          <w:cols w:equalWidth="0" w:num="1">
            <w:col w:w="11400"/>
          </w:cols>
          <w:pgMar w:left="240" w:top="125" w:right="259" w:bottom="0" w:gutter="0" w:footer="0" w:header="0"/>
        </w:sectPr>
      </w:pPr>
    </w:p>
    <w:bookmarkStart w:id="33" w:name="page34"/>
    <w:bookmarkEnd w:id="33"/>
    <w:p>
      <w:pPr>
        <w:ind w:right="240" w:firstLine="656"/>
        <w:spacing w:after="0" w:line="264" w:lineRule="auto"/>
        <w:tabs>
          <w:tab w:leader="none" w:pos="13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11.6.D</w:t>
      </w:r>
      <w:r>
        <w:rPr>
          <w:rFonts w:ascii="Arial" w:cs="Arial" w:eastAsia="Arial" w:hAnsi="Arial"/>
          <w:sz w:val="18"/>
          <w:szCs w:val="18"/>
          <w:color w:val="auto"/>
        </w:rPr>
        <w:t xml:space="preserve"> hereof), the Partnership Interests of the Parent Limited Partner may be Transferred in whole or in part, at any time and from time to time to any Person that is, at the time of such Transfer, the Parent or any successor thereto or any Qualified REIT Subsidiary.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656"/>
        <w:spacing w:after="0" w:line="342" w:lineRule="auto"/>
        <w:tabs>
          <w:tab w:leader="none" w:pos="131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hereof, it is expressly understood and agreed that the General Partner will not consent to any Transfer of all or any portion of any Partnership Interest pursuant to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above unless such Transfer meets each of the following conditions:</w:t>
      </w:r>
    </w:p>
    <w:p>
      <w:pPr>
        <w:spacing w:after="0" w:line="123" w:lineRule="exact"/>
        <w:rPr>
          <w:rFonts w:ascii="Arial" w:cs="Arial" w:eastAsia="Arial" w:hAnsi="Arial"/>
          <w:sz w:val="16"/>
          <w:szCs w:val="16"/>
          <w:color w:val="auto"/>
        </w:rPr>
      </w:pPr>
    </w:p>
    <w:p>
      <w:pPr>
        <w:jc w:val="both"/>
        <w:ind w:right="100" w:firstLine="1305"/>
        <w:spacing w:after="0" w:line="264" w:lineRule="auto"/>
        <w:tabs>
          <w:tab w:leader="none" w:pos="19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Such Transfer is made only to a single Qualified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such purposes, all Qualified Transferees that are Affiliates, or that comprise investment accounts or funds managed by a single Qualified Transferee and its Affiliates, shall be considered together to be a single Qualified Transferee.</w:t>
      </w:r>
    </w:p>
    <w:p>
      <w:pPr>
        <w:spacing w:after="0" w:line="181" w:lineRule="exact"/>
        <w:rPr>
          <w:rFonts w:ascii="Arial" w:cs="Arial" w:eastAsia="Arial" w:hAnsi="Arial"/>
          <w:sz w:val="18"/>
          <w:szCs w:val="18"/>
          <w:color w:val="auto"/>
        </w:rPr>
      </w:pPr>
    </w:p>
    <w:p>
      <w:pPr>
        <w:ind w:right="140" w:firstLine="1305"/>
        <w:spacing w:after="0" w:line="270" w:lineRule="auto"/>
        <w:tabs>
          <w:tab w:leader="none" w:pos="1976"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The transferee in such Transfer assumes by operation of law or express agreement all of the obligations of the transferor Limited Partner under this Agreement with respect to such Transferred Partnership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Transfer (unless made pursuant to a statutory merger or consolidation wherein all obligations and liabilities of the transferor Partner are assumed by a successor corporation by operation of law) shall relieve the transferor Partner of its obligations under this Agreement without the approval of the General Partner, in its sole and absolute discretion. Notwithstanding the foregoing, any transferee of any Transferred Partnership Interest shall be subject to any and all ownership limitations contained in the Charter that may limit or restrict such transferee’s ability to exercise its Redemption rights, including, without limitation, the Ownership Limit.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hereof.</w:t>
      </w:r>
    </w:p>
    <w:p>
      <w:pPr>
        <w:spacing w:after="0" w:line="181" w:lineRule="exact"/>
        <w:rPr>
          <w:rFonts w:ascii="Arial" w:cs="Arial" w:eastAsia="Arial" w:hAnsi="Arial"/>
          <w:sz w:val="17"/>
          <w:szCs w:val="17"/>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Transfer is effective as of the first day of a fiscal quarter of the Partnership.</w:t>
      </w:r>
    </w:p>
    <w:p>
      <w:pPr>
        <w:spacing w:after="0" w:line="225" w:lineRule="exact"/>
        <w:rPr>
          <w:rFonts w:ascii="Arial" w:cs="Arial" w:eastAsia="Arial" w:hAnsi="Arial"/>
          <w:sz w:val="18"/>
          <w:szCs w:val="18"/>
          <w:color w:val="auto"/>
        </w:rPr>
      </w:pPr>
    </w:p>
    <w:p>
      <w:pPr>
        <w:ind w:right="20" w:firstLine="656"/>
        <w:spacing w:after="0" w:line="259" w:lineRule="auto"/>
        <w:tabs>
          <w:tab w:leader="none" w:pos="13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186" w:lineRule="exact"/>
        <w:rPr>
          <w:rFonts w:ascii="Arial" w:cs="Arial" w:eastAsia="Arial" w:hAnsi="Arial"/>
          <w:sz w:val="18"/>
          <w:szCs w:val="18"/>
          <w:color w:val="auto"/>
        </w:rPr>
      </w:pPr>
    </w:p>
    <w:p>
      <w:pPr>
        <w:ind w:right="320" w:firstLine="656"/>
        <w:spacing w:after="0" w:line="312" w:lineRule="auto"/>
        <w:tabs>
          <w:tab w:leader="none" w:pos="1316"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connection with any proposed Transfer of a Limited Partner Interest, the General Partner shall have the right to receive an opinion of counsel reasonably satisfactory to it to the effect that the proposed Transfer may be effected without registration under the Securities Act and will not otherwise violate any federal or state securities laws or regulations applicable to the Partnership or the Partnership Interests Transferred.</w:t>
      </w:r>
    </w:p>
    <w:p>
      <w:pPr>
        <w:spacing w:after="0" w:line="146" w:lineRule="exact"/>
        <w:rPr>
          <w:rFonts w:ascii="Arial" w:cs="Arial" w:eastAsia="Arial" w:hAnsi="Arial"/>
          <w:sz w:val="16"/>
          <w:szCs w:val="16"/>
          <w:color w:val="auto"/>
        </w:rPr>
      </w:pPr>
    </w:p>
    <w:p>
      <w:pPr>
        <w:ind w:firstLine="656"/>
        <w:spacing w:after="0" w:line="290" w:lineRule="auto"/>
        <w:tabs>
          <w:tab w:leader="none" w:pos="1292"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Transfer by a Limited Partner of its Partnership Interests (including any Redemption, any other acquisition of Partnership Units by the Partnership or the General Partner) may be made to or by any person if (i) in the opinion of legal counsel for the Partnership, it would result in the Partnership being treated as an association taxable as a corporation or would result in a termination of the Partnership under Code Section 708, (ii) in the opinion of legal counsel for the Partnership, it would adversely affect the ability of the Parent to continue to qualify as a REIT or would subject the Parent to any additional taxes under Code Section 857 or Code Section 4981, or (iii) such Transfer would be effectuated through an “established securities market” or a “secondary market (or the substantial equivalent thereof)” within the meaning of Code Section 7704 (provided that this clause (iii) shall not be the basis for limiting or restricting in any manner the exercise of a Redemption Right unless, and only to the extent that, in the absence of such limitation or restriction, there is a significant risk that the Partnership will be treated as a “publicly traded partnership” and, by reason thereof, taxable as a corporation).</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Substituted Limited Partners.</w:t>
      </w:r>
    </w:p>
    <w:p>
      <w:pPr>
        <w:spacing w:after="0" w:line="229" w:lineRule="exact"/>
        <w:rPr>
          <w:sz w:val="20"/>
          <w:szCs w:val="20"/>
          <w:color w:val="auto"/>
        </w:rPr>
      </w:pPr>
    </w:p>
    <w:p>
      <w:pPr>
        <w:ind w:right="80" w:firstLine="656"/>
        <w:spacing w:after="0" w:line="293" w:lineRule="auto"/>
        <w:tabs>
          <w:tab w:leader="none" w:pos="129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 transferee of the interest of a Limited Partner pursuant to a Transfer consented to by the General Partner pursuant to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may be admitted as a Substituted Limited Partner only with the consent of the General Partner, which consent may be given or withheld by the General Partner in its sole and absolute discretion.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(ii) a counterpart signature page to this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executed by such Assignee, and (iii) such other documents and instruments as may be required or advisable, in the sole and absolute discretion of the General Partner, to effect such Assignee’s admission as a Substituted Limited Partner.</w:t>
      </w:r>
    </w:p>
    <w:p>
      <w:pPr>
        <w:spacing w:after="0" w:line="170" w:lineRule="exact"/>
        <w:rPr>
          <w:sz w:val="20"/>
          <w:szCs w:val="20"/>
          <w:color w:val="auto"/>
        </w:rPr>
      </w:pPr>
    </w:p>
    <w:p>
      <w:pPr>
        <w:ind w:right="60" w:firstLine="656"/>
        <w:spacing w:after="0" w:line="277" w:lineRule="auto"/>
        <w:tabs>
          <w:tab w:leader="none" w:pos="13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 transferee who has been admitted as a Substituted Limited Partner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have all the rights and powers and be subject to all the restrictions and liabilities of a Limited Partner under this Agreement.</w:t>
      </w:r>
    </w:p>
    <w:p>
      <w:pPr>
        <w:spacing w:after="0" w:line="170" w:lineRule="exact"/>
        <w:rPr>
          <w:rFonts w:ascii="Arial" w:cs="Arial" w:eastAsia="Arial" w:hAnsi="Arial"/>
          <w:sz w:val="18"/>
          <w:szCs w:val="18"/>
          <w:color w:val="auto"/>
        </w:rPr>
      </w:pPr>
    </w:p>
    <w:p>
      <w:pPr>
        <w:ind w:right="20" w:firstLine="656"/>
        <w:spacing w:after="0" w:line="264" w:lineRule="auto"/>
        <w:tabs>
          <w:tab w:leader="none" w:pos="13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Limited Partner, the General Partner shall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reflect the name, address and number of Partnership Units of such Substituted Limited Partner and to eliminate or adjust, if necessary, the name, address and number of Partnership Units of the predecessor of such Substituted Limited Partner.</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Section 11.5 Assignees</w:t>
      </w:r>
      <w:r>
        <w:rPr>
          <w:rFonts w:ascii="Arial" w:cs="Arial" w:eastAsia="Arial" w:hAnsi="Arial"/>
          <w:sz w:val="16"/>
          <w:szCs w:val="16"/>
          <w:color w:val="auto"/>
        </w:rPr>
        <w:t>. If the General Partner, in its sole and absolute discretion, does not consent to the admission of any transferee of any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as a Substituted Limited Partner in connection with a transfer permitted by the General Partner pursuant to </w:t>
      </w:r>
      <w:r>
        <w:rPr>
          <w:rFonts w:ascii="Arial" w:cs="Arial" w:eastAsia="Arial" w:hAnsi="Arial"/>
          <w:sz w:val="16"/>
          <w:szCs w:val="16"/>
          <w:u w:val="single" w:color="auto"/>
          <w:color w:val="auto"/>
        </w:rPr>
        <w:t>Section 11.3.A</w:t>
      </w:r>
      <w:r>
        <w:rPr>
          <w:rFonts w:ascii="Arial" w:cs="Arial" w:eastAsia="Arial" w:hAnsi="Arial"/>
          <w:sz w:val="16"/>
          <w:szCs w:val="16"/>
          <w:color w:val="auto"/>
        </w:rPr>
        <w:t>, such transferee shall be considered an Assignee for purposes of this Agreement. An Assignee shall be entitled to all the rights of an assignee of a limited partnership interest under the Act, including the right to receive distributions from the Partnership and the share of Net Income, Net Losses and other items of income, gain, loss, deduction and credit of the Partnership attributable to the Partnership Units assigned to such transferee and the rights to Transfer the Partnership Units only in</w:t>
      </w:r>
    </w:p>
    <w:p>
      <w:pPr>
        <w:sectPr>
          <w:pgSz w:w="11900" w:h="16838" w:orient="portrait"/>
          <w:cols w:equalWidth="0" w:num="1">
            <w:col w:w="11400"/>
          </w:cols>
          <w:pgMar w:left="240" w:top="125" w:right="259" w:bottom="0" w:gutter="0" w:footer="0" w:header="0"/>
        </w:sectPr>
      </w:pPr>
    </w:p>
    <w:bookmarkStart w:id="34" w:name="page35"/>
    <w:bookmarkEnd w:id="34"/>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accordance with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but shall not be deemed to be a holder of Partnership Units for any other purpose under this Agreement, and shall not be entitled to effect a Consent or vote or effect a Redemption with respect to such Partnership Units on any matter presented to the Limited Partners for approval (such right to Consent or vote or effect a Redemption, to the extent provided in this Agreement or under the Act, fully remaining with the transferor Limited Partner). In the event that any such transferee desires to make a further assignment of any such Partnership Units, such transferee shall be subject to all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the same extent and in the same manner as any Limited Partner desiring to make an assignment of Partnership Units.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5"/>
          <w:szCs w:val="15"/>
          <w:b w:val="1"/>
          <w:bCs w:val="1"/>
          <w:color w:val="auto"/>
        </w:rPr>
        <w:t>General Provisions.</w:t>
      </w:r>
    </w:p>
    <w:p>
      <w:pPr>
        <w:spacing w:after="0" w:line="229" w:lineRule="exact"/>
        <w:rPr>
          <w:sz w:val="20"/>
          <w:szCs w:val="20"/>
          <w:color w:val="auto"/>
        </w:rPr>
      </w:pPr>
    </w:p>
    <w:p>
      <w:pPr>
        <w:ind w:right="100" w:firstLine="656"/>
        <w:spacing w:after="0" w:line="259" w:lineRule="auto"/>
        <w:tabs>
          <w:tab w:leader="none" w:pos="12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 Limited Partner may withdraw from the Partnership other than as a result of a permitted Transfer of all of such Limited Partner’s Partnership Units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with respect to which the transferee becomes a Substituted Limited Partner, or pursuant to a redemption (or acquisition by the General Partner) of all of its Partnership Units pursuant to a Redemption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hereof and/or pursuant to any Partnership Unit Designation.</w:t>
      </w:r>
    </w:p>
    <w:p>
      <w:pPr>
        <w:spacing w:after="0" w:line="186" w:lineRule="exact"/>
        <w:rPr>
          <w:rFonts w:ascii="Arial" w:cs="Arial" w:eastAsia="Arial" w:hAnsi="Arial"/>
          <w:sz w:val="18"/>
          <w:szCs w:val="18"/>
          <w:color w:val="auto"/>
        </w:rPr>
      </w:pPr>
    </w:p>
    <w:p>
      <w:pPr>
        <w:jc w:val="both"/>
        <w:ind w:right="340" w:firstLine="656"/>
        <w:spacing w:after="0" w:line="259" w:lineRule="auto"/>
        <w:tabs>
          <w:tab w:leader="none" w:pos="13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Limited Partner who shall Transfer all of its Partnership Units in a Transfer (i) consented to by the General Partner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where such transferee was admitted as a Substituted Limited Partner, (ii) pursuant to the exercise of its rights to effect a redemption of all of its Partnership Units pursuant to a Redemption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hereof and/or pursuant to any Partnership Unit Designation, or (iii) to the General Partner, whether or not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hereof, shall cease to be a Limited Partner.</w:t>
      </w:r>
    </w:p>
    <w:p>
      <w:pPr>
        <w:spacing w:after="0" w:line="186" w:lineRule="exact"/>
        <w:rPr>
          <w:rFonts w:ascii="Arial" w:cs="Arial" w:eastAsia="Arial" w:hAnsi="Arial"/>
          <w:sz w:val="18"/>
          <w:szCs w:val="18"/>
          <w:color w:val="auto"/>
        </w:rPr>
      </w:pPr>
    </w:p>
    <w:p>
      <w:pPr>
        <w:ind w:firstLine="656"/>
        <w:spacing w:after="0" w:line="269" w:lineRule="auto"/>
        <w:tabs>
          <w:tab w:leader="none" w:pos="1313"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any Partnership Unit is Transferred in compliance with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is redeemed by the Partnership, or acquired by the General Partner pursuant to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hereof, on any day other than the first day of a Partnership Year, then Net Income, Net Losses, each item thereof and all other items of income, gain, loss, deduction and credit attributable to such Partnership Unit for such Partnership Year shall be allocated to the transferor Partner or the Tendering Partner, as the case may be, and, in the case of a Transfer or assignment other than a Redemption, to the transferee Partner, by taking into account their varying interests during the Partnership Year in accordance with Code Section 706(d), using the “interim closing of the books” method or another permissible method selected by the General Partner. Solely for purposes of making such allocations, each of such items for the calendar month in which a Transfer occurs shall be allocated to the transferee Partner and none of such items for the calendar month in which a Transfer or a Redemption occurs shall be allocated to the transferor Partner or the Tendering Partner, as the case may be, if such Transfer occurs on or before the 15th day of the month, otherwise such items shall be allocated to the transferor. All distributions of Available Cash attributable to such Partnership Unit with respect to which the Partnership Record Date is before the date of such Transfer, assignment or Redemption shall be made to the transferor Partner or the Tendering Partner, as the case may be, and, in the case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of a Transfer other than a Redemption, all distributions of Available Cash thereafter attributable to such Partnership Unit shall be made to the transferee Partner.</w:t>
      </w:r>
    </w:p>
    <w:p>
      <w:pPr>
        <w:spacing w:after="0" w:line="170" w:lineRule="exact"/>
        <w:rPr>
          <w:sz w:val="20"/>
          <w:szCs w:val="20"/>
          <w:color w:val="auto"/>
        </w:rPr>
      </w:pPr>
    </w:p>
    <w:p>
      <w:pPr>
        <w:ind w:right="40" w:firstLine="656"/>
        <w:spacing w:after="0" w:line="284" w:lineRule="auto"/>
        <w:tabs>
          <w:tab w:leader="none" w:pos="1309"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no event may any Transfer or assignment of a Partnership Interest by any Partner (including any Redemption, any acquisition of Partnership Units by the General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 from all other components of a Partnership Interest; (iv) in the event that such Transfer would cause the Parent to cease to comply with the REIT Requirements; (v) if such Transfer would, in the opinion of counsel to the Partnership or the General Partner, cause a termination of the Partnership for federal or state income tax purposes; (vi) if such Transfer would, in the opinion of legal counsel to the Partnership, cause the Partnership to cease to be classified as a partnership for federal income tax purposes; (vii) if such Transfer would cause the Partnership to become, with respect to any employee benefit plan subject to Title I of ERISA, a “party-in-interest” (as defined in ERISA Section 3(14)) or a “disqualified person” (as defined in Code Section 4975(c)); (viii) without the consent of the General Partner, to any benefit plan investor within the meaning of Department of Labor Regulations Section 2510.3-101(f); (ix) if such Transfer would, in the opinion of legal counsel to the Partnership or the General Partner, cause any portion of the assets of the Partnership to constitute assets of any employee benefit plan pursuant to Department of Labor Regulations Section 2510.3-101; (x) if such Transfer requires the registration of such Partnership Interest pursuant to any applicable federal or state securities laws; (xi) if such Transfer would, in the opinion of legal counsel to the Partnership or the General Partner, adversely affect the ability of the Parent to continue to qualify as a REIT or would subject the Parent to any additional taxes under Code Section 857 or Code Section 4981; (xi) if such transfer would be effectuated through an “established securities market” or a “secondary market (or the substantial equivalent thereof)” within the meaning of Code Section 7704 (provided that this clause (xii) shall not be the basis for limiting or restricting in any manner the exercise of a Redemption Right unless, and only to the extent that, in the absence of such limitation or restriction there is a significant risk that the Partnership will be treated as a “publicly traded partnership” and, by reason thereof, taxable as a corporation); (xiii) if such Transfer would cause the Partnership to have more than 100 partners (including as partners those persons indirectly owning an interest in the Partnership through a partnership, limited liability company, subchapter S corporation or grantor trust); (xiv) if such Transfer causes the Partnership (as opposed to the Parent) to become a reporting company under the Exchange Act; or (xv) if such Transfer subjects the Partnership to regulation under the Investment Company Act of 1940, the Investment Advisors Act of 1940 or ERISA, each as amended.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ADMISSION OF PARTNERS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Admission of Successor General Partner</w:t>
      </w:r>
    </w:p>
    <w:p>
      <w:pPr>
        <w:spacing w:after="0" w:line="229" w:lineRule="exact"/>
        <w:rPr>
          <w:sz w:val="20"/>
          <w:szCs w:val="20"/>
          <w:color w:val="auto"/>
        </w:rPr>
      </w:pPr>
    </w:p>
    <w:p>
      <w:pPr>
        <w:ind w:firstLine="656"/>
        <w:spacing w:after="0" w:line="257" w:lineRule="auto"/>
        <w:tabs>
          <w:tab w:leader="none" w:pos="7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 successor to all of the General Partner’s General Partner Interest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hereof who is proposed to be admitted as a successor General Partner shall be admitted to the Partnership as the General Partner, effective immediately prior to such Transfer. Any such successor shall carry on the business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color w:val="auto"/>
        </w:rPr>
        <w:t>Admission of Additional Limited Partners.</w:t>
      </w:r>
    </w:p>
    <w:p>
      <w:pPr>
        <w:spacing w:after="0" w:line="229" w:lineRule="exact"/>
        <w:rPr>
          <w:sz w:val="20"/>
          <w:szCs w:val="20"/>
          <w:color w:val="auto"/>
        </w:rPr>
      </w:pPr>
    </w:p>
    <w:p>
      <w:pPr>
        <w:ind w:right="100" w:firstLine="656"/>
        <w:spacing w:after="0" w:line="342" w:lineRule="auto"/>
        <w:tabs>
          <w:tab w:leader="none" w:pos="12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After the date hereof, a Person (other than an existing Partner) who makes a Capital Contribution to the Partnership in accordance with this Agreement shall be admitted to the Partnership as an Additional Limited Partner only upon furnishing to the General Partner (i) evidence of acceptance, in</w:t>
      </w:r>
    </w:p>
    <w:p>
      <w:pPr>
        <w:sectPr>
          <w:pgSz w:w="11900" w:h="16935" w:orient="portrait"/>
          <w:cols w:equalWidth="0" w:num="1">
            <w:col w:w="11420"/>
          </w:cols>
          <w:pgMar w:left="240" w:top="125" w:right="239" w:bottom="0" w:gutter="0" w:footer="0" w:header="0"/>
        </w:sectPr>
      </w:pPr>
    </w:p>
    <w:bookmarkStart w:id="35" w:name="page36"/>
    <w:bookmarkEnd w:id="35"/>
    <w:p>
      <w:pPr>
        <w:ind w:right="120"/>
        <w:spacing w:after="0" w:line="259" w:lineRule="auto"/>
        <w:rPr>
          <w:sz w:val="20"/>
          <w:szCs w:val="20"/>
          <w:color w:val="auto"/>
        </w:rPr>
      </w:pPr>
      <w:r>
        <w:rPr>
          <w:rFonts w:ascii="Arial" w:cs="Arial" w:eastAsia="Arial" w:hAnsi="Arial"/>
          <w:sz w:val="18"/>
          <w:szCs w:val="18"/>
          <w:color w:val="auto"/>
        </w:rPr>
        <w:t xml:space="preserve">form and substance satisfactory to the General Partner, of all of the terms and conditions of this Agreement, including, without limitation, the power of attorney granted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(ii) a counterpart signature page to this Agreement executed by such Person, and (iii) such other documents or instruments as may be required in the sole and absolute discretion of the General Partner in order to effect such Person’s admission as an Additional Limited Partner.</w:t>
      </w:r>
    </w:p>
    <w:p>
      <w:pPr>
        <w:spacing w:after="0" w:line="187" w:lineRule="exact"/>
        <w:rPr>
          <w:sz w:val="20"/>
          <w:szCs w:val="20"/>
          <w:color w:val="auto"/>
        </w:rPr>
      </w:pPr>
    </w:p>
    <w:p>
      <w:pPr>
        <w:ind w:right="340" w:firstLine="656"/>
        <w:spacing w:after="0" w:line="277" w:lineRule="auto"/>
        <w:tabs>
          <w:tab w:leader="none" w:pos="131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12.2</w:t>
      </w:r>
      <w:r>
        <w:rPr>
          <w:rFonts w:ascii="Arial" w:cs="Arial" w:eastAsia="Arial" w:hAnsi="Arial"/>
          <w:sz w:val="18"/>
          <w:szCs w:val="18"/>
          <w:color w:val="auto"/>
        </w:rPr>
        <w:t>, no Person shall be admitted as an Additional Limited Partner without the consent of the General Partner, which consent may be given or withheld 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General Partner’s sole and absolute discretion. The admission of any Person as an Additional Limited Partner shall become effective on the date upon which the name of such Person is recorded on the books and records of the Partnership, following the consent of the General Partner to such admission.</w:t>
      </w:r>
    </w:p>
    <w:p>
      <w:pPr>
        <w:spacing w:after="0" w:line="124" w:lineRule="exact"/>
        <w:rPr>
          <w:sz w:val="20"/>
          <w:szCs w:val="20"/>
          <w:color w:val="auto"/>
        </w:rPr>
      </w:pPr>
    </w:p>
    <w:p>
      <w:pPr>
        <w:ind w:right="20" w:firstLine="656"/>
        <w:spacing w:after="0" w:line="270" w:lineRule="auto"/>
        <w:tabs>
          <w:tab w:leader="none" w:pos="131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If any Additional Limited Partner is admitted to the Partnership on any day other than the first day of a Partnership Year, then Net Income, Net Losses, each item thereof and all other items of income, gain, loss, deduction and credit allocable among Partners and Assignees for such Partnership Year shall be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such Additional Limited Partner and all other Partners and Assignees by taking into account their varying interests during the Partnership Year in accordance with Code Section 706(d), using the “interim closing of the books” method or another permissible method selected by the General Partner. Solely for purposes of making such allocations, each of such items for the calendar month in which an admission of any Additional Limited Partner occurs shall be allocated among all the Partners and Assignees including such Additional Limited Partner, in accordance with the principles described in </w:t>
      </w:r>
      <w:r>
        <w:rPr>
          <w:rFonts w:ascii="Arial" w:cs="Arial" w:eastAsia="Arial" w:hAnsi="Arial"/>
          <w:sz w:val="17"/>
          <w:szCs w:val="17"/>
          <w:u w:val="single" w:color="auto"/>
          <w:color w:val="auto"/>
        </w:rPr>
        <w:t>Section 11.6.C</w:t>
      </w:r>
      <w:r>
        <w:rPr>
          <w:rFonts w:ascii="Arial" w:cs="Arial" w:eastAsia="Arial" w:hAnsi="Arial"/>
          <w:sz w:val="17"/>
          <w:szCs w:val="17"/>
          <w:color w:val="auto"/>
        </w:rPr>
        <w:t xml:space="preserve"> hereof. All distributions of Available Cash with respect to which the Partnership Record Date is before the date of such admission shall be made solely to Partners and Assignees other than the Additional Limited Partner, and all distributions of Available Cash thereafter shall be made to all the Partners and Assignees including such Additional Limited Partner.</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Section 12.3 Amendment of Agreement and Certificate of Limited Partnership</w:t>
      </w:r>
      <w:r>
        <w:rPr>
          <w:rFonts w:ascii="Arial" w:cs="Arial" w:eastAsia="Arial" w:hAnsi="Arial"/>
          <w:sz w:val="18"/>
          <w:szCs w:val="18"/>
          <w:color w:val="auto"/>
        </w:rPr>
        <w:t>. For the admission to the Partnership of any Partner,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 shall take all steps necessary and appropriate under the Act to amend the records of the Partnership and, if necessary, to prepare as soon as practical an amendment of this Agreement (including an amendment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if required by law, shall prepare and file an amendment to the Certificate and may for this purpose exercise the power of attorney granted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18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Section 12.4 Limit on Number of Partners</w:t>
      </w:r>
      <w:r>
        <w:rPr>
          <w:rFonts w:ascii="Arial" w:cs="Arial" w:eastAsia="Arial" w:hAnsi="Arial"/>
          <w:sz w:val="17"/>
          <w:szCs w:val="17"/>
          <w:color w:val="auto"/>
        </w:rPr>
        <w:t>. Unless otherwise permitted by the General Partner, no Person shall be admitted to the Partnership as an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Limited Partner if the effect of such admission would be to cause the Partnership to have a number of Partners (including as Partners for this purpose those Persons indirectly owning an interest in the Partnership through another partnership, a limited liability company, a subchapter S corporation or a grantor trust) that would cause the Partnership to become a reporting company under the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Section 13.1 Dissolution</w:t>
      </w:r>
      <w:r>
        <w:rPr>
          <w:rFonts w:ascii="Arial" w:cs="Arial" w:eastAsia="Arial" w:hAnsi="Arial"/>
          <w:sz w:val="18"/>
          <w:szCs w:val="18"/>
          <w:color w:val="auto"/>
        </w:rPr>
        <w:t>. The Partnership shall not be dissolved by the admission of Additional Limited Partners or by the admission of a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in accordance with the terms of this Agreement. Upon the withdrawal of the General Partner, any successor General Partner shall continue the business of the Partnership without dissolution. However, the Partnership shall dissolve, and its affairs shall be wound up, upon the first to occur of any of the following (each a “</w:t>
      </w:r>
      <w:r>
        <w:rPr>
          <w:rFonts w:ascii="Arial" w:cs="Arial" w:eastAsia="Arial" w:hAnsi="Arial"/>
          <w:sz w:val="18"/>
          <w:szCs w:val="18"/>
          <w:u w:val="single" w:color="auto"/>
          <w:color w:val="auto"/>
        </w:rPr>
        <w:t>Liquidating Event</w:t>
      </w:r>
      <w:r>
        <w:rPr>
          <w:rFonts w:ascii="Arial" w:cs="Arial" w:eastAsia="Arial" w:hAnsi="Arial"/>
          <w:sz w:val="18"/>
          <w:szCs w:val="18"/>
          <w:color w:val="auto"/>
        </w:rPr>
        <w:t>”):</w:t>
      </w:r>
    </w:p>
    <w:p>
      <w:pPr>
        <w:spacing w:after="0" w:line="184"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expiration of its term as provided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57" w:lineRule="auto"/>
        <w:tabs>
          <w:tab w:leader="none" w:pos="13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final and non-appealable judgment is entered by a court of competent jurisdiction ruling that the General Partner is bankrupt or insolvent, or a final and non-appealable order for relief is entered by a court with appropriate jurisdiction against the General Partner, in each case under any federal or state bankruptcy or insolvency laws as now or hereafter in effect, unless, prior to the entry of such order or judgment, a Majority in Interest of the remaining Outside Limited Partners agree in writing, in their sole and absolute discretion, to continue the business of the Partnership and to the appointment, effective as of a date prior to the date of such order or judgment, of a successor General Partner;</w:t>
      </w:r>
    </w:p>
    <w:p>
      <w:pPr>
        <w:spacing w:after="0" w:line="188" w:lineRule="exact"/>
        <w:rPr>
          <w:rFonts w:ascii="Arial" w:cs="Arial" w:eastAsia="Arial" w:hAnsi="Arial"/>
          <w:sz w:val="18"/>
          <w:szCs w:val="18"/>
          <w:color w:val="auto"/>
        </w:rPr>
      </w:pPr>
    </w:p>
    <w:p>
      <w:pPr>
        <w:ind w:right="380" w:firstLine="656"/>
        <w:spacing w:after="0" w:line="277" w:lineRule="auto"/>
        <w:tabs>
          <w:tab w:leader="none" w:pos="13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election to dissolve the Partnership made by the General Partner in its sole and absolute discretion, with or without the Consent of a Majority in Interest of the Outside Limited Partners;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entry of a decree of judicial dissolution of the Partnership pursuant to the provisions of the Act;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occurrence of a Terminating Capital Transaction;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56"/>
        <w:spacing w:after="0" w:line="277" w:lineRule="auto"/>
        <w:tabs>
          <w:tab w:leader="none" w:pos="12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Redemption (or acquisition by the General Partner) of all Partnership Units other than Partnership Units held by the General Partner and the Parent Limited Partner; or</w:t>
      </w:r>
    </w:p>
    <w:p>
      <w:pPr>
        <w:spacing w:after="0" w:line="170" w:lineRule="exact"/>
        <w:rPr>
          <w:rFonts w:ascii="Arial" w:cs="Arial" w:eastAsia="Arial" w:hAnsi="Arial"/>
          <w:sz w:val="18"/>
          <w:szCs w:val="18"/>
          <w:color w:val="auto"/>
        </w:rPr>
      </w:pPr>
    </w:p>
    <w:p>
      <w:pPr>
        <w:ind w:right="160" w:firstLine="656"/>
        <w:spacing w:after="0" w:line="342" w:lineRule="auto"/>
        <w:tabs>
          <w:tab w:leader="none" w:pos="1323"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Incapacity of the General Partner, unless all of the remaining Partners in their sole and absolute discretion agree in writing to continue the business of the Partnership and to the appointment, effective as of a date prior to the date of such Incapacity, of a substitute General Partner.</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7"/>
          <w:szCs w:val="17"/>
          <w:b w:val="1"/>
          <w:bCs w:val="1"/>
          <w:color w:val="auto"/>
        </w:rPr>
        <w:t>Winding Up.</w:t>
      </w:r>
    </w:p>
    <w:p>
      <w:pPr>
        <w:spacing w:after="0" w:line="229" w:lineRule="exact"/>
        <w:rPr>
          <w:sz w:val="20"/>
          <w:szCs w:val="20"/>
          <w:color w:val="auto"/>
        </w:rPr>
      </w:pPr>
    </w:p>
    <w:p>
      <w:pPr>
        <w:jc w:val="both"/>
        <w:ind w:right="140" w:firstLine="656"/>
        <w:spacing w:after="0" w:line="312" w:lineRule="auto"/>
        <w:tabs>
          <w:tab w:leader="none" w:pos="12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the occurrence of a Liquidating Event, the Partnership shall continue solely for the purposes of winding up its affairs in an orderly manner, liquidating its assets and satisfying the claims of its creditors and Partners. After the occurrence of a Liquidating Event, no Partner shall take any action that is inconsistent with, or not necessary to or appropriate for, the winding up of the Partnership’s business and affairs. The General Partner or, in the</w:t>
      </w:r>
    </w:p>
    <w:p>
      <w:pPr>
        <w:sectPr>
          <w:pgSz w:w="11900" w:h="16838" w:orient="portrait"/>
          <w:cols w:equalWidth="0" w:num="1">
            <w:col w:w="11400"/>
          </w:cols>
          <w:pgMar w:left="240" w:top="125" w:right="259" w:bottom="0" w:gutter="0" w:footer="0" w:header="0"/>
        </w:sectPr>
      </w:pPr>
    </w:p>
    <w:bookmarkStart w:id="36" w:name="page37"/>
    <w:bookmarkEnd w:id="36"/>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event that there is no remaining General Partner or the General Partner has dissolved, become bankrupt within the meaning of the Act or ceased to operate,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Person elected by a Majority in Interest of the Outside Limited Partners (the General Partner or such other Person being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Liquidator</w:t>
      </w:r>
      <w:r>
        <w:rPr>
          <w:rFonts w:ascii="Arial" w:cs="Arial" w:eastAsia="Arial" w:hAnsi="Arial"/>
          <w:sz w:val="16"/>
          <w:szCs w:val="16"/>
          <w:color w:val="auto"/>
        </w:rPr>
        <w:t>”) shall be responsible for overseeing the winding up and dissolution of the Partnership and shall take full account of the Partnership’s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property, and the Partnership property shall be liquidated as promptly as is consistent with obtaining the fair value thereof, and the proceeds therefrom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to the extent determined by the General Partner, include shares of stock in the General Partner) shall be applied and distributed in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11" w:lineRule="exact"/>
        <w:rPr>
          <w:sz w:val="20"/>
          <w:szCs w:val="20"/>
          <w:color w:val="auto"/>
        </w:rPr>
      </w:pPr>
    </w:p>
    <w:p>
      <w:pPr>
        <w:ind w:right="460" w:firstLine="1305"/>
        <w:spacing w:after="0" w:line="277" w:lineRule="auto"/>
        <w:tabs>
          <w:tab w:leader="none" w:pos="19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First, to the satisfaction of all of the Partnership’s debts and liabilities to creditors other than the Partners and their Assignees (whether by payment or the making of reasonable provision for payment thereof);</w:t>
      </w:r>
    </w:p>
    <w:p>
      <w:pPr>
        <w:spacing w:after="0" w:line="170" w:lineRule="exact"/>
        <w:rPr>
          <w:rFonts w:ascii="Arial" w:cs="Arial" w:eastAsia="Arial" w:hAnsi="Arial"/>
          <w:sz w:val="18"/>
          <w:szCs w:val="18"/>
          <w:color w:val="auto"/>
        </w:rPr>
      </w:pPr>
    </w:p>
    <w:p>
      <w:pPr>
        <w:ind w:right="580" w:firstLine="1305"/>
        <w:spacing w:after="0" w:line="342" w:lineRule="auto"/>
        <w:tabs>
          <w:tab w:leader="none" w:pos="19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Second, to the satisfaction of all of the Partnership’s debts and liabilities to the General Partner (whether by payment or the making of reasonable provision for payment thereof), including, but not limited to, amounts due as reimbursements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hereof;</w:t>
      </w:r>
    </w:p>
    <w:p>
      <w:pPr>
        <w:spacing w:after="0" w:line="123" w:lineRule="exact"/>
        <w:rPr>
          <w:rFonts w:ascii="Arial" w:cs="Arial" w:eastAsia="Arial" w:hAnsi="Arial"/>
          <w:sz w:val="16"/>
          <w:szCs w:val="16"/>
          <w:color w:val="auto"/>
        </w:rPr>
      </w:pPr>
    </w:p>
    <w:p>
      <w:pPr>
        <w:ind w:right="560" w:firstLine="1305"/>
        <w:spacing w:after="0" w:line="277" w:lineRule="auto"/>
        <w:tabs>
          <w:tab w:leader="none" w:pos="19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Third, to the satisfaction of all of the Partnership’s debts and liabilities to the other Partners and any Assignees (whether by payment or the making of reasonable provision for payment thereof); and</w:t>
      </w:r>
    </w:p>
    <w:p>
      <w:pPr>
        <w:spacing w:after="0" w:line="170" w:lineRule="exact"/>
        <w:rPr>
          <w:rFonts w:ascii="Arial" w:cs="Arial" w:eastAsia="Arial" w:hAnsi="Arial"/>
          <w:sz w:val="18"/>
          <w:szCs w:val="18"/>
          <w:color w:val="auto"/>
        </w:rPr>
      </w:pPr>
    </w:p>
    <w:p>
      <w:pPr>
        <w:ind w:right="20" w:firstLine="1305"/>
        <w:spacing w:after="0" w:line="259" w:lineRule="auto"/>
        <w:tabs>
          <w:tab w:leader="none" w:pos="196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balance, if any, to the General Partner, the Limited Partners and any Assignees in accordance with their Capital Account balances, after giving effect to all contributions, distributions and allocations for all periods; provided, however, that the distribution provisions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13.2.A(iv)</w:t>
      </w:r>
      <w:r>
        <w:rPr>
          <w:rFonts w:ascii="Arial" w:cs="Arial" w:eastAsia="Arial" w:hAnsi="Arial"/>
          <w:sz w:val="18"/>
          <w:szCs w:val="18"/>
          <w:color w:val="auto"/>
        </w:rPr>
        <w:t xml:space="preserve"> shall be made by giving effect to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hereof and any distributions under this </w:t>
      </w:r>
      <w:r>
        <w:rPr>
          <w:rFonts w:ascii="Arial" w:cs="Arial" w:eastAsia="Arial" w:hAnsi="Arial"/>
          <w:sz w:val="18"/>
          <w:szCs w:val="18"/>
          <w:u w:val="single" w:color="auto"/>
          <w:color w:val="auto"/>
        </w:rPr>
        <w:t>Section 13.2.A(iv)</w:t>
      </w:r>
      <w:r>
        <w:rPr>
          <w:rFonts w:ascii="Arial" w:cs="Arial" w:eastAsia="Arial" w:hAnsi="Arial"/>
          <w:sz w:val="18"/>
          <w:szCs w:val="18"/>
          <w:color w:val="auto"/>
        </w:rPr>
        <w:t xml:space="preserve"> shall be made first to Holders of Series A Preferred Units.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General Partner shall not receive any additional compensation for any services performed pursuant to this </w:t>
      </w:r>
      <w:r>
        <w:rPr>
          <w:rFonts w:ascii="Arial" w:cs="Arial" w:eastAsia="Arial" w:hAnsi="Arial"/>
          <w:sz w:val="18"/>
          <w:szCs w:val="18"/>
          <w:u w:val="single" w:color="auto"/>
          <w:color w:val="auto"/>
        </w:rPr>
        <w:t>Article XIII</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89" w:lineRule="auto"/>
        <w:tabs>
          <w:tab w:leader="none" w:pos="131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13.2.A</w:t>
      </w:r>
      <w:r>
        <w:rPr>
          <w:rFonts w:ascii="Arial" w:cs="Arial" w:eastAsia="Arial" w:hAnsi="Arial"/>
          <w:sz w:val="16"/>
          <w:szCs w:val="16"/>
          <w:color w:val="auto"/>
        </w:rPr>
        <w:t xml:space="preserve"> hereof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Partners, the Liquidator may, in its sole and absolute discretion, defer for a reasonable time the liquidation of any assets except those necessary to satisfy liabilities of the Partnership (including to those Partners as creditors) and/or distribute to the Partners, in lieu of cash, as tenants in common and in accordance with the provisions of </w:t>
      </w:r>
      <w:r>
        <w:rPr>
          <w:rFonts w:ascii="Arial" w:cs="Arial" w:eastAsia="Arial" w:hAnsi="Arial"/>
          <w:sz w:val="16"/>
          <w:szCs w:val="16"/>
          <w:u w:val="single" w:color="auto"/>
          <w:color w:val="auto"/>
        </w:rPr>
        <w:t>Section 13.2.A</w:t>
      </w:r>
      <w:r>
        <w:rPr>
          <w:rFonts w:ascii="Arial" w:cs="Arial" w:eastAsia="Arial" w:hAnsi="Arial"/>
          <w:sz w:val="16"/>
          <w:szCs w:val="16"/>
          <w:color w:val="auto"/>
        </w:rPr>
        <w:t xml:space="preserve"> hereof, undivided interests in such Partnership assets as the Liquidator deems not suitable for liquidation. Any such distributions in kind shall be made only if, in the good faith judgment of the Liquidator, such distributions in kind are in the best interest of the Partners,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56"/>
        <w:spacing w:after="0" w:line="293" w:lineRule="auto"/>
        <w:tabs>
          <w:tab w:leader="none" w:pos="131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In the event that the Partnership is “liquidated” within the meaning of Regulations Section 1.704-1(b)(2)(ii)(g), distributions shall be made pursuant to this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to the Partners and Assignees that have positive Capital Accounts in compliance with Regulations Section 1.704-1(b)(2)(ii)(b)(2) to the extent of, and in proportion to, positive Capital Account balances. If any Partner has a deficit balance in its Capital Account (after giving effect to all contributions, distributions and allocations for all taxable years, including the year during which such liquidation occurs) (a “</w:t>
      </w:r>
      <w:r>
        <w:rPr>
          <w:rFonts w:ascii="Arial" w:cs="Arial" w:eastAsia="Arial" w:hAnsi="Arial"/>
          <w:sz w:val="16"/>
          <w:szCs w:val="16"/>
          <w:u w:val="single" w:color="auto"/>
          <w:color w:val="auto"/>
        </w:rPr>
        <w:t>Capital Account Deficit</w:t>
      </w:r>
      <w:r>
        <w:rPr>
          <w:rFonts w:ascii="Arial" w:cs="Arial" w:eastAsia="Arial" w:hAnsi="Arial"/>
          <w:sz w:val="16"/>
          <w:szCs w:val="16"/>
          <w:color w:val="auto"/>
        </w:rPr>
        <w:t>”), such Partner shall not be required to make any contribution to the capital of the Partnership with respect to a Capital Account Deficit, if any, of such Partner, and such Capital Account Deficit shall not be considered a debt owed to the Partnership or any other person for any purpose whatsoever.</w:t>
      </w:r>
    </w:p>
    <w:p>
      <w:pPr>
        <w:spacing w:after="0" w:line="164" w:lineRule="exact"/>
        <w:rPr>
          <w:rFonts w:ascii="Arial" w:cs="Arial" w:eastAsia="Arial" w:hAnsi="Arial"/>
          <w:sz w:val="16"/>
          <w:szCs w:val="16"/>
          <w:color w:val="auto"/>
        </w:rPr>
      </w:pPr>
    </w:p>
    <w:p>
      <w:pPr>
        <w:ind w:right="40" w:firstLine="656"/>
        <w:spacing w:after="0" w:line="267" w:lineRule="auto"/>
        <w:tabs>
          <w:tab w:leader="none" w:pos="130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Notwithstanding the foregoing, (i) if the General Partner has a Capital Account Deficit, the General Partner shall contribute to the capital of the Partnership the amount necessary to restore such Capital Account Deficit balance to zero; (ii) if an Obligated Partner has a Capital Account Deficit, such Obligated Partner shall be obligated to make a contribution to the Partnership with respect to any such Capital Account Deficit balance upon a liquidation of the Partnership or a “liquidation” of such Partner’s Partnership Interest within the meaning of Regulations Section 1.704-1(b)(2)(ii)(g) (which term shall include a redemption by the Partnership of such Obligated Partner’s Partnership Interest upon exercise of the Redemption Right) in an amount equal to the lesser of such Capital Account Deficit balance or such Obligated Partner’s Protected Amount; and (iii) the second sentence of </w:t>
      </w:r>
      <w:r>
        <w:rPr>
          <w:rFonts w:ascii="Arial" w:cs="Arial" w:eastAsia="Arial" w:hAnsi="Arial"/>
          <w:sz w:val="17"/>
          <w:szCs w:val="17"/>
          <w:u w:val="single" w:color="auto"/>
          <w:color w:val="auto"/>
        </w:rPr>
        <w:t>Section 13.2.C</w:t>
      </w:r>
      <w:r>
        <w:rPr>
          <w:rFonts w:ascii="Arial" w:cs="Arial" w:eastAsia="Arial" w:hAnsi="Arial"/>
          <w:sz w:val="17"/>
          <w:szCs w:val="17"/>
          <w:color w:val="auto"/>
        </w:rPr>
        <w:t xml:space="preserve"> shall not apply with respect to any other Partner to the extent, but only to the extent, that such Partner previously has agreed in writing, with the consent of the General Partner, to undertake an express obligation to restore all or any portion of a deficit that may exist in its Capital Account upon a liquidation of the Partnership. Solely for purposes of determining an Obligated Partner’s Capital Account balance upon a liquidation of such Partner’s Partnership Interest, the General Partner shall redetermine the Gross Asset Value of the Partnership’s assets on such date based upon the principles set forth in the definition of “</w:t>
      </w:r>
      <w:r>
        <w:rPr>
          <w:rFonts w:ascii="Arial" w:cs="Arial" w:eastAsia="Arial" w:hAnsi="Arial"/>
          <w:sz w:val="17"/>
          <w:szCs w:val="17"/>
          <w:u w:val="single" w:color="auto"/>
          <w:color w:val="auto"/>
        </w:rPr>
        <w:t>Gross Asset</w:t>
      </w:r>
      <w:r>
        <w:rPr>
          <w:rFonts w:ascii="Arial" w:cs="Arial" w:eastAsia="Arial" w:hAnsi="Arial"/>
          <w:sz w:val="17"/>
          <w:szCs w:val="17"/>
          <w:color w:val="auto"/>
        </w:rPr>
        <w:t xml:space="preserve"> </w:t>
      </w:r>
      <w:r>
        <w:rPr>
          <w:rFonts w:ascii="Arial" w:cs="Arial" w:eastAsia="Arial" w:hAnsi="Arial"/>
          <w:sz w:val="17"/>
          <w:szCs w:val="17"/>
          <w:u w:val="single" w:color="auto"/>
          <w:color w:val="auto"/>
        </w:rPr>
        <w:t>Value</w:t>
      </w:r>
      <w:r>
        <w:rPr>
          <w:rFonts w:ascii="Arial" w:cs="Arial" w:eastAsia="Arial" w:hAnsi="Arial"/>
          <w:sz w:val="17"/>
          <w:szCs w:val="17"/>
          <w:color w:val="auto"/>
        </w:rPr>
        <w:t xml:space="preserve">,” and shall take into account the Obligated Partner’s allocable share of any unrealized gain or unrealized loss resulting from such adjustment in determining the Obligated Partner’s Capital Account balance. No Partner shall have any right to become an Obligated Partner, to increase its Protected Amount, or otherwise agree to restore any portion of any Capital Account Deficit without the express written consent of the General Partner, in its sole and absolute discretion. The General Partner shall not have the right to eliminate or decrease any Partner’s Protected Amount without the written consent of such Partner unless otherwise agreed to by the parties. Any contribution required of a Partner under this </w:t>
      </w:r>
      <w:r>
        <w:rPr>
          <w:rFonts w:ascii="Arial" w:cs="Arial" w:eastAsia="Arial" w:hAnsi="Arial"/>
          <w:sz w:val="17"/>
          <w:szCs w:val="17"/>
          <w:u w:val="single" w:color="auto"/>
          <w:color w:val="auto"/>
        </w:rPr>
        <w:t>Section 13.2.D</w:t>
      </w:r>
      <w:r>
        <w:rPr>
          <w:rFonts w:ascii="Arial" w:cs="Arial" w:eastAsia="Arial" w:hAnsi="Arial"/>
          <w:sz w:val="17"/>
          <w:szCs w:val="17"/>
          <w:color w:val="auto"/>
        </w:rPr>
        <w:t xml:space="preserve"> shall be made on or before the later of (i) the end of the Partnership Year in which the interest is liquidated or (ii) the ninetieth (90th) day following the date of such liquidation. The proceeds of any contribution to the Partnership made by an Obligated Partner with respect to such Obligated Partner’s Capital Account Deficit balance shall be treated as a Capital Contribution by such Obligated Partner and the proceeds thereof shall be treated as assets of the Partnership to be applied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13.2.A</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ind w:right="200" w:firstLine="656"/>
        <w:spacing w:after="0" w:line="277" w:lineRule="auto"/>
        <w:tabs>
          <w:tab w:leader="none" w:pos="13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In the sole and absolute discretion of the General Partner or the Liquidator,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distributions that would otherwise be made to the Partners pursuant to this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may be:</w:t>
      </w:r>
    </w:p>
    <w:p>
      <w:pPr>
        <w:spacing w:after="0" w:line="170" w:lineRule="exact"/>
        <w:rPr>
          <w:rFonts w:ascii="Arial" w:cs="Arial" w:eastAsia="Arial" w:hAnsi="Arial"/>
          <w:sz w:val="18"/>
          <w:szCs w:val="18"/>
          <w:color w:val="auto"/>
        </w:rPr>
      </w:pPr>
    </w:p>
    <w:p>
      <w:pPr>
        <w:ind w:right="60" w:firstLine="1305"/>
        <w:spacing w:after="0" w:line="276" w:lineRule="auto"/>
        <w:tabs>
          <w:tab w:leader="none" w:pos="1966" w:val="left"/>
        </w:tabs>
        <w:numPr>
          <w:ilvl w:val="1"/>
          <w:numId w:val="94"/>
        </w:numPr>
        <w:rPr>
          <w:rFonts w:ascii="Arial" w:cs="Arial" w:eastAsia="Arial" w:hAnsi="Arial"/>
          <w:sz w:val="17"/>
          <w:szCs w:val="17"/>
          <w:color w:val="auto"/>
        </w:rPr>
      </w:pPr>
      <w:r>
        <w:rPr>
          <w:rFonts w:ascii="Arial" w:cs="Arial" w:eastAsia="Arial" w:hAnsi="Arial"/>
          <w:sz w:val="17"/>
          <w:szCs w:val="17"/>
          <w:color w:val="auto"/>
        </w:rPr>
        <w:t>distributed to a trust established for the benefit of the General Partner and the Limited Partners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General Partner and the Limited Partners, from time to time, in the reasonable discretion of the General Partner or the Liquidator, in the same proportions and amounts as would otherwise have been distributed to the General Partner and the Limited Partners pursuant to this Agreement; or</w:t>
      </w:r>
    </w:p>
    <w:p>
      <w:pPr>
        <w:spacing w:after="0" w:line="172" w:lineRule="exact"/>
        <w:rPr>
          <w:rFonts w:ascii="Arial" w:cs="Arial" w:eastAsia="Arial" w:hAnsi="Arial"/>
          <w:sz w:val="17"/>
          <w:szCs w:val="17"/>
          <w:color w:val="auto"/>
        </w:rPr>
      </w:pPr>
    </w:p>
    <w:p>
      <w:pPr>
        <w:ind w:firstLine="1305"/>
        <w:spacing w:after="0" w:line="342" w:lineRule="auto"/>
        <w:tabs>
          <w:tab w:leader="none" w:pos="1976"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withheld or escrowed to provide a reasonable reserve for Partnership liabilities (contingent or otherwise) and to reflect the unrealized portion of any installment obligations owed to the Partnership,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withheld or escrowed amounts shall be distributed to the General</w:t>
      </w:r>
    </w:p>
    <w:p>
      <w:pPr>
        <w:sectPr>
          <w:pgSz w:w="11900" w:h="16935" w:orient="portrait"/>
          <w:cols w:equalWidth="0" w:num="1">
            <w:col w:w="11420"/>
          </w:cols>
          <w:pgMar w:left="240" w:top="125"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Partner and Limited Partners in the manner and order of priority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hereof as soon as practicable.</w:t>
      </w:r>
    </w:p>
    <w:p>
      <w:pPr>
        <w:spacing w:after="0" w:line="221"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Section 13.3 Deemed Distribution and Recontribution</w:t>
      </w:r>
      <w:r>
        <w:rPr>
          <w:rFonts w:ascii="Arial" w:cs="Arial" w:eastAsia="Arial" w:hAnsi="Arial"/>
          <w:sz w:val="16"/>
          <w:szCs w:val="16"/>
          <w:color w:val="auto"/>
        </w:rPr>
        <w:t>. 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XIII</w:t>
      </w:r>
      <w:r>
        <w:rPr>
          <w:rFonts w:ascii="Arial" w:cs="Arial" w:eastAsia="Arial" w:hAnsi="Arial"/>
          <w:sz w:val="16"/>
          <w:szCs w:val="16"/>
          <w:color w:val="auto"/>
        </w:rPr>
        <w:t>, in the event that the Partnership is</w:t>
      </w:r>
      <w:r>
        <w:rPr>
          <w:rFonts w:ascii="Arial" w:cs="Arial" w:eastAsia="Arial" w:hAnsi="Arial"/>
          <w:sz w:val="16"/>
          <w:szCs w:val="16"/>
          <w:b w:val="1"/>
          <w:bCs w:val="1"/>
          <w:color w:val="auto"/>
        </w:rPr>
        <w:t xml:space="preserve"> </w:t>
      </w:r>
      <w:r>
        <w:rPr>
          <w:rFonts w:ascii="Arial" w:cs="Arial" w:eastAsia="Arial" w:hAnsi="Arial"/>
          <w:sz w:val="16"/>
          <w:szCs w:val="16"/>
          <w:color w:val="auto"/>
        </w:rPr>
        <w:t>liquidated within the meaning of Regulations Section 1.704-1(b)(2)(ii)(g), but no Liquidating Event has occurred, the Partnership’s Property shall not be liquidated, the Partnership’s liabilities shall not be paid or discharged and the Partnership’s affairs shall not be wound up. Instead, for federal income tax</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purposes the Partnership shall be deemed to have contributed all of its assets and liabilities to a new partnership in exchange for an interest in the new partnership; and, immediately thereafter, distributed interests in the new partnership to the Partners in accordance with their respective Capital Accounts in liquidation of the Partnership, and the new partnership is deemed to continue the business of the Partnership. Nothing in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shall be deemed to have constituted any Assignee as a Substituted Limited Partner without compliance with the provisions of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hereof.</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Section 13.4 Rights of Limited Partners</w:t>
      </w:r>
      <w:r>
        <w:rPr>
          <w:rFonts w:ascii="Arial" w:cs="Arial" w:eastAsia="Arial" w:hAnsi="Arial"/>
          <w:sz w:val="18"/>
          <w:szCs w:val="18"/>
          <w:color w:val="auto"/>
        </w:rPr>
        <w:t>. Except as otherwise provided in this Agreement, (a) each Limited Partner shall look solely to the assets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for the return of its Capital Contribution, (b) no Limited Partner shall have the right or power to demand or receive property other than cash from the Partnership, and (c) no Limited Partner (other than any Limited Partner who holds Preferred Units, including Series A Preferred Units, to the extent specifically set forth herein and in the applicable Partnership Unit Designation) shall have priority over any other Limited Partner as to the return of its Capital Contributions, distributions or allocations.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Section 13.5 Notice of Dissolution</w:t>
      </w:r>
      <w:r>
        <w:rPr>
          <w:rFonts w:ascii="Arial" w:cs="Arial" w:eastAsia="Arial" w:hAnsi="Arial"/>
          <w:sz w:val="18"/>
          <w:szCs w:val="18"/>
          <w:color w:val="auto"/>
        </w:rPr>
        <w:t>. In the event that a Liquidating Event occurs or an event occurs that would, but for an election or objection by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Partners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hereof, result in a dissolution of the Partnership, the General Partner shall, within 30 days thereafter, provide written notice thereof to each of the Partners and, in the General Partner’s sole and absolute discretion or as required by the Act, to all other parties with whom the Partnership regularly conducts business (as determined in the sole and absolute discretion of the General Partner), and the General Partner may, or, if required by the Act, shall, publish notice thereof in a newspaper of general circulation in each place in which the Partnership regularly conducts business (as determined in the sole and absolute discretion of the General Partner).</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Section 13.6 Cancellation of Certificate of Limited Partnership</w:t>
      </w:r>
      <w:r>
        <w:rPr>
          <w:rFonts w:ascii="Arial" w:cs="Arial" w:eastAsia="Arial" w:hAnsi="Arial"/>
          <w:sz w:val="18"/>
          <w:szCs w:val="18"/>
          <w:color w:val="auto"/>
        </w:rPr>
        <w:t>. Upon the completion of the liquidation of the Partnership cash and property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hereof, the Partnership shall be terminated, a certificate of cancellation shall be filed with the State of Delaware, all qualifications of the Partnership as a foreign limited partnership or association in jurisdictions other than the State of Delaware shall be cancelled, and such other actions as may be necessary to terminate the Partnership shall be taken.</w:t>
      </w:r>
    </w:p>
    <w:p>
      <w:pPr>
        <w:spacing w:after="0" w:line="18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Section 13.7 Reasonable Time for Winding-Up</w:t>
      </w:r>
      <w:r>
        <w:rPr>
          <w:rFonts w:ascii="Arial" w:cs="Arial" w:eastAsia="Arial" w:hAnsi="Arial"/>
          <w:sz w:val="18"/>
          <w:szCs w:val="18"/>
          <w:color w:val="auto"/>
        </w:rPr>
        <w:t>. A reasonable time shall be allowed for the orderly winding-up of the business and affairs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 and the liquidation of its assets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hereof, in order to minimize any losses otherwise attendant upon such winding up, and the provisions of this Agreement shall remain in effect between the Partners during the period of liquidation.</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PROCEDURES FOR ACTIONS AND CONSENTS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OF PARTNERS; AMENDMENTS; MEETINGS</w:t>
      </w:r>
    </w:p>
    <w:p>
      <w:pPr>
        <w:spacing w:after="0" w:line="207" w:lineRule="exact"/>
        <w:rPr>
          <w:sz w:val="20"/>
          <w:szCs w:val="20"/>
          <w:color w:val="auto"/>
        </w:rPr>
      </w:pPr>
    </w:p>
    <w:p>
      <w:pPr>
        <w:ind w:right="660"/>
        <w:spacing w:after="0" w:line="313" w:lineRule="auto"/>
        <w:rPr>
          <w:sz w:val="20"/>
          <w:szCs w:val="20"/>
          <w:color w:val="auto"/>
        </w:rPr>
      </w:pPr>
      <w:r>
        <w:rPr>
          <w:rFonts w:ascii="Arial" w:cs="Arial" w:eastAsia="Arial" w:hAnsi="Arial"/>
          <w:sz w:val="17"/>
          <w:szCs w:val="17"/>
          <w:b w:val="1"/>
          <w:bCs w:val="1"/>
          <w:color w:val="auto"/>
        </w:rPr>
        <w:t>Section 14.1 Procedures for Actions and Consents of Partners</w:t>
      </w:r>
      <w:r>
        <w:rPr>
          <w:rFonts w:ascii="Arial" w:cs="Arial" w:eastAsia="Arial" w:hAnsi="Arial"/>
          <w:sz w:val="17"/>
          <w:szCs w:val="17"/>
          <w:color w:val="auto"/>
        </w:rPr>
        <w:t>. The actions requiring consent or approval of Limited Partners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including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hereof, or otherwise pursuant to applicable law, are subject to the procedures set forth in this </w:t>
      </w:r>
      <w:r>
        <w:rPr>
          <w:rFonts w:ascii="Arial" w:cs="Arial" w:eastAsia="Arial" w:hAnsi="Arial"/>
          <w:sz w:val="17"/>
          <w:szCs w:val="17"/>
          <w:u w:val="single" w:color="auto"/>
          <w:color w:val="auto"/>
        </w:rPr>
        <w:t>Article XIV</w:t>
      </w:r>
      <w:r>
        <w:rPr>
          <w:rFonts w:ascii="Arial" w:cs="Arial" w:eastAsia="Arial" w:hAnsi="Arial"/>
          <w:sz w:val="17"/>
          <w:szCs w:val="17"/>
          <w:color w:val="auto"/>
        </w:rPr>
        <w:t>.</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Section 14.2 Amendments</w:t>
      </w:r>
      <w:r>
        <w:rPr>
          <w:rFonts w:ascii="Arial" w:cs="Arial" w:eastAsia="Arial" w:hAnsi="Arial"/>
          <w:sz w:val="16"/>
          <w:szCs w:val="16"/>
          <w:color w:val="auto"/>
        </w:rPr>
        <w:t>. Amendments to this Agreement requiring Consent of the Limited Partners may be proposed by the General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Following such proposal, the General Partner shall submit any proposed amendment to the Limited Partners. The General Partner shall seek the written consent of the Limited Partners on the proposed amendment or shall call a meeting to vote thereon and to transact any other business that the General Partner may deem appropriate. For purposes of obtaining a written consent, the General Partner may require a response within a reasonable specified time, but not less than 10 days, and failure to respond in such time period shall constitute a consent that is consistent with the General Partner’s recommendation with respect to the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action shall become effective at such time as requisite consents are received even if prior to such specified time. Notwithstanding anything to the contrary in this Agreement, the General Partner shall have the power, without the consent of the Limited Partners, to amend this Agreement as may be required to reflect the admission, substitution, termination or withdrawal of Partners or an increase or decrease in a Partner’s Protected Amount in accordance with this Agreement (which may be affected through the replacement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an amended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14.3</w:t>
      </w:r>
      <w:r>
        <w:rPr>
          <w:sz w:val="20"/>
          <w:szCs w:val="20"/>
          <w:color w:val="auto"/>
        </w:rPr>
        <w:tab/>
      </w:r>
      <w:r>
        <w:rPr>
          <w:rFonts w:ascii="Arial" w:cs="Arial" w:eastAsia="Arial" w:hAnsi="Arial"/>
          <w:sz w:val="16"/>
          <w:szCs w:val="16"/>
          <w:b w:val="1"/>
          <w:bCs w:val="1"/>
          <w:color w:val="auto"/>
        </w:rPr>
        <w:t>Meetings of the Partners.</w:t>
      </w:r>
    </w:p>
    <w:p>
      <w:pPr>
        <w:spacing w:after="0" w:line="229" w:lineRule="exact"/>
        <w:rPr>
          <w:sz w:val="20"/>
          <w:szCs w:val="20"/>
          <w:color w:val="auto"/>
        </w:rPr>
      </w:pPr>
    </w:p>
    <w:p>
      <w:pPr>
        <w:ind w:firstLine="656"/>
        <w:spacing w:after="0" w:line="257"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Meetings of the Partners may be called by the General Partner and shall be called upon the receipt by the General Partner of a written request by a Majority in Interest of the Outside Limited Partners. The call shall state the nature of the business to be transacted. Notice of any such meeting shall be given to all Partners not less than seven days nor more than 30 days prior to the date of such meeting. Partners may vote in person or by proxy at such meeting. Whenever the vote or Consent of Partners is permitted or required under this Agreement, such vote or Consent may be given at a meeting of Partners or may be given in accordance with the procedure prescribed in </w:t>
      </w:r>
      <w:r>
        <w:rPr>
          <w:rFonts w:ascii="Arial" w:cs="Arial" w:eastAsia="Arial" w:hAnsi="Arial"/>
          <w:sz w:val="18"/>
          <w:szCs w:val="18"/>
          <w:u w:val="single" w:color="auto"/>
          <w:color w:val="auto"/>
        </w:rPr>
        <w:t>Section 14.3.B</w:t>
      </w:r>
      <w:r>
        <w:rPr>
          <w:rFonts w:ascii="Arial" w:cs="Arial" w:eastAsia="Arial" w:hAnsi="Arial"/>
          <w:sz w:val="18"/>
          <w:szCs w:val="18"/>
          <w:color w:val="auto"/>
        </w:rPr>
        <w:t xml:space="preserve"> hereof.</w:t>
      </w:r>
    </w:p>
    <w:p>
      <w:pPr>
        <w:spacing w:after="0" w:line="188" w:lineRule="exact"/>
        <w:rPr>
          <w:rFonts w:ascii="Arial" w:cs="Arial" w:eastAsia="Arial" w:hAnsi="Arial"/>
          <w:sz w:val="18"/>
          <w:szCs w:val="18"/>
          <w:color w:val="auto"/>
        </w:rPr>
      </w:pPr>
    </w:p>
    <w:p>
      <w:pPr>
        <w:ind w:right="120" w:firstLine="656"/>
        <w:spacing w:after="0" w:line="276" w:lineRule="auto"/>
        <w:tabs>
          <w:tab w:leader="none" w:pos="1313"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action required or permitted to be taken at a meeting of the Partners may be taken without a meeting if a written consent setting forth the action so taken is signed by a majority of the Percentage Interests of the Partners (or such other percentage as is expressly required by this Agreement for the action in question). Such consent may be in one instrument or in several instruments, and shall have the same force and effect as a vote of a majority of the Percentage Interests of the Partners (or such other percentage as is expressly required by this Agreement). Such consent shall be filed with the General Partner. An action so taken shall be deemed to have been taken at a meeting held on the effective date so certified.</w:t>
      </w:r>
    </w:p>
    <w:p>
      <w:pPr>
        <w:sectPr>
          <w:pgSz w:w="11900" w:h="16838" w:orient="portrait"/>
          <w:cols w:equalWidth="0" w:num="1">
            <w:col w:w="11420"/>
          </w:cols>
          <w:pgMar w:left="240" w:top="125" w:right="239" w:bottom="141" w:gutter="0" w:footer="0" w:header="0"/>
        </w:sectPr>
      </w:pPr>
    </w:p>
    <w:bookmarkStart w:id="38" w:name="page39"/>
    <w:bookmarkEnd w:id="38"/>
    <w:p>
      <w:pPr>
        <w:ind w:right="40" w:firstLine="656"/>
        <w:spacing w:after="0" w:line="293" w:lineRule="auto"/>
        <w:tabs>
          <w:tab w:leader="none" w:pos="131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Limited Partner may authorize any Person or Persons to act for it by proxy on all matters in which a Limited Partner is entitled to participate, including waiving notice of any meeting, or voting or participating at a meeting. Every proxy must be signed by the Limited Partner or its attorney-in-fact. No proxy shall be valid after the expiration of 11 months from the date thereof unless otherwise provided in the proxy (or there is receipt of a proxy authorizing a later date). Every proxy shall be revocable at the pleasure of the Limited Partner executing it, such revocation to be effective upon the Partnership’s receipt of written notice of such revocation from the Limited Partner executing such proxy. The use of proxies will be governed in the same manner as in the case of corporations organized under the General Corporation Law of Delaware (including Section 212 thereof).</w:t>
      </w:r>
    </w:p>
    <w:p>
      <w:pPr>
        <w:spacing w:after="0" w:line="164" w:lineRule="exact"/>
        <w:rPr>
          <w:rFonts w:ascii="Arial" w:cs="Arial" w:eastAsia="Arial" w:hAnsi="Arial"/>
          <w:sz w:val="16"/>
          <w:szCs w:val="16"/>
          <w:color w:val="auto"/>
        </w:rPr>
      </w:pPr>
    </w:p>
    <w:p>
      <w:pPr>
        <w:ind w:firstLine="656"/>
        <w:spacing w:after="0" w:line="259" w:lineRule="auto"/>
        <w:tabs>
          <w:tab w:leader="none" w:pos="13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General Partner’s stockholders and may be held at the same time as, and as part of, the meetings of the General Partner’s stockholders.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matters on which Limited Partners are entitled to vote, each Limited Partner holding OP Units shall have a vote equal to the number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 Units held.</w:t>
      </w:r>
    </w:p>
    <w:p>
      <w:pPr>
        <w:spacing w:after="0" w:line="210" w:lineRule="exact"/>
        <w:rPr>
          <w:rFonts w:ascii="Arial" w:cs="Arial" w:eastAsia="Arial" w:hAnsi="Arial"/>
          <w:sz w:val="16"/>
          <w:szCs w:val="16"/>
          <w:color w:val="auto"/>
        </w:rPr>
      </w:pPr>
    </w:p>
    <w:p>
      <w:pPr>
        <w:ind w:right="300" w:firstLine="656"/>
        <w:spacing w:after="0" w:line="277" w:lineRule="auto"/>
        <w:tabs>
          <w:tab w:leader="none" w:pos="12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the Consent of Holders of Partnership Interests representing a majority of the Partnership Interests of the Limited Partners shall control.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Section 15.1 Addresses and Notice</w:t>
      </w:r>
      <w:r>
        <w:rPr>
          <w:rFonts w:ascii="Arial" w:cs="Arial" w:eastAsia="Arial" w:hAnsi="Arial"/>
          <w:sz w:val="18"/>
          <w:szCs w:val="18"/>
          <w:color w:val="auto"/>
        </w:rPr>
        <w:t>. Any notice, demand, request or report required or permitted to be given or made to a Partner or Assignee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be in writing and shall be deemed given or made when delivered in person or when sent by first class United States mail or by other means of written communication (including by telecopy, facsimile, or commercial courier service) to the Partner or Assignee at the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address of which the Partner shall notify the General Partner in writing.</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Section 15.2 Titles and Captions</w:t>
      </w:r>
      <w:r>
        <w:rPr>
          <w:rFonts w:ascii="Arial" w:cs="Arial" w:eastAsia="Arial" w:hAnsi="Arial"/>
          <w:sz w:val="18"/>
          <w:szCs w:val="18"/>
          <w:color w:val="auto"/>
        </w:rPr>
        <w:t>. All article or section titles or captions in this Agreement are for convenience only. They shall not be deemed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in no way define, limit, extend or describe the scope or intent of any provisions hereof. Except as specifically provided otherwise, references to “</w:t>
      </w:r>
      <w:r>
        <w:rPr>
          <w:rFonts w:ascii="Arial" w:cs="Arial" w:eastAsia="Arial" w:hAnsi="Arial"/>
          <w:sz w:val="18"/>
          <w:szCs w:val="18"/>
          <w:u w:val="single" w:color="auto"/>
          <w:color w:val="auto"/>
        </w:rPr>
        <w:t>Articles</w:t>
      </w:r>
      <w:r>
        <w:rPr>
          <w:rFonts w:ascii="Arial" w:cs="Arial" w:eastAsia="Arial" w:hAnsi="Arial"/>
          <w:sz w:val="18"/>
          <w:szCs w:val="18"/>
          <w:color w:val="auto"/>
        </w:rPr>
        <w:t>” or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are to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0"/>
        <w:spacing w:after="0" w:line="347" w:lineRule="auto"/>
        <w:rPr>
          <w:sz w:val="20"/>
          <w:szCs w:val="20"/>
          <w:color w:val="auto"/>
        </w:rPr>
      </w:pPr>
      <w:r>
        <w:rPr>
          <w:rFonts w:ascii="Arial" w:cs="Arial" w:eastAsia="Arial" w:hAnsi="Arial"/>
          <w:sz w:val="16"/>
          <w:szCs w:val="16"/>
          <w:b w:val="1"/>
          <w:bCs w:val="1"/>
          <w:color w:val="auto"/>
        </w:rPr>
        <w:t>Section 15.3 Pronouns and Plurals</w:t>
      </w:r>
      <w:r>
        <w:rPr>
          <w:rFonts w:ascii="Arial" w:cs="Arial" w:eastAsia="Arial" w:hAnsi="Arial"/>
          <w:sz w:val="16"/>
          <w:szCs w:val="16"/>
          <w:color w:val="auto"/>
        </w:rPr>
        <w:t>. Whenever the context may require, any pronouns used in this Agreement shall include the corresponding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masculine, feminine or neuter forms, and the singular form of nouns, pronouns and verbs shall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Section 15.4 Further Action</w:t>
      </w:r>
      <w:r>
        <w:rPr>
          <w:rFonts w:ascii="Arial" w:cs="Arial" w:eastAsia="Arial" w:hAnsi="Arial"/>
          <w:sz w:val="18"/>
          <w:szCs w:val="18"/>
          <w:color w:val="auto"/>
        </w:rPr>
        <w:t>. The parties shall execute and deliver all documents, provide all information and take or refrain from taking action as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necessary or appropriate to achieve the purposes of this Agreement.</w:t>
      </w:r>
    </w:p>
    <w:p>
      <w:pPr>
        <w:spacing w:after="0" w:line="162"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Section 15.5 Binding Effect</w:t>
      </w:r>
      <w:r>
        <w:rPr>
          <w:rFonts w:ascii="Arial" w:cs="Arial" w:eastAsia="Arial" w:hAnsi="Arial"/>
          <w:sz w:val="18"/>
          <w:szCs w:val="18"/>
          <w:color w:val="auto"/>
        </w:rPr>
        <w:t>. This Agreement shall be binding upon and inure to the benefit of the parties hereto and their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legal representatives and permitted assigns.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15.6</w:t>
      </w:r>
      <w:r>
        <w:rPr>
          <w:sz w:val="20"/>
          <w:szCs w:val="20"/>
          <w:color w:val="auto"/>
        </w:rPr>
        <w:tab/>
      </w:r>
      <w:r>
        <w:rPr>
          <w:rFonts w:ascii="Arial" w:cs="Arial" w:eastAsia="Arial" w:hAnsi="Arial"/>
          <w:sz w:val="16"/>
          <w:szCs w:val="16"/>
          <w:b w:val="1"/>
          <w:bCs w:val="1"/>
          <w:color w:val="auto"/>
        </w:rPr>
        <w:t>Waiver.</w:t>
      </w:r>
    </w:p>
    <w:p>
      <w:pPr>
        <w:spacing w:after="0" w:line="229" w:lineRule="exact"/>
        <w:rPr>
          <w:sz w:val="20"/>
          <w:szCs w:val="20"/>
          <w:color w:val="auto"/>
        </w:rPr>
      </w:pPr>
    </w:p>
    <w:p>
      <w:pPr>
        <w:ind w:right="80" w:firstLine="656"/>
        <w:spacing w:after="0" w:line="342" w:lineRule="auto"/>
        <w:tabs>
          <w:tab w:leader="none" w:pos="1296"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failure by any party to insist upon the strict performance of any covenant, duty, agreement or condition of this Agreement or to exercise any right or remedy consequent upon a breach thereof shall constitute waiver of any such breach or any other covenant, duty, agreement or condition.</w:t>
      </w:r>
    </w:p>
    <w:p>
      <w:pPr>
        <w:spacing w:after="0" w:line="123" w:lineRule="exact"/>
        <w:rPr>
          <w:rFonts w:ascii="Arial" w:cs="Arial" w:eastAsia="Arial" w:hAnsi="Arial"/>
          <w:sz w:val="16"/>
          <w:szCs w:val="16"/>
          <w:color w:val="auto"/>
        </w:rPr>
      </w:pPr>
    </w:p>
    <w:p>
      <w:pPr>
        <w:ind w:right="80" w:firstLine="656"/>
        <w:spacing w:after="0" w:line="259" w:lineRule="auto"/>
        <w:tabs>
          <w:tab w:leader="none" w:pos="131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restrictions, conditions and other limitations on the rights and benefits of the Limited Partners contained in this Agreement, and the duties, covenants and other requirements of performance or notice by the Limited Partners, are for the benefit of the Partnership and, except for an obligation to pay money to the Partnership, may be waived or relinquished by the General Partner, in its sole and absolute discretion, on behalf of the Partnership in one or more instances from time to time and at any time.</w:t>
      </w:r>
    </w:p>
    <w:p>
      <w:pPr>
        <w:spacing w:after="0" w:line="18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Section 15.7 Counterparts</w:t>
      </w:r>
      <w:r>
        <w:rPr>
          <w:rFonts w:ascii="Arial" w:cs="Arial" w:eastAsia="Arial" w:hAnsi="Arial"/>
          <w:sz w:val="18"/>
          <w:szCs w:val="18"/>
          <w:color w:val="auto"/>
        </w:rPr>
        <w:t>. This Agreement may be executed in counterparts, all of which together shall constitute one agreement binding on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notwithstanding that all such parties are not signatories to the original or the same counterpart. Each party shall become bound by this Agreement immediately upon affixing its signature hereto.</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Section 15.8 Applicable Law</w:t>
      </w:r>
      <w:r>
        <w:rPr>
          <w:rFonts w:ascii="Arial" w:cs="Arial" w:eastAsia="Arial" w:hAnsi="Arial"/>
          <w:sz w:val="18"/>
          <w:szCs w:val="18"/>
          <w:color w:val="auto"/>
        </w:rPr>
        <w:t>. This Agreement shall be construed and enforced in accordance with and governed by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principles of conflicts of law. In the event of a conflict between any provision of this Agreement and any non-mandatory provision of the Act, the provisions of this Agreement shall control and take precedence.</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Section 15.9 Entire Agreement</w:t>
      </w:r>
      <w:r>
        <w:rPr>
          <w:rFonts w:ascii="Arial" w:cs="Arial" w:eastAsia="Arial" w:hAnsi="Arial"/>
          <w:sz w:val="18"/>
          <w:szCs w:val="18"/>
          <w:color w:val="auto"/>
        </w:rPr>
        <w:t>. This Agreement contains all of the understandings and agreements between and among the Partners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of this Agreement and the rights, interests and obligations of the Partners with respect to the Partnership.</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Section 15.10 Invalidity of Provisions</w:t>
      </w:r>
      <w:r>
        <w:rPr>
          <w:rFonts w:ascii="Arial" w:cs="Arial" w:eastAsia="Arial" w:hAnsi="Arial"/>
          <w:sz w:val="18"/>
          <w:szCs w:val="18"/>
          <w:color w:val="auto"/>
        </w:rPr>
        <w:t>. If any provision of this Agreement is or becomes invalid, illegal or unenforceable in any respect,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contained herein shall not be affected thereby.</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Section 15.11 Limitation to Preserve REIT Status</w:t>
      </w:r>
      <w:r>
        <w:rPr>
          <w:rFonts w:ascii="Arial" w:cs="Arial" w:eastAsia="Arial" w:hAnsi="Arial"/>
          <w:sz w:val="18"/>
          <w:szCs w:val="18"/>
          <w:color w:val="auto"/>
        </w:rPr>
        <w:t>. Notwithstanding anything else in this Agreement, to the extent that the amount paid,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or reimbursed by the Partnership to the Parent, the General Partner or the Parent Limited Partner or their trustees, officers, directors, employees or agents, whether as a reimbursement, fee, expense or indemnity (a “</w:t>
      </w:r>
      <w:r>
        <w:rPr>
          <w:rFonts w:ascii="Arial" w:cs="Arial" w:eastAsia="Arial" w:hAnsi="Arial"/>
          <w:sz w:val="18"/>
          <w:szCs w:val="18"/>
          <w:u w:val="single" w:color="auto"/>
          <w:color w:val="auto"/>
        </w:rPr>
        <w:t>REIT Payment</w:t>
      </w:r>
      <w:r>
        <w:rPr>
          <w:rFonts w:ascii="Arial" w:cs="Arial" w:eastAsia="Arial" w:hAnsi="Arial"/>
          <w:sz w:val="18"/>
          <w:szCs w:val="18"/>
          <w:color w:val="auto"/>
        </w:rPr>
        <w:t>”), would constitute gross income to the Parent for purposes of Code Section 856(c)(2) or Code Section 856(c)(3), then, notwithstanding any other provision of this Agreement, the amount of such REIT Payments, as selected by the General Partner in its discretion from among items of potential distribution, reimbursement, fees, expenses and indemnities, shall be reduced for any Partnership Year so that the REIT Payments, as so reduced, for or with respect to the Parent, the General Partner or the Parent Limited Partner, shall not exceed the lesser of:</w:t>
      </w:r>
    </w:p>
    <w:p>
      <w:pPr>
        <w:sectPr>
          <w:pgSz w:w="11900" w:h="16838" w:orient="portrait"/>
          <w:cols w:equalWidth="0" w:num="1">
            <w:col w:w="11420"/>
          </w:cols>
          <w:pgMar w:left="240" w:top="125" w:right="239" w:bottom="0" w:gutter="0" w:footer="0" w:header="0"/>
        </w:sectPr>
      </w:pPr>
    </w:p>
    <w:bookmarkStart w:id="39" w:name="page40"/>
    <w:bookmarkEnd w:id="39"/>
    <w:p>
      <w:pPr>
        <w:jc w:val="both"/>
        <w:ind w:right="140" w:firstLine="656"/>
        <w:spacing w:after="0" w:line="259" w:lineRule="auto"/>
        <w:tabs>
          <w:tab w:leader="none" w:pos="13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amount equal to the excess, if any, of (a) 4.9% of the Parent’s total gross income (but excluding the amount of any REIT Payments) for the Partnership Year that is described in subsections (A) through (H) of Code Section 856(c)(2) over (b) the amount of gross income (within the meaning of Code Section 856(c)(2)) derived by the Parent from sources other than those described in subsections (A) through (H) of Code Section 856(c)(2) (but not including the amount of any REIT Payments);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56"/>
        <w:spacing w:after="0" w:line="270" w:lineRule="auto"/>
        <w:tabs>
          <w:tab w:leader="none" w:pos="1327"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an amount equal to the excess, if any, of (a) 24% of the Parent’s total gross income (but excluding the amount of any REIT Payments) for the Partnership Year that is described in subsections (A) through (I) of Code Section 856(c)(3) over (b) the amount of gross income (within the meaning of Code Section 856(c)(3)) derived by the Parent from sources other than those described in subsections (A) through (I) of Code Section 856(c)(3) (but not including the amount of any REIT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REIT Payments in excess of the amounts set forth in clauses (i) and (ii) above may be made if the General Partner, as a condition precedent, obtains an opinion of tax counsel that the receipt of such excess amounts shall not adversely affect the Parent’s ability to qualify as a REIT. To the extent that REIT Payments may not be made in a Partnership Year as a consequence of the limitations set forth in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such REIT Payments shall carry over and shall be treated as arising in the following Partnership Year. The purpose of the limitations contained in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is to prevent the Parent from failing to qualify as a REIT under the Code by reason of the Parent’s share of items, including distributions, reimbursements, fees, expenses or indemnities, receivable directly or indirectly from the Partnership, and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shall be interpreted and applied to effectuate such purpose.</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Section 15.12 No Partition</w:t>
      </w:r>
      <w:r>
        <w:rPr>
          <w:rFonts w:ascii="Arial" w:cs="Arial" w:eastAsia="Arial" w:hAnsi="Arial"/>
          <w:sz w:val="16"/>
          <w:szCs w:val="16"/>
          <w:color w:val="auto"/>
        </w:rPr>
        <w:t>. No Partner nor any successor-in-interest to a Partner shall have the right while this Agreement remains in effect to have any</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of the Partnership partitioned, or to file a complaint or institute any proceeding at law or in equity to have such property of the Partnership partitioned, and each Partner, on behalf of itself and its successors and assigns hereby waives any such right. It is the intention of the Partners that the rights of the parties hereto and their successors-in-interest to Partnership property, as among themselves, shall be governed by the terms of this Agreement, and that the rights of the Partners and their successors-in-interest shall be subject to the limitations and restrictions as set forth in this Agreement.</w:t>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Section 15.13 No Third-Party Rights Created Hereby</w:t>
      </w:r>
      <w:r>
        <w:rPr>
          <w:rFonts w:ascii="Arial" w:cs="Arial" w:eastAsia="Arial" w:hAnsi="Arial"/>
          <w:sz w:val="16"/>
          <w:szCs w:val="16"/>
          <w:color w:val="auto"/>
        </w:rPr>
        <w:t>. The provisions of this Agreement are solely for the purpose of defining the interests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Partners, </w:t>
      </w:r>
      <w:r>
        <w:rPr>
          <w:rFonts w:ascii="Arial" w:cs="Arial" w:eastAsia="Arial" w:hAnsi="Arial"/>
          <w:sz w:val="16"/>
          <w:szCs w:val="16"/>
          <w:i w:val="1"/>
          <w:iCs w:val="1"/>
          <w:color w:val="auto"/>
        </w:rPr>
        <w:t>inter se</w:t>
      </w:r>
      <w:r>
        <w:rPr>
          <w:rFonts w:ascii="Arial" w:cs="Arial" w:eastAsia="Arial" w:hAnsi="Arial"/>
          <w:sz w:val="16"/>
          <w:szCs w:val="16"/>
          <w:color w:val="auto"/>
        </w:rPr>
        <w:t>; and no other person, firm or entity (</w:t>
      </w:r>
      <w:r>
        <w:rPr>
          <w:rFonts w:ascii="Arial" w:cs="Arial" w:eastAsia="Arial" w:hAnsi="Arial"/>
          <w:sz w:val="16"/>
          <w:szCs w:val="16"/>
          <w:i w:val="1"/>
          <w:iCs w:val="1"/>
          <w:color w:val="auto"/>
        </w:rPr>
        <w:t>i.e.</w:t>
      </w:r>
      <w:r>
        <w:rPr>
          <w:rFonts w:ascii="Arial" w:cs="Arial" w:eastAsia="Arial" w:hAnsi="Arial"/>
          <w:sz w:val="16"/>
          <w:szCs w:val="16"/>
          <w:color w:val="auto"/>
        </w:rPr>
        <w:t>, a party who is not a signatory hereto or a permitted successor to such signatory hereto) shall have any right, power, title or interest by way of subrogation or otherwise, in and to the rights, powers, title and provisions of this Agreement. No creditor or other third party having dealings with the Partnership (other than as expressly set forth herein with respect to Indemnitees) shall have the right to enforce the right or obligation of any Partner to make Capital Contributions or loans to the Partnership or to pursue any other right or remedy hereunder or at law or in equity. None of the rights or obligations of the Partners herein set forth to make Capital Contributions or loans to the Partnership shall be deemed an asset of the Partnership for any purpose by any creditor or other third party, nor may any such rights or obligations be sold, transferred or assigned by the Partnership or pledged or encumbered by the Partnership to secure any debt or other obligation of the Partnership or any of the Partners.</w:t>
      </w:r>
    </w:p>
    <w:p>
      <w:pPr>
        <w:spacing w:after="0" w:line="16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Section 15.14 No Rights as Shareholders of General Partner or Stockholders of Parent</w:t>
      </w:r>
      <w:r>
        <w:rPr>
          <w:rFonts w:ascii="Arial" w:cs="Arial" w:eastAsia="Arial" w:hAnsi="Arial"/>
          <w:sz w:val="18"/>
          <w:szCs w:val="18"/>
          <w:color w:val="auto"/>
        </w:rPr>
        <w:t>. Nothing contained in this Agreement shall be construed as</w:t>
      </w:r>
      <w:r>
        <w:rPr>
          <w:rFonts w:ascii="Arial" w:cs="Arial" w:eastAsia="Arial" w:hAnsi="Arial"/>
          <w:sz w:val="18"/>
          <w:szCs w:val="18"/>
          <w:b w:val="1"/>
          <w:bCs w:val="1"/>
          <w:color w:val="auto"/>
        </w:rPr>
        <w:t xml:space="preserve"> </w:t>
      </w:r>
      <w:r>
        <w:rPr>
          <w:rFonts w:ascii="Arial" w:cs="Arial" w:eastAsia="Arial" w:hAnsi="Arial"/>
          <w:sz w:val="18"/>
          <w:szCs w:val="18"/>
          <w:color w:val="auto"/>
        </w:rPr>
        <w:t>conferring upon the Holders of Partnership Units any rights whatsoever as shareholders of the General Partner or stockholders of the Parent, including without limitation any right to receive dividends or other distributions made to shareholders of the General Partner or stockholders of the Parent or to vote or to consent or receive notice as shareholders in respect of any meeting of shareholders for the election of trustees of the General Partner or of any meeting of the stockholders of the Parent for the election of directors or any other matter.</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Section 15.15 Creditors</w:t>
      </w:r>
      <w:r>
        <w:rPr>
          <w:rFonts w:ascii="Arial" w:cs="Arial" w:eastAsia="Arial" w:hAnsi="Arial"/>
          <w:sz w:val="18"/>
          <w:szCs w:val="18"/>
          <w:color w:val="auto"/>
        </w:rPr>
        <w:t>. Other than as expressly set forth herein with respect to Indemnitees, none of the provisions of this Agreement shall be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or shall be enforceable by, any creditor of the Partnership.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A PARTICIPATING REDEEMABLE PREFERRED UNITS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16.1</w:t>
      </w:r>
      <w:r>
        <w:rPr>
          <w:sz w:val="20"/>
          <w:szCs w:val="20"/>
          <w:color w:val="auto"/>
        </w:rPr>
        <w:tab/>
      </w:r>
      <w:r>
        <w:rPr>
          <w:rFonts w:ascii="Arial" w:cs="Arial" w:eastAsia="Arial" w:hAnsi="Arial"/>
          <w:sz w:val="16"/>
          <w:szCs w:val="16"/>
          <w:b w:val="1"/>
          <w:bCs w:val="1"/>
          <w:color w:val="auto"/>
        </w:rPr>
        <w:t>Designation and Number.</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series of Partnership Units in the Partnership designated as the “Series A Participating Redeemable Preferred Units” (the “</w:t>
      </w:r>
      <w:r>
        <w:rPr>
          <w:rFonts w:ascii="Arial" w:cs="Arial" w:eastAsia="Arial" w:hAnsi="Arial"/>
          <w:sz w:val="18"/>
          <w:szCs w:val="18"/>
          <w:u w:val="single" w:color="auto"/>
          <w:color w:val="auto"/>
        </w:rPr>
        <w:t>Series A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is hereby established.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16.2</w:t>
      </w:r>
      <w:r>
        <w:rPr>
          <w:sz w:val="20"/>
          <w:szCs w:val="20"/>
          <w:color w:val="auto"/>
        </w:rPr>
        <w:tab/>
      </w:r>
      <w:r>
        <w:rPr>
          <w:rFonts w:ascii="Arial" w:cs="Arial" w:eastAsia="Arial" w:hAnsi="Arial"/>
          <w:sz w:val="16"/>
          <w:szCs w:val="16"/>
          <w:b w:val="1"/>
          <w:bCs w:val="1"/>
          <w:color w:val="auto"/>
        </w:rPr>
        <w:t>Distributions.</w:t>
      </w:r>
    </w:p>
    <w:p>
      <w:pPr>
        <w:spacing w:after="0" w:line="229" w:lineRule="exact"/>
        <w:rPr>
          <w:sz w:val="20"/>
          <w:szCs w:val="20"/>
          <w:color w:val="auto"/>
        </w:rPr>
      </w:pPr>
    </w:p>
    <w:p>
      <w:pPr>
        <w:ind w:right="40" w:firstLine="656"/>
        <w:spacing w:after="0" w:line="255" w:lineRule="auto"/>
        <w:tabs>
          <w:tab w:leader="none" w:pos="129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Payment of Preferred Distributions</w:t>
      </w:r>
      <w:r>
        <w:rPr>
          <w:rFonts w:ascii="Arial" w:cs="Arial" w:eastAsia="Arial" w:hAnsi="Arial"/>
          <w:sz w:val="18"/>
          <w:szCs w:val="18"/>
          <w:color w:val="auto"/>
        </w:rPr>
        <w:t>. Pursuant to Section 5.1, each Holder of the Series A Preferred Units will be entitled to receive, at least quarterly to the extent of Available Cash, an amount equal to the Series A Preferred Priority Return. Such distributions shall be cumulative, shall accrue from the original date of issuance and will be payable quarterly (such quarterly periods for purposes of payment and accrual will be the quarterly periods ending on the dates specified in this sentence and not calendar quarters) in arrears, on or about the date of any distribution made with respect to the OP Units, commencing on the first of such dates to occur after the original date of issuance (the “</w:t>
      </w:r>
      <w:r>
        <w:rPr>
          <w:rFonts w:ascii="Arial" w:cs="Arial" w:eastAsia="Arial" w:hAnsi="Arial"/>
          <w:sz w:val="18"/>
          <w:szCs w:val="18"/>
          <w:u w:val="single" w:color="auto"/>
          <w:color w:val="auto"/>
        </w:rPr>
        <w:t>Series A Preferred Unit Distribution Payment Date</w:t>
      </w:r>
      <w:r>
        <w:rPr>
          <w:rFonts w:ascii="Arial" w:cs="Arial" w:eastAsia="Arial" w:hAnsi="Arial"/>
          <w:sz w:val="18"/>
          <w:szCs w:val="18"/>
          <w:color w:val="auto"/>
        </w:rPr>
        <w:t>”). If any date on which distributions are to be made on the Series A Preferred Units is not a Business Day, then payment of the distribution to be made on such date will be made on the next succeeding day that is a Business Day.</w:t>
      </w:r>
    </w:p>
    <w:p>
      <w:pPr>
        <w:spacing w:after="0" w:line="189" w:lineRule="exact"/>
        <w:rPr>
          <w:rFonts w:ascii="Arial" w:cs="Arial" w:eastAsia="Arial" w:hAnsi="Arial"/>
          <w:sz w:val="18"/>
          <w:szCs w:val="18"/>
          <w:color w:val="auto"/>
        </w:rPr>
      </w:pPr>
    </w:p>
    <w:p>
      <w:pPr>
        <w:ind w:right="40" w:firstLine="656"/>
        <w:spacing w:after="0" w:line="286" w:lineRule="auto"/>
        <w:tabs>
          <w:tab w:leader="none" w:pos="131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Preferred Distributions Cumulative</w:t>
      </w:r>
      <w:r>
        <w:rPr>
          <w:rFonts w:ascii="Arial" w:cs="Arial" w:eastAsia="Arial" w:hAnsi="Arial"/>
          <w:sz w:val="17"/>
          <w:szCs w:val="17"/>
          <w:color w:val="auto"/>
        </w:rPr>
        <w:t xml:space="preserve">. Notwithstanding the foregoing, distributions on the Series A Preferred Units will accrue whether or not the terms and provisions set forth in </w:t>
      </w:r>
      <w:r>
        <w:rPr>
          <w:rFonts w:ascii="Arial" w:cs="Arial" w:eastAsia="Arial" w:hAnsi="Arial"/>
          <w:sz w:val="17"/>
          <w:szCs w:val="17"/>
          <w:u w:val="single" w:color="auto"/>
          <w:color w:val="auto"/>
        </w:rPr>
        <w:t>Section 16.2.C</w:t>
      </w:r>
      <w:r>
        <w:rPr>
          <w:rFonts w:ascii="Arial" w:cs="Arial" w:eastAsia="Arial" w:hAnsi="Arial"/>
          <w:sz w:val="17"/>
          <w:szCs w:val="17"/>
          <w:color w:val="auto"/>
        </w:rPr>
        <w:t xml:space="preserve"> hereof at any time prohibit the current payment of distributions, whether or not the Partnership has earnings, whether or not there are funds legally available for the payment of such distributions and whether or not such distributions are authorized.</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Priority as to Distributions</w:t>
      </w:r>
      <w:r>
        <w:rPr>
          <w:rFonts w:ascii="Arial" w:cs="Arial" w:eastAsia="Arial" w:hAnsi="Arial"/>
          <w:sz w:val="18"/>
          <w:szCs w:val="18"/>
          <w:color w:val="auto"/>
        </w:rPr>
        <w:t>.</w:t>
      </w:r>
    </w:p>
    <w:p>
      <w:pPr>
        <w:sectPr>
          <w:pgSz w:w="11900" w:h="16838" w:orient="portrait"/>
          <w:cols w:equalWidth="0" w:num="1">
            <w:col w:w="11420"/>
          </w:cols>
          <w:pgMar w:left="240" w:top="125" w:right="239" w:bottom="194" w:gutter="0" w:footer="0" w:header="0"/>
        </w:sectPr>
      </w:pPr>
    </w:p>
    <w:bookmarkStart w:id="40" w:name="page41"/>
    <w:bookmarkEnd w:id="40"/>
    <w:p>
      <w:pPr>
        <w:ind w:right="20" w:firstLine="1305"/>
        <w:spacing w:after="0" w:line="284" w:lineRule="auto"/>
        <w:tabs>
          <w:tab w:leader="none" w:pos="196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No distributions shall be declared or paid or set apart for payment and no other distribution of cash or other property may be declared or made on or with respect to any Junior Unit or Preferred Unit (that is not a Series A Preferred Unit) as to distributions (other than a distribution paid in Junior Units or Preferred Units (that are not Series A Preferred Units) as to distributions and upon liquidation) for any period, nor shall any Junior Units or Preferred Units (that are not Series A Preferred Units) as to distributions or upon liquidation be redeemed, purchased or otherwise acquired for any consideration (and no funds shall be paid or made available for a sinking fund for the redemption of such units) and no other distribution of cash or other property may be made, directly or indirectly, on or with respect thereto by the Partnership (except by conversion into or exchange for Junior Units or Preferred Units (that are not Preferred Units) as to distributions and upon liquidation or pursuant to the Charter to the extent necessary to preserve the Parent’s status as a REIT), unless full cumulative distributions on the Series A Preferred Units for all past periods shall have been or contemporaneously are</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declared and paid in cash or (ii) declared and a sum sufficient for the payment thereof in cash is set apart for such payment.</w:t>
      </w:r>
    </w:p>
    <w:p>
      <w:pPr>
        <w:spacing w:after="0" w:line="210"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No interest, or sum of money in lieu of interest, shall be payable in respect of any distribution payment or payments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A Preferred Units which may be in arrears.</w:t>
      </w:r>
    </w:p>
    <w:p>
      <w:pPr>
        <w:spacing w:after="0" w:line="211" w:lineRule="exact"/>
        <w:rPr>
          <w:sz w:val="20"/>
          <w:szCs w:val="20"/>
          <w:color w:val="auto"/>
        </w:rPr>
      </w:pPr>
    </w:p>
    <w:p>
      <w:pPr>
        <w:jc w:val="both"/>
        <w:ind w:right="40" w:firstLine="656"/>
        <w:spacing w:after="0" w:line="264" w:lineRule="auto"/>
        <w:tabs>
          <w:tab w:leader="none" w:pos="130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Series A Preferred Return</w:t>
      </w:r>
      <w:r>
        <w:rPr>
          <w:rFonts w:ascii="Arial" w:cs="Arial" w:eastAsia="Arial" w:hAnsi="Arial"/>
          <w:sz w:val="18"/>
          <w:szCs w:val="18"/>
          <w:color w:val="auto"/>
        </w:rPr>
        <w:t>. Holders of Series A Preferred Units will be entitled to receive the Series A Preferred Return, which will be paid to Holders of Series A Preferred Units as part of the Series A Preferred Priority Return and before any distributions are made to Holders of OP Units pursuant to Section 5.1(3).</w:t>
      </w:r>
    </w:p>
    <w:p>
      <w:pPr>
        <w:spacing w:after="0" w:line="181" w:lineRule="exact"/>
        <w:rPr>
          <w:rFonts w:ascii="Arial" w:cs="Arial" w:eastAsia="Arial" w:hAnsi="Arial"/>
          <w:sz w:val="18"/>
          <w:szCs w:val="18"/>
          <w:color w:val="auto"/>
        </w:rPr>
      </w:pPr>
    </w:p>
    <w:p>
      <w:pPr>
        <w:ind w:right="20" w:firstLine="656"/>
        <w:spacing w:after="0" w:line="302" w:lineRule="auto"/>
        <w:tabs>
          <w:tab w:leader="none" w:pos="131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 Further Rights</w:t>
      </w:r>
      <w:r>
        <w:rPr>
          <w:rFonts w:ascii="Arial" w:cs="Arial" w:eastAsia="Arial" w:hAnsi="Arial"/>
          <w:sz w:val="16"/>
          <w:szCs w:val="16"/>
          <w:color w:val="auto"/>
        </w:rPr>
        <w:t>. Holders of the Series A Preferred Units shall not be entitled to any distributions, whether payable in cash, other property or otherwise, in excess of the full cumulative distributions described herein. Any distribution payment made on the Series A Preferred Units shall first be credited against the earliest accrued but unpaid distribution due with respect to such Series A Preferred Units which remains payable. Accrued but unpaid distributions on the Series A Preferred Units will accumulate as of the Series A Preferred Unit Distribution Payment Date on which they first become payable.</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16.3</w:t>
      </w:r>
      <w:r>
        <w:rPr>
          <w:sz w:val="20"/>
          <w:szCs w:val="20"/>
          <w:color w:val="auto"/>
        </w:rPr>
        <w:tab/>
      </w:r>
      <w:r>
        <w:rPr>
          <w:rFonts w:ascii="Arial" w:cs="Arial" w:eastAsia="Arial" w:hAnsi="Arial"/>
          <w:sz w:val="16"/>
          <w:szCs w:val="16"/>
          <w:b w:val="1"/>
          <w:bCs w:val="1"/>
          <w:color w:val="auto"/>
        </w:rPr>
        <w:t>Liquidation Proceeds.</w:t>
      </w:r>
    </w:p>
    <w:p>
      <w:pPr>
        <w:spacing w:after="0" w:line="229" w:lineRule="exact"/>
        <w:rPr>
          <w:sz w:val="20"/>
          <w:szCs w:val="20"/>
          <w:color w:val="auto"/>
        </w:rPr>
      </w:pPr>
    </w:p>
    <w:p>
      <w:pPr>
        <w:ind w:right="40" w:firstLine="656"/>
        <w:spacing w:after="0" w:line="277" w:lineRule="auto"/>
        <w:tabs>
          <w:tab w:leader="none" w:pos="129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Upon any voluntary or involuntary liquidation, dissolution or winding-up of the affairs of the Partnership, distributions on the Series A Preferred Units shall be made in accordance with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220" w:firstLine="656"/>
        <w:spacing w:after="0" w:line="264" w:lineRule="auto"/>
        <w:tabs>
          <w:tab w:leader="none" w:pos="131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Written notice of any such voluntary or involuntary liquidation, dissolution or winding-up of the Partnership, stating the payment date or dates when, and the place or places where, the amounts distributable in such circumstances shall be payable, shall be given by the General Partner pursuant to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56"/>
        <w:spacing w:after="0" w:line="277" w:lineRule="auto"/>
        <w:tabs>
          <w:tab w:leader="none" w:pos="131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 Further Rights</w:t>
      </w:r>
      <w:r>
        <w:rPr>
          <w:rFonts w:ascii="Arial" w:cs="Arial" w:eastAsia="Arial" w:hAnsi="Arial"/>
          <w:sz w:val="18"/>
          <w:szCs w:val="18"/>
          <w:color w:val="auto"/>
        </w:rPr>
        <w:t>. After payment of the full amount of the liquidating distributions to which they are entitled pursuant to this Section 16.3, the Holders of the Series A Preferred Units will have no right or claim to any of the remaining assets of the Partnership.</w:t>
      </w:r>
    </w:p>
    <w:p>
      <w:pPr>
        <w:spacing w:after="0" w:line="170" w:lineRule="exact"/>
        <w:rPr>
          <w:rFonts w:ascii="Arial" w:cs="Arial" w:eastAsia="Arial" w:hAnsi="Arial"/>
          <w:sz w:val="18"/>
          <w:szCs w:val="18"/>
          <w:color w:val="auto"/>
        </w:rPr>
      </w:pPr>
    </w:p>
    <w:p>
      <w:pPr>
        <w:ind w:right="40" w:firstLine="656"/>
        <w:spacing w:after="0" w:line="259" w:lineRule="auto"/>
        <w:tabs>
          <w:tab w:leader="none" w:pos="130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Consolidation, Merger or Certain Other Transactions</w:t>
      </w:r>
      <w:r>
        <w:rPr>
          <w:rFonts w:ascii="Arial" w:cs="Arial" w:eastAsia="Arial" w:hAnsi="Arial"/>
          <w:sz w:val="18"/>
          <w:szCs w:val="18"/>
          <w:color w:val="auto"/>
        </w:rPr>
        <w:t>. The voluntary sale, conveyance, lease, exchange or transfer (for cash, shares of stock, securities or other consideration) of all or substantially all of the property or assets of the Partnership to, or the consolidation or merger or other business combination of the Partnership with or into, any corporation, trust or other entity (or of any corporation, trust or other entity with or into the Partnership) shall not be deemed to constitute a liquidation, dissolution or winding-up of the Partnership.</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16.4</w:t>
      </w:r>
      <w:r>
        <w:rPr>
          <w:sz w:val="20"/>
          <w:szCs w:val="20"/>
          <w:color w:val="auto"/>
        </w:rPr>
        <w:tab/>
      </w:r>
      <w:r>
        <w:rPr>
          <w:rFonts w:ascii="Arial" w:cs="Arial" w:eastAsia="Arial" w:hAnsi="Arial"/>
          <w:sz w:val="16"/>
          <w:szCs w:val="16"/>
          <w:b w:val="1"/>
          <w:bCs w:val="1"/>
          <w:color w:val="auto"/>
        </w:rPr>
        <w:t>Redemption.</w:t>
      </w:r>
    </w:p>
    <w:p>
      <w:pPr>
        <w:spacing w:after="0" w:line="229" w:lineRule="exact"/>
        <w:rPr>
          <w:sz w:val="20"/>
          <w:szCs w:val="20"/>
          <w:color w:val="auto"/>
        </w:rPr>
      </w:pPr>
    </w:p>
    <w:p>
      <w:pPr>
        <w:ind w:right="80" w:firstLine="656"/>
        <w:spacing w:after="0" w:line="287" w:lineRule="auto"/>
        <w:tabs>
          <w:tab w:leader="none" w:pos="129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or after September 1, 2008, with respect to the Series A Preferred Units, each Holder of Series A Preferred Units shall have the right (subject to the terms and conditions set forth herein and in any separate agreement entered into between the Partnership and the Holder of such Series A Preferred Units that provides otherwise) to require the Partnership to redeem (a “</w:t>
      </w:r>
      <w:r>
        <w:rPr>
          <w:rFonts w:ascii="Arial" w:cs="Arial" w:eastAsia="Arial" w:hAnsi="Arial"/>
          <w:sz w:val="16"/>
          <w:szCs w:val="16"/>
          <w:u w:val="single" w:color="auto"/>
          <w:color w:val="auto"/>
        </w:rPr>
        <w:t>Series A Preferred Redemption</w:t>
      </w:r>
      <w:r>
        <w:rPr>
          <w:rFonts w:ascii="Arial" w:cs="Arial" w:eastAsia="Arial" w:hAnsi="Arial"/>
          <w:sz w:val="16"/>
          <w:szCs w:val="16"/>
          <w:color w:val="auto"/>
        </w:rPr>
        <w:t>”) all or a portion of the Series A Preferred Units held by such Holder (such Series A Preferred Units being hereafter referred to as “</w:t>
      </w:r>
      <w:r>
        <w:rPr>
          <w:rFonts w:ascii="Arial" w:cs="Arial" w:eastAsia="Arial" w:hAnsi="Arial"/>
          <w:sz w:val="16"/>
          <w:szCs w:val="16"/>
          <w:u w:val="single" w:color="auto"/>
          <w:color w:val="auto"/>
        </w:rPr>
        <w:t>Tendered Series A Preferred Units</w:t>
      </w:r>
      <w:r>
        <w:rPr>
          <w:rFonts w:ascii="Arial" w:cs="Arial" w:eastAsia="Arial" w:hAnsi="Arial"/>
          <w:sz w:val="16"/>
          <w:szCs w:val="16"/>
          <w:color w:val="auto"/>
        </w:rPr>
        <w:t>”) in exchange for a cash amount per Series A Preferred Unit (the “</w:t>
      </w:r>
      <w:r>
        <w:rPr>
          <w:rFonts w:ascii="Arial" w:cs="Arial" w:eastAsia="Arial" w:hAnsi="Arial"/>
          <w:sz w:val="16"/>
          <w:szCs w:val="16"/>
          <w:u w:val="single" w:color="auto"/>
          <w:color w:val="auto"/>
        </w:rPr>
        <w:t>Series A Preferred Redemption Amount</w:t>
      </w:r>
      <w:r>
        <w:rPr>
          <w:rFonts w:ascii="Arial" w:cs="Arial" w:eastAsia="Arial" w:hAnsi="Arial"/>
          <w:sz w:val="16"/>
          <w:szCs w:val="16"/>
          <w:color w:val="auto"/>
        </w:rPr>
        <w:t>”) equal to the sum of (i) the Series A Preferred Capital and (ii) the product of (x) the Adjustment Factor and (y) the Value of a REIT Share unless the terms of such Series A Preferred Units or such separate agreement provides that such Series A Preferred Units are not entitled to a right of Series A Preferred Redemption or are entitled to consideration other than the Series A Preferred Redemption Amount. The tendering Series A Preferred Unit Holder shall have no right, with respect to any Series A Preferred Units so redeemed, to receive any distributions paid on or after the Series A Preferred Redemption Date. Any Series A Preferred Redemption shall be exercised pursuant to a Notice of Series A Preferred Redemption delivered to the General Partner by the Series A Preferred Unit Holder who is exercising the right (the “</w:t>
      </w:r>
      <w:r>
        <w:rPr>
          <w:rFonts w:ascii="Arial" w:cs="Arial" w:eastAsia="Arial" w:hAnsi="Arial"/>
          <w:sz w:val="16"/>
          <w:szCs w:val="16"/>
          <w:u w:val="single" w:color="auto"/>
          <w:color w:val="auto"/>
        </w:rPr>
        <w:t>Tendering Series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Unit Holder</w:t>
      </w:r>
      <w:r>
        <w:rPr>
          <w:rFonts w:ascii="Arial" w:cs="Arial" w:eastAsia="Arial" w:hAnsi="Arial"/>
          <w:sz w:val="16"/>
          <w:szCs w:val="16"/>
          <w:color w:val="auto"/>
        </w:rPr>
        <w:t>”) and surrender to the General Partner of certificates representing the Series A Preferred Units. The Series A Preferred Redemption Amount shall be payable to the Tendering Series A Preferred Unit Holder on the Series A Preferred Redemption Date.</w:t>
      </w:r>
    </w:p>
    <w:p>
      <w:pPr>
        <w:spacing w:after="0" w:line="168" w:lineRule="exact"/>
        <w:rPr>
          <w:rFonts w:ascii="Arial" w:cs="Arial" w:eastAsia="Arial" w:hAnsi="Arial"/>
          <w:sz w:val="16"/>
          <w:szCs w:val="16"/>
          <w:color w:val="auto"/>
        </w:rPr>
      </w:pPr>
    </w:p>
    <w:p>
      <w:pPr>
        <w:ind w:firstLine="656"/>
        <w:spacing w:after="0" w:line="285" w:lineRule="auto"/>
        <w:tabs>
          <w:tab w:leader="none" w:pos="131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16.4.A</w:t>
      </w:r>
      <w:r>
        <w:rPr>
          <w:rFonts w:ascii="Arial" w:cs="Arial" w:eastAsia="Arial" w:hAnsi="Arial"/>
          <w:sz w:val="16"/>
          <w:szCs w:val="16"/>
          <w:color w:val="auto"/>
        </w:rPr>
        <w:t xml:space="preserve"> above, if a Series A Preferred Unit Holder has delivered to the General Partner a Notice of Series A Preferred Redemption and the certificates representing the Series A Preferred Units, then the Parent may, in its sole and absolute discretion (subject to the limitations on ownership and transfer of REIT Shares set forth in the Charter), elect to assume and satisfy the General Partner’s Series A Preferred Redemption obligation and acquire some or all of the Tendered Series A Preferred Units from the Tendering Series A Preferred Unit Holder in exchange for the Series A Preferred REIT Shares Amount (as of the Series A Preferred Redemption Date) and, if the Parent so elects, the Tendering Series A Preferred Unit Holder shall sell the Tendered Series A Preferred Units to the Parent in exchange for the Series A Preferred REIT Shares Amount (to the extent then permitted by the rules of the New York Stock Exchange without having to obtain the approval of Parent’s stockholders). In such event, the Tendering Series A Preferred Unit Holder shall have no right to cause the Partnership to redeem such Tendered Series A Preferred Units. The Parent shall promptly, and in no event later than the Series A Preferred Redemption Date, give such Tendering Series A Preferred Unit Holder written notice of its election to deliver the Series A Preferred REIT Shares Amount, and the Tendering Series A Preferred Unit Holder may elect to withdraw its redemption request at any time prior to the acceptance of the cash or Series A Preferred REIT Shares Amount by such Tendering Series A Preferred Unit Holder. Assuming the Parent exercises its option to deliver the Series A Preferred REIT Shares Amount, the Parent shall contribute the Tendered Series A Preferred Units to the Parent Limited Partner. Upon Parent Limited Partner’s acquisition of the Series A Preferred Units (including the certificates, if any, representing such Series A Preferred Units), such Series A Preferred Units shall automatically be converted into a number of OP Units equal to the number of REIT Shares issued by Parent in such Series A Preferred Redemption. In addition, upon or subsequent to such conversion, the General Partner shall be permitted to make adjustments to the Capital Accounts of the Partners in order to prevent any differences in distributions among OP Units resulting from such conversion.</w:t>
      </w:r>
    </w:p>
    <w:p>
      <w:pPr>
        <w:sectPr>
          <w:pgSz w:w="11900" w:h="16838" w:orient="portrait"/>
          <w:cols w:equalWidth="0" w:num="1">
            <w:col w:w="11420"/>
          </w:cols>
          <w:pgMar w:left="240" w:top="125" w:right="239" w:bottom="0" w:gutter="0" w:footer="0" w:header="0"/>
        </w:sectPr>
      </w:pPr>
    </w:p>
    <w:bookmarkStart w:id="41" w:name="page42"/>
    <w:bookmarkEnd w:id="41"/>
    <w:p>
      <w:pPr>
        <w:ind w:right="120" w:firstLine="656"/>
        <w:spacing w:after="0" w:line="312" w:lineRule="auto"/>
        <w:tabs>
          <w:tab w:leader="none" w:pos="131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Series A Preferred REIT Shares Amount, if applicable, shall be delivered as duly authorized, validly issued, fully paid and nonassessable REIT Shares and, if applicable, free of any pledge, lien, encumbrance or restriction, other than those provided in the Charter or the Bylaws of the Parent, the Securities Act, relevant state securities or blue sky laws and any applicable registration rights agreement with respect to such REIT Shares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entered into by the Tendering Series A Preferred Unit Holder. Notwithstanding any delay in such delivery (but subject to </w:t>
      </w:r>
      <w:r>
        <w:rPr>
          <w:rFonts w:ascii="Arial" w:cs="Arial" w:eastAsia="Arial" w:hAnsi="Arial"/>
          <w:sz w:val="18"/>
          <w:szCs w:val="18"/>
          <w:u w:val="single" w:color="auto"/>
          <w:color w:val="auto"/>
        </w:rPr>
        <w:t>Section 16.4.E</w:t>
      </w:r>
      <w:r>
        <w:rPr>
          <w:rFonts w:ascii="Arial" w:cs="Arial" w:eastAsia="Arial" w:hAnsi="Arial"/>
          <w:sz w:val="18"/>
          <w:szCs w:val="18"/>
          <w:color w:val="auto"/>
        </w:rPr>
        <w:t>), the Tendering Series A Preferred Unit Holder shall be deemed the owner of such REIT Shares for all purposes, including without limitation, rights to vote or consent, and receive dividends, as of the Series A Preferred Redemption Date. In addition, the REIT Shares for which the Series A Preferred Units might be exchanged shall also bear a legend which generally provides the following: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RESTRICTION ON OWNERSHIP AND TRANSFER</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SHARES OF CAPITAL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COMPANY’S ARTICLES OF AMENDMENT AND RESTATEMENT, (i) NO PERSON MAY BENEFICIALLY OR CONSTRUCTIVELY OWN SHARES OF THE COMPANY’S COMMON STOCK IN EXCESS OF [ • %] (BY VALUE OR BY NUMBER OF SHARES, WHICHEVER IS MORE RESTRICTIVE) OF THE OUTSTANDING COMMON STOCK OF THE COMPANY OR SHARES OF THE COMPANY’S CAPITAL STOCK IN EXCESS OF [ • %] (BY VALUE OR BY NUMBER OF SHARES, WHICHEVER IS MORE RESTRICTIVE) OF THE OUTSTANDING CAPITAL STOCK OF THE COMPANY; (ii) NO PERSON MAY BENEFICIALLY OR CONSTRUCTIVELY OWN SHARES OF CAPITAL STOCK THAT WOULD RESULT IN THE COMPANY BEING “CLOSELY HELD” UNDER SECTION 856(h) OF THE CODE OR OTHERWISE CAUSE THE COMPANY TO FAIL TO QUALIFY AS A REIT; AND (iii) NO PERSON MAY TRANSFER SHARES OF COMMON STOCK IF SUCH TRANSFER WOULD RESULT IN THE COMMON STOCK OF THE COMPANY BEING OWNED BY FEWER THAN 100 PERSONS. ANY PERSON WHO BENEFICIALLY OR CONSTRUCTIVELY OWNS OR ATTEMPTS TO BENEFICIALLY OR CONSTRUCTIVELY OWN SHARES OF CAPITAL STOCK IN VIOLATION OF THE ABOVE LIMITATIONS MUST IMMEDIATELY NOTIFY THE COMPANY. IF ANY OF THE RESTRICTIONS ON TRANSFER OR OWNERSHIP IS VIOLATED, THE SHARES OF CAPITAL STOCK REPRESENTED HEREBY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THAT ARE DEFINED IN THE ARTICLES OF AMENDMENT AND RESTATEMENT OF THE COMPANY SHALL HAVE THE MEANINGS ASCRIBED TO THEM IN THE ARTICLES OF AMENDMENT AND RESTATEMENT OF THE COMPANY, AS THE SAME MAY BE AMENDED FROM TIME TO TIME, A COPY OF WHICH, INCLUDING THE RESTRICTIONS ON TRANSFER AND OWNERSHIP, WILL BE FURNISHED TO EACH HOLDER OF SHARES OF CAPITAL STOCK ON REQUEST AND WITHOUT CHARGE. REQUESTS FOR SUCH A COPY MAY BE DIRECTED TO THE SECRETARY OF THE COMPANY AT ITS PRINCIPAL OFFICE.</w:t>
      </w:r>
    </w:p>
    <w:p>
      <w:pPr>
        <w:spacing w:after="0" w:line="183" w:lineRule="exact"/>
        <w:rPr>
          <w:sz w:val="20"/>
          <w:szCs w:val="20"/>
          <w:color w:val="auto"/>
        </w:rPr>
      </w:pPr>
    </w:p>
    <w:p>
      <w:pPr>
        <w:ind w:right="80" w:firstLine="656"/>
        <w:spacing w:after="0" w:line="297" w:lineRule="auto"/>
        <w:tabs>
          <w:tab w:leader="none" w:pos="13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Holder of Series A Preferred Units covenants and agrees with the General Partner that all Tendered Series A Preferred Units shall be delivered to the General Partner and/or Parent free and clear of all liens, claims and encumbrances whatsoever and should any such liens, claims and/or encumbrances exist or arise with respect to such Tendered Series A Preferred Units, the General Partner shall be under no obligation to acquire the same. Each Holder of Series A Preferred Units further agrees that, in the event any state or local property transfer tax is payable as a result of the transfer of its Tendered Series A Preferred Units to the General Partner (or its designee), such Holder of Series A Preferred Units shall assume and pay such transfer tax.</w:t>
      </w:r>
    </w:p>
    <w:p>
      <w:pPr>
        <w:spacing w:after="0" w:line="158" w:lineRule="exact"/>
        <w:rPr>
          <w:rFonts w:ascii="Arial" w:cs="Arial" w:eastAsia="Arial" w:hAnsi="Arial"/>
          <w:sz w:val="16"/>
          <w:szCs w:val="16"/>
          <w:color w:val="auto"/>
        </w:rPr>
      </w:pPr>
    </w:p>
    <w:p>
      <w:pPr>
        <w:ind w:right="60" w:firstLine="656"/>
        <w:spacing w:after="0" w:line="257" w:lineRule="auto"/>
        <w:tabs>
          <w:tab w:leader="none" w:pos="13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w:t>
      </w:r>
      <w:r>
        <w:rPr>
          <w:rFonts w:ascii="Arial" w:cs="Arial" w:eastAsia="Arial" w:hAnsi="Arial"/>
          <w:sz w:val="18"/>
          <w:szCs w:val="18"/>
          <w:u w:val="single" w:color="auto"/>
          <w:color w:val="auto"/>
        </w:rPr>
        <w:t>16.4.B</w:t>
      </w:r>
      <w:r>
        <w:rPr>
          <w:rFonts w:ascii="Arial" w:cs="Arial" w:eastAsia="Arial" w:hAnsi="Arial"/>
          <w:sz w:val="18"/>
          <w:szCs w:val="18"/>
          <w:color w:val="auto"/>
        </w:rPr>
        <w:t xml:space="preserve">, </w:t>
      </w:r>
      <w:r>
        <w:rPr>
          <w:rFonts w:ascii="Arial" w:cs="Arial" w:eastAsia="Arial" w:hAnsi="Arial"/>
          <w:sz w:val="18"/>
          <w:szCs w:val="18"/>
          <w:u w:val="single" w:color="auto"/>
          <w:color w:val="auto"/>
        </w:rPr>
        <w:t>16.4.C</w:t>
      </w:r>
      <w:r>
        <w:rPr>
          <w:rFonts w:ascii="Arial" w:cs="Arial" w:eastAsia="Arial" w:hAnsi="Arial"/>
          <w:sz w:val="18"/>
          <w:szCs w:val="18"/>
          <w:color w:val="auto"/>
        </w:rPr>
        <w:t xml:space="preserve"> or any other provision of this Agreement, a Holder of Series A Preferred Units (i) shall not be entitled to effect a Series A Preferred Redemption for cash or an exchange for REIT Shares to the extent the ownership or right to acquire REIT Shares pursuant to such exchange by such Holder on the Series A Preferred Redemption Date could cause such Holder or any other Person to violate the restrictions on ownership and transfer of REIT Shares set forth in the Charter of the Parent and (ii) shall have no rights under this Agreement to acquire REIT Shares which would otherwise be prohibited under</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the Charter. To the extent any attempted Series A Preferred Redemption or exchange for REIT Shares would be in violation of this </w:t>
      </w:r>
      <w:r>
        <w:rPr>
          <w:rFonts w:ascii="Arial" w:cs="Arial" w:eastAsia="Arial" w:hAnsi="Arial"/>
          <w:sz w:val="18"/>
          <w:szCs w:val="18"/>
          <w:u w:val="single" w:color="auto"/>
          <w:color w:val="auto"/>
        </w:rPr>
        <w:t>Section 16.4.E</w:t>
      </w:r>
      <w:r>
        <w:rPr>
          <w:rFonts w:ascii="Arial" w:cs="Arial" w:eastAsia="Arial" w:hAnsi="Arial"/>
          <w:sz w:val="18"/>
          <w:szCs w:val="18"/>
          <w:color w:val="auto"/>
        </w:rPr>
        <w:t xml:space="preserve">, it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such Holder of Series A Preferred Units shall not acquire any rights or economic interest in the cash otherwise payable upon such Series A Preferred Redemption or the REIT Shares otherwise issuable upon such exchange.</w:t>
      </w:r>
    </w:p>
    <w:p>
      <w:pPr>
        <w:spacing w:after="0" w:line="181" w:lineRule="exact"/>
        <w:rPr>
          <w:sz w:val="20"/>
          <w:szCs w:val="20"/>
          <w:color w:val="auto"/>
        </w:rPr>
      </w:pPr>
    </w:p>
    <w:p>
      <w:pPr>
        <w:ind w:right="40" w:firstLine="656"/>
        <w:spacing w:after="0" w:line="287" w:lineRule="auto"/>
        <w:tabs>
          <w:tab w:leader="none" w:pos="12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(but subject to </w:t>
      </w:r>
      <w:r>
        <w:rPr>
          <w:rFonts w:ascii="Arial" w:cs="Arial" w:eastAsia="Arial" w:hAnsi="Arial"/>
          <w:sz w:val="16"/>
          <w:szCs w:val="16"/>
          <w:u w:val="single" w:color="auto"/>
          <w:color w:val="auto"/>
        </w:rPr>
        <w:t>Section 16.4.E</w:t>
      </w:r>
      <w:r>
        <w:rPr>
          <w:rFonts w:ascii="Arial" w:cs="Arial" w:eastAsia="Arial" w:hAnsi="Arial"/>
          <w:sz w:val="16"/>
          <w:szCs w:val="16"/>
          <w:color w:val="auto"/>
        </w:rPr>
        <w:t xml:space="preserve">), with respect to any Series A Preferred Redemption or exchange for REIT Shares pursuant to this </w:t>
      </w:r>
      <w:r>
        <w:rPr>
          <w:rFonts w:ascii="Arial" w:cs="Arial" w:eastAsia="Arial" w:hAnsi="Arial"/>
          <w:sz w:val="16"/>
          <w:szCs w:val="16"/>
          <w:u w:val="single" w:color="auto"/>
          <w:color w:val="auto"/>
        </w:rPr>
        <w:t>Section 16.4</w:t>
      </w:r>
      <w:r>
        <w:rPr>
          <w:rFonts w:ascii="Arial" w:cs="Arial" w:eastAsia="Arial" w:hAnsi="Arial"/>
          <w:sz w:val="16"/>
          <w:szCs w:val="16"/>
          <w:color w:val="auto"/>
        </w:rPr>
        <w:t>: (i) all Series A Preferred Units acquired by the Parent Limited Partner pursuant thereto shall automatically, and without further action required, be converted into and deemed to be OP Units comprised of the same number of REIT Shares issued by Parent upon such Series A Preferred Redemption; (ii) without the consent of the General Partner, each Holder of Series A Preferred Units may not effect a Series A Preferred Redemption for less than 1,000 Series A Preferred Units or, if the Series A Preferred Unit Holder holds less than 1,000 Series A Preferred Units, all of the Series A Preferred Units held by such Holder; (iii) without the consent of the General Partner, each Series A Preferred Unit Holder may not effect a Series A Preferred Redemption during the period after the Partnership Record Date with respect to a distribution and before the record date established by the Parent for a distribution to its stockholders of some or all of its portion of such distribution; (iv) the consummation of any Series A Preferred Redemption or exchange for REIT Shares shall be subject to the expiration or termination of the applicable waiting period, if any, under the Hart-Scott-Rodino Antitrust Improvements Act of 1976, as amended; and (v) each Tendering Series A Preferred Unit Holder shall continue to own all Series A Preferred Units subject to any Series A Preferred Redemption or exchange for REIT Shares, and be treated as a Holder of such Series A Preferred Units for all purposes of this Agreement, until such Series A Preferred Units are transferred to the Parent Partner and paid for or exchanged on the Series A Preferred</w:t>
      </w:r>
    </w:p>
    <w:p>
      <w:pPr>
        <w:sectPr>
          <w:pgSz w:w="11900" w:h="16838" w:orient="portrait"/>
          <w:cols w:equalWidth="0" w:num="1">
            <w:col w:w="11360"/>
          </w:cols>
          <w:pgMar w:left="240" w:top="125" w:right="299" w:bottom="0" w:gutter="0" w:footer="0" w:header="0"/>
        </w:sectPr>
      </w:pPr>
    </w:p>
    <w:bookmarkStart w:id="42" w:name="page43"/>
    <w:bookmarkEnd w:id="42"/>
    <w:p>
      <w:pPr>
        <w:ind w:right="360"/>
        <w:spacing w:after="0" w:line="277" w:lineRule="auto"/>
        <w:rPr>
          <w:sz w:val="20"/>
          <w:szCs w:val="20"/>
          <w:color w:val="auto"/>
        </w:rPr>
      </w:pPr>
      <w:r>
        <w:rPr>
          <w:rFonts w:ascii="Arial" w:cs="Arial" w:eastAsia="Arial" w:hAnsi="Arial"/>
          <w:sz w:val="18"/>
          <w:szCs w:val="18"/>
          <w:color w:val="auto"/>
        </w:rPr>
        <w:t>Redemption Date. Until a Series A Preferred Redemption Date, the Tendering Series A Preferred Unit Holder shall have no rights as a stockholder of the Parent with respect to such Tendering Series A Preferred Unit Holder’s Series A Preferred Units.</w:t>
      </w:r>
    </w:p>
    <w:p>
      <w:pPr>
        <w:spacing w:after="0" w:line="170" w:lineRule="exact"/>
        <w:rPr>
          <w:sz w:val="20"/>
          <w:szCs w:val="20"/>
          <w:color w:val="auto"/>
        </w:rPr>
      </w:pPr>
    </w:p>
    <w:p>
      <w:pPr>
        <w:ind w:right="200" w:firstLine="656"/>
        <w:spacing w:after="0" w:line="264" w:lineRule="auto"/>
        <w:tabs>
          <w:tab w:leader="none" w:pos="132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In the event that the Partnership issues additional Series A Preferred Units to any Additional Limited Partner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the General Partner shall make such revisions to this </w:t>
      </w:r>
      <w:r>
        <w:rPr>
          <w:rFonts w:ascii="Arial" w:cs="Arial" w:eastAsia="Arial" w:hAnsi="Arial"/>
          <w:sz w:val="18"/>
          <w:szCs w:val="18"/>
          <w:u w:val="single" w:color="auto"/>
          <w:color w:val="auto"/>
        </w:rPr>
        <w:t>Section 16.4</w:t>
      </w:r>
      <w:r>
        <w:rPr>
          <w:rFonts w:ascii="Arial" w:cs="Arial" w:eastAsia="Arial" w:hAnsi="Arial"/>
          <w:sz w:val="18"/>
          <w:szCs w:val="18"/>
          <w:color w:val="auto"/>
        </w:rPr>
        <w:t xml:space="preserve"> as it determines are necessary to reflect the issuance of such additional Series A Preferred Units.</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Section 16.5 Ranking</w:t>
      </w:r>
      <w:r>
        <w:rPr>
          <w:rFonts w:ascii="Arial" w:cs="Arial" w:eastAsia="Arial" w:hAnsi="Arial"/>
          <w:sz w:val="16"/>
          <w:szCs w:val="16"/>
          <w:color w:val="auto"/>
        </w:rPr>
        <w:t>. The Series A Preferred Units shall, with respect to distribution rights and rights upon voluntary or involuntary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winding-up or dissolution of the Partnership, rank senior to all other Partnership Units. So long as the Series A Preferred Units remain issued and outstanding, the Partnership shall not (A) authorize or issue any securities having any preference as to or on parity with the dividend or redemption rights, liquidation preferences, conversion rights, voting rights or any other rights or privileges of the Series A Preferred Units, (B) reclassify any Partnership Interests into interests having any preference as to or on a parity with the dividend or redemption rights, liquidation preferences, conversion rights, voting rights or any other rights or privileges of the Series A Preferred Units, (C) authorize or issue any debt convertible into or exchangeable for Partnership Interests having any preference as to or on parity with the dividend or redemption rights, liquidation preferences, conversion rights, voting rights or any other rights or privileges of the Series A Preferred Units, or (D) amend or repeal any provision of, or add any provision to this Agreement if such actions would alter or change the preferences, rights, privileges or restrictions provided for the benefit of the Series A Preferred Units.</w:t>
      </w:r>
    </w:p>
    <w:p>
      <w:pPr>
        <w:spacing w:after="0" w:line="16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Section 16.6 Voting Rights</w:t>
      </w:r>
      <w:r>
        <w:rPr>
          <w:rFonts w:ascii="Arial" w:cs="Arial" w:eastAsia="Arial" w:hAnsi="Arial"/>
          <w:sz w:val="18"/>
          <w:szCs w:val="18"/>
          <w:color w:val="auto"/>
        </w:rPr>
        <w:t>. The General Partner is expressly authorized to without the approval of the Holders of Series A Preferred Units, 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 to issue additional Series A Preferred Units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hereof.</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Section 16.7 Transfer Restrictions</w:t>
      </w:r>
      <w:r>
        <w:rPr>
          <w:rFonts w:ascii="Arial" w:cs="Arial" w:eastAsia="Arial" w:hAnsi="Arial"/>
          <w:sz w:val="18"/>
          <w:szCs w:val="18"/>
          <w:color w:val="auto"/>
        </w:rPr>
        <w:t>. The Series A Preferred Units shall not be transferable except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3(g)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Contribution Agreement.</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Section 16.8 No Conversion Rights</w:t>
      </w:r>
      <w:r>
        <w:rPr>
          <w:rFonts w:ascii="Arial" w:cs="Arial" w:eastAsia="Arial" w:hAnsi="Arial"/>
          <w:sz w:val="18"/>
          <w:szCs w:val="18"/>
          <w:color w:val="auto"/>
        </w:rPr>
        <w:t>. Except as contemplated in Section 16.4, the Series A Preferred Units shall not be convertible into any other class</w:t>
      </w:r>
      <w:r>
        <w:rPr>
          <w:rFonts w:ascii="Arial" w:cs="Arial" w:eastAsia="Arial" w:hAnsi="Arial"/>
          <w:sz w:val="18"/>
          <w:szCs w:val="18"/>
          <w:b w:val="1"/>
          <w:bCs w:val="1"/>
          <w:color w:val="auto"/>
        </w:rPr>
        <w:t xml:space="preserve"> </w:t>
      </w:r>
      <w:r>
        <w:rPr>
          <w:rFonts w:ascii="Arial" w:cs="Arial" w:eastAsia="Arial" w:hAnsi="Arial"/>
          <w:sz w:val="18"/>
          <w:szCs w:val="18"/>
          <w:color w:val="auto"/>
        </w:rPr>
        <w:t>or series of interest in the Partnership.</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16.9</w:t>
      </w:r>
      <w:r>
        <w:rPr>
          <w:sz w:val="20"/>
          <w:szCs w:val="20"/>
          <w:color w:val="auto"/>
        </w:rPr>
        <w:tab/>
      </w:r>
      <w:r>
        <w:rPr>
          <w:rFonts w:ascii="Arial" w:cs="Arial" w:eastAsia="Arial" w:hAnsi="Arial"/>
          <w:sz w:val="16"/>
          <w:szCs w:val="16"/>
          <w:b w:val="1"/>
          <w:bCs w:val="1"/>
          <w:color w:val="auto"/>
        </w:rPr>
        <w:t>No Sinking Fund</w:t>
      </w:r>
      <w:r>
        <w:rPr>
          <w:rFonts w:ascii="Arial" w:cs="Arial" w:eastAsia="Arial" w:hAnsi="Arial"/>
          <w:sz w:val="16"/>
          <w:szCs w:val="16"/>
          <w:color w:val="auto"/>
        </w:rPr>
        <w:t>. No sinking fund shall be established for the retirement or redemption of Series A Preferred Units.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Section 16.10 Article 8 Opt-In</w:t>
      </w:r>
      <w:r>
        <w:rPr>
          <w:rFonts w:ascii="Arial" w:cs="Arial" w:eastAsia="Arial" w:hAnsi="Arial"/>
          <w:sz w:val="17"/>
          <w:szCs w:val="17"/>
          <w:color w:val="auto"/>
        </w:rPr>
        <w:t>. The Partnership hereby irrevocably elects that all Series A Preferred Units shall be “securities” governed by Article 8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Uniform Commercial Code as in effect in the State of Utah and each other applicable jurisdiction. The ownership of Series A Preferred Units shall be evidenced by certificates. Each certificate evidencing Series A Preferred Units shall bear the following legend: “This certificate evidences an interest in Extra Space Storage LP and shall be a security governed by Article 8 of the Uniform Commercial Code as in effect in the State of Utah and, to the extent permitted by applicable law, each other applicable jurisdiction.” This provision shall not be amended, and any purported amendment to this provision shall not take effect, until all outstanding certificates evidencing Series A Preferred Units have been surrendered for cancellation.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next page is the signature page]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this Second Amended and Restated Agreement of Limited Partnership has been executed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ESS HOLDINGS BUSINESS TRUST I</w:t>
      </w:r>
    </w:p>
    <w:p>
      <w:pPr>
        <w:spacing w:after="0" w:line="200" w:lineRule="exact"/>
        <w:rPr>
          <w:sz w:val="20"/>
          <w:szCs w:val="20"/>
          <w:color w:val="auto"/>
        </w:rPr>
      </w:pPr>
    </w:p>
    <w:p>
      <w:pPr>
        <w:spacing w:after="0" w:line="241"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L. Allen</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Name: Charles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-123190</wp:posOffset>
            </wp:positionV>
            <wp:extent cx="3524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LIMITED PARTNERS: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ESS HOLDINGS BUSINESS TRUST II</w:t>
      </w:r>
    </w:p>
    <w:p>
      <w:pPr>
        <w:spacing w:after="0" w:line="200" w:lineRule="exact"/>
        <w:rPr>
          <w:sz w:val="20"/>
          <w:szCs w:val="20"/>
          <w:color w:val="auto"/>
        </w:rPr>
      </w:pPr>
    </w:p>
    <w:p>
      <w:pPr>
        <w:spacing w:after="0" w:line="241"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L. Allen</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Name: Charles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-123190</wp:posOffset>
            </wp:positionV>
            <wp:extent cx="3524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1380"/>
          </w:cols>
          <w:pgMar w:left="240" w:top="125" w:right="279" w:bottom="352"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352" w:gutter="0" w:footer="0" w:header="0"/>
          <w:type w:val="continuous"/>
        </w:sectPr>
      </w:pPr>
    </w:p>
    <w:bookmarkStart w:id="43" w:name="page44"/>
    <w:bookmarkEnd w:id="43"/>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380" w:val="left"/>
        </w:tabs>
        <w:rPr>
          <w:sz w:val="20"/>
          <w:szCs w:val="20"/>
          <w:color w:val="auto"/>
        </w:rPr>
      </w:pPr>
      <w:r>
        <w:rPr>
          <w:rFonts w:ascii="Arial" w:cs="Arial" w:eastAsia="Arial" w:hAnsi="Arial"/>
          <w:sz w:val="18"/>
          <w:szCs w:val="18"/>
          <w:color w:val="auto"/>
        </w:rPr>
        <w:t>$100,000,000.00</w:t>
      </w:r>
      <w:r>
        <w:rPr>
          <w:sz w:val="20"/>
          <w:szCs w:val="20"/>
          <w:color w:val="auto"/>
        </w:rPr>
        <w:tab/>
      </w:r>
      <w:r>
        <w:rPr>
          <w:rFonts w:ascii="Arial" w:cs="Arial" w:eastAsia="Arial" w:hAnsi="Arial"/>
          <w:sz w:val="15"/>
          <w:szCs w:val="15"/>
          <w:color w:val="auto"/>
        </w:rPr>
        <w:t>June 25, 2007</w:t>
      </w:r>
    </w:p>
    <w:p>
      <w:pPr>
        <w:spacing w:after="0" w:line="27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For value received, H. James Knuppe and Barbara Knuppe (each hereinafter a “</w:t>
      </w:r>
      <w:r>
        <w:rPr>
          <w:rFonts w:ascii="Arial" w:cs="Arial" w:eastAsia="Arial" w:hAnsi="Arial"/>
          <w:sz w:val="17"/>
          <w:szCs w:val="17"/>
          <w:b w:val="1"/>
          <w:bCs w:val="1"/>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Borrowers</w:t>
      </w:r>
      <w:r>
        <w:rPr>
          <w:rFonts w:ascii="Arial" w:cs="Arial" w:eastAsia="Arial" w:hAnsi="Arial"/>
          <w:sz w:val="17"/>
          <w:szCs w:val="17"/>
          <w:color w:val="auto"/>
        </w:rPr>
        <w:t>”), jointly and severally promise and agree to pay to the order of EXTRA SPACE STORAGE LP, a Delaware limited partnership, for itself and its successors and assigns (“</w:t>
      </w:r>
      <w:r>
        <w:rPr>
          <w:rFonts w:ascii="Arial" w:cs="Arial" w:eastAsia="Arial" w:hAnsi="Arial"/>
          <w:sz w:val="17"/>
          <w:szCs w:val="17"/>
          <w:b w:val="1"/>
          <w:bCs w:val="1"/>
          <w:u w:val="single" w:color="auto"/>
          <w:color w:val="auto"/>
        </w:rPr>
        <w:t>Lender</w:t>
      </w:r>
      <w:r>
        <w:rPr>
          <w:rFonts w:ascii="Arial" w:cs="Arial" w:eastAsia="Arial" w:hAnsi="Arial"/>
          <w:sz w:val="17"/>
          <w:szCs w:val="17"/>
          <w:color w:val="auto"/>
        </w:rPr>
        <w:t>”), in lawful money of the United States of America, the principal sum of ONE HUNDRED MILLION AND NO/100 DOLLARS ($100,000,000.00), together with interest on the unpaid outstanding balance owing hereunder at the rate or rates or in the amounts computed as provided herein, together with all other amounts due Lender under this Note, all payable in the manner and at the time or times provided herein.</w:t>
      </w:r>
    </w:p>
    <w:p>
      <w:pPr>
        <w:spacing w:after="0" w:line="172" w:lineRule="exact"/>
        <w:rPr>
          <w:sz w:val="20"/>
          <w:szCs w:val="20"/>
          <w:color w:val="auto"/>
        </w:rPr>
      </w:pPr>
    </w:p>
    <w:p>
      <w:pPr>
        <w:ind w:right="40" w:firstLine="656"/>
        <w:spacing w:after="0" w:line="268" w:lineRule="auto"/>
        <w:tabs>
          <w:tab w:leader="none" w:pos="1253"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Interest Rate/Interest-Only Payments Prior to Maturity/Off Set Against Preferred Payments</w:t>
      </w:r>
      <w:r>
        <w:rPr>
          <w:rFonts w:ascii="Arial" w:cs="Arial" w:eastAsia="Arial" w:hAnsi="Arial"/>
          <w:sz w:val="17"/>
          <w:szCs w:val="17"/>
          <w:color w:val="auto"/>
        </w:rPr>
        <w:t xml:space="preserve">. The outstanding balance of the amount due hereunder shall bear interest from the date set forth on this Note through and including the dates of payment at the rate of four and eighty-five one hundredths percent (4.85%) per annum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Interest Rate</w:t>
      </w:r>
      <w:r>
        <w:rPr>
          <w:rFonts w:ascii="Arial" w:cs="Arial" w:eastAsia="Arial" w:hAnsi="Arial"/>
          <w:sz w:val="17"/>
          <w:szCs w:val="17"/>
          <w:b w:val="1"/>
          <w:bCs w:val="1"/>
          <w:color w:val="auto"/>
        </w:rPr>
        <w:t>”</w:t>
      </w:r>
      <w:r>
        <w:rPr>
          <w:rFonts w:ascii="Arial" w:cs="Arial" w:eastAsia="Arial" w:hAnsi="Arial"/>
          <w:sz w:val="17"/>
          <w:szCs w:val="17"/>
          <w:color w:val="auto"/>
        </w:rPr>
        <w:t>). Payments of interest-only on the Loan shall be payable quarterly on the first day of July, October, January, and April during the term of the Loan through the Maturity Date (as defined below). Interest shall be calculated on the basis of a 360-day year for the actual number of days in the applicable period. All payments made under this Note shall be applied as follows: (i) first, to fees, expenses, costs and other similar amounts then due and payable to Lender, (ii) second, to accrued and unpaid interest on the principal balance of the Note, (iii) third, to the payment of principal due in the month in which the payment or prepayment is made, if any, (iv) fourth, to any other amounts then due Lender hereunder; and (v) last, to the unpaid principal balance of this Note. Borrowers are the owners of and expect to acquire in the future certain Series A Preferred Units in Lender (the “Series A Units”) pursuant to which Borrowers are entitled to receive preferred distributions from Lender. Borrowers and Lender agree that Lender will off set any amounts then due and payable hereunder against the distributions payable to Borrowers, or either of them, with respect to the Series A Units (whether now owned or hereafter acquired by Borrowers or by either Borrower) and will pay any excess amounts to Borrowers. Furthermore, to the extent of any amounts then due and owing, but unpaid, by Lender with respect to the Series A Units, Borrowers may, at Borrowers’ option and notwithstanding any assignment by Lender of Lender’s rights under this Note to any controlled affiliate of Lender, set off such amounts against amounts then due and owing under this Note.</w:t>
      </w:r>
    </w:p>
    <w:p>
      <w:pPr>
        <w:spacing w:after="0" w:line="185" w:lineRule="exact"/>
        <w:rPr>
          <w:rFonts w:ascii="Arial" w:cs="Arial" w:eastAsia="Arial" w:hAnsi="Arial"/>
          <w:sz w:val="17"/>
          <w:szCs w:val="17"/>
          <w:color w:val="auto"/>
        </w:rPr>
      </w:pPr>
    </w:p>
    <w:p>
      <w:pPr>
        <w:ind w:right="160" w:firstLine="656"/>
        <w:spacing w:after="0" w:line="286" w:lineRule="auto"/>
        <w:tabs>
          <w:tab w:leader="none" w:pos="1253"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Maturity Date</w:t>
      </w:r>
      <w:r>
        <w:rPr>
          <w:rFonts w:ascii="Arial" w:cs="Arial" w:eastAsia="Arial" w:hAnsi="Arial"/>
          <w:sz w:val="17"/>
          <w:szCs w:val="17"/>
          <w:color w:val="auto"/>
        </w:rPr>
        <w:t>. Unless extended by mutual agreement of Borrowers and Lender or accelerated pursuant to the provisions of this Note, Borrowers shall pay to Lender all principal and other amounts due and unpaid hereunder on June 25, 2017 (the “</w:t>
      </w:r>
      <w:r>
        <w:rPr>
          <w:rFonts w:ascii="Arial" w:cs="Arial" w:eastAsia="Arial" w:hAnsi="Arial"/>
          <w:sz w:val="17"/>
          <w:szCs w:val="17"/>
          <w:b w:val="1"/>
          <w:bCs w:val="1"/>
          <w:u w:val="single" w:color="auto"/>
          <w:color w:val="auto"/>
        </w:rPr>
        <w:t>Maturity Date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Unless otherwise specified in writing by Lender, all payments hereunder shall be paid to Lender at 2795 E. Cottonwood Parkway, #400, Salt Lake City, Utah 84121.</w:t>
      </w:r>
    </w:p>
    <w:p>
      <w:pPr>
        <w:spacing w:after="0" w:line="165" w:lineRule="exact"/>
        <w:rPr>
          <w:rFonts w:ascii="Arial" w:cs="Arial" w:eastAsia="Arial" w:hAnsi="Arial"/>
          <w:sz w:val="17"/>
          <w:szCs w:val="17"/>
          <w:color w:val="auto"/>
        </w:rPr>
      </w:pPr>
    </w:p>
    <w:p>
      <w:pPr>
        <w:ind w:left="1260" w:hanging="604"/>
        <w:spacing w:after="0"/>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Acceleration/Remedies</w:t>
      </w:r>
      <w:r>
        <w:rPr>
          <w:rFonts w:ascii="Arial" w:cs="Arial" w:eastAsia="Arial" w:hAnsi="Arial"/>
          <w:sz w:val="18"/>
          <w:szCs w:val="18"/>
          <w:color w:val="auto"/>
        </w:rPr>
        <w:t>. If:</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Borrowers fail to make payment of any amount due hereunder within ten (10) days after the same becomes due and payable; or</w:t>
      </w:r>
    </w:p>
    <w:p>
      <w:pPr>
        <w:spacing w:after="0" w:line="248" w:lineRule="exact"/>
        <w:rPr>
          <w:rFonts w:ascii="Arial" w:cs="Arial" w:eastAsia="Arial" w:hAnsi="Arial"/>
          <w:sz w:val="16"/>
          <w:szCs w:val="16"/>
          <w:color w:val="auto"/>
        </w:rPr>
      </w:pPr>
    </w:p>
    <w:p>
      <w:pPr>
        <w:ind w:left="660" w:right="120" w:firstLine="645"/>
        <w:spacing w:after="0" w:line="264" w:lineRule="auto"/>
        <w:tabs>
          <w:tab w:leader="none" w:pos="194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violation or breach of any provision of, or any event of default under or breach of any provision of this Note (other than that listed in Subsection 3(i) above, and if such violation or breach is not cured within ten (10) days after Lender’s notice to Borrowers, plus an additional thirty (30) days to cure such breach or default if: (a) such failure does not involve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 of a monetary obligation contained herein or in the Pledge (as defined below); (b) such failure cannot reasonably be cured within ten (10) days;</w:t>
      </w:r>
    </w:p>
    <w:p>
      <w:pPr>
        <w:spacing w:after="0" w:line="46" w:lineRule="exact"/>
        <w:rPr>
          <w:sz w:val="20"/>
          <w:szCs w:val="20"/>
          <w:color w:val="auto"/>
        </w:rPr>
      </w:pPr>
    </w:p>
    <w:p>
      <w:pPr>
        <w:ind w:left="660" w:right="200" w:hanging="4"/>
        <w:spacing w:after="0" w:line="261" w:lineRule="auto"/>
        <w:tabs>
          <w:tab w:leader="none" w:pos="8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Borrowers are diligently undertaking to cure such default, and (d) Borrowers have provided Lender with security reasonably satisfactory to Lender against any interruption of payment or impairment of collateral as a result of such continuing failure;</w:t>
      </w:r>
    </w:p>
    <w:p>
      <w:pPr>
        <w:spacing w:after="0" w:line="184" w:lineRule="exact"/>
        <w:rPr>
          <w:sz w:val="20"/>
          <w:szCs w:val="20"/>
          <w:color w:val="auto"/>
        </w:rPr>
      </w:pPr>
    </w:p>
    <w:p>
      <w:pPr>
        <w:ind w:left="1920" w:hanging="615"/>
        <w:spacing w:after="0"/>
        <w:tabs>
          <w:tab w:leader="none" w:pos="1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Either Borrower exercises such Borrower’s right under the Second Amended and Restated Agreement of Limited Partnership of</w:t>
      </w:r>
    </w:p>
    <w:p>
      <w:pPr>
        <w:spacing w:after="0" w:line="46"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Lender dated</w:t>
      </w:r>
      <w:r>
        <w:rPr>
          <w:sz w:val="20"/>
          <w:szCs w:val="20"/>
          <w:color w:val="auto"/>
        </w:rPr>
        <w:tab/>
      </w:r>
      <w:r>
        <w:rPr>
          <w:rFonts w:ascii="Arial" w:cs="Arial" w:eastAsia="Arial" w:hAnsi="Arial"/>
          <w:sz w:val="16"/>
          <w:szCs w:val="16"/>
          <w:color w:val="auto"/>
        </w:rPr>
        <w:t>, 2007 (the “</w:t>
      </w:r>
      <w:r>
        <w:rPr>
          <w:rFonts w:ascii="Arial" w:cs="Arial" w:eastAsia="Arial" w:hAnsi="Arial"/>
          <w:sz w:val="16"/>
          <w:szCs w:val="16"/>
          <w:b w:val="1"/>
          <w:bCs w:val="1"/>
          <w:color w:val="auto"/>
        </w:rPr>
        <w:t>Partnership Agreement</w:t>
      </w:r>
      <w:r>
        <w:rPr>
          <w:rFonts w:ascii="Arial" w:cs="Arial" w:eastAsia="Arial" w:hAnsi="Arial"/>
          <w:sz w:val="16"/>
          <w:szCs w:val="16"/>
          <w:color w:val="auto"/>
        </w:rPr>
        <w:t>”) to redeem any or all of the Series A Units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then the entire principal sum remaining unpaid, together with all interest thereon and any other sum payable under this Note, shall immediately, without notice or demand from Lender, become due and payable. In addition to the rights set forth in this Section 3, and in addition to any other rights and remedies available to Lender under applicable law, if any of the foregoing events shall occur, Lender shall have the right to seek recourse under the Pledge, including, without limitation, the right to execute on some or all of the Series A Units.</w:t>
      </w:r>
    </w:p>
    <w:p>
      <w:pPr>
        <w:spacing w:after="0" w:line="187" w:lineRule="exact"/>
        <w:rPr>
          <w:sz w:val="20"/>
          <w:szCs w:val="20"/>
          <w:color w:val="auto"/>
        </w:rPr>
      </w:pPr>
    </w:p>
    <w:p>
      <w:pPr>
        <w:ind w:right="20" w:firstLine="656"/>
        <w:spacing w:after="0" w:line="268" w:lineRule="auto"/>
        <w:tabs>
          <w:tab w:leader="none" w:pos="1253"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Limitation of Interest Rate</w:t>
      </w:r>
      <w:r>
        <w:rPr>
          <w:rFonts w:ascii="Arial" w:cs="Arial" w:eastAsia="Arial" w:hAnsi="Arial"/>
          <w:sz w:val="17"/>
          <w:szCs w:val="17"/>
          <w:color w:val="auto"/>
        </w:rPr>
        <w:t>. If any interest is contracted for, charged or received under this Note, or if all of the principal balance shall be prepaid, so that under any of such circumstances the amount of interest contracted for, charged or received under this Note on the principal balance shall exceed the maximum amount of interest permitted by applicable law, then in such event: (i) the provisions of this paragraph shall govern and control; (ii) neither Borrowers nor any other person or entity now or hereafter liable for the payment hereof shall be obligated to pay the amount of such interest to the extent that it is in excess of the maximum amount of interest permitted by applicable law; (iii) any such excess which may have been collected shall be either applied as a credit against the then unpaid principal balance or refunded to Borrowers, at the option of the Lender; and (iv) the effective rate of interest shall be automatically reduced to the maximum lawful contract rate allowed under applicable law as now or hereafter construed by the courts having jurisdiction thereof. It is further agreed that without limitation of the foregoing, all calculations of the rate of interest contracted for, charged or received under this Note which are made for the purpose of determining whether such rate exceeds the maximum lawful contract rate, shall be made, to the extent permitted by applicable law, by amortizing, prorating, allocating and spreading in equal parts during the period of the full stated term of the indebtedness evidenced hereby, all interest at any time contracted for, charged or received from Borrowers or otherwise by Lender in connection with such indebtedness; provided, however, that if any applicable state law is amended or the law of the United States of America preempts any applicable state law, so that it becomes lawful for the Lender to receive a greater interest per annum rate than is presently allowed, the Borrowers agree that, on the effective date of such amendment or preemption, as the case may be, the lawful maximum hereunder shall be increased to the maximum interest per annum rate allowed by the amended state law or the law of the United States of America.</w:t>
      </w:r>
    </w:p>
    <w:p>
      <w:pPr>
        <w:spacing w:after="0" w:line="183" w:lineRule="exact"/>
        <w:rPr>
          <w:rFonts w:ascii="Arial" w:cs="Arial" w:eastAsia="Arial" w:hAnsi="Arial"/>
          <w:sz w:val="17"/>
          <w:szCs w:val="17"/>
          <w:color w:val="auto"/>
        </w:rPr>
      </w:pPr>
    </w:p>
    <w:p>
      <w:pPr>
        <w:ind w:right="60" w:firstLine="656"/>
        <w:spacing w:after="0" w:line="293" w:lineRule="auto"/>
        <w:tabs>
          <w:tab w:leader="none" w:pos="125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Waiver/Consent</w:t>
      </w:r>
      <w:r>
        <w:rPr>
          <w:rFonts w:ascii="Arial" w:cs="Arial" w:eastAsia="Arial" w:hAnsi="Arial"/>
          <w:sz w:val="16"/>
          <w:szCs w:val="16"/>
          <w:color w:val="auto"/>
        </w:rPr>
        <w:t>. Borrowers, co-makers, sureties, endorsers and guarantors, and each of them (each such person, other than the Borrowers, an “</w:t>
      </w:r>
      <w:r>
        <w:rPr>
          <w:rFonts w:ascii="Arial" w:cs="Arial" w:eastAsia="Arial" w:hAnsi="Arial"/>
          <w:sz w:val="16"/>
          <w:szCs w:val="16"/>
          <w:b w:val="1"/>
          <w:bCs w:val="1"/>
          <w:u w:val="single" w:color="auto"/>
          <w:color w:val="auto"/>
        </w:rPr>
        <w:t>Obligor</w:t>
      </w:r>
      <w:r>
        <w:rPr>
          <w:rFonts w:ascii="Arial" w:cs="Arial" w:eastAsia="Arial" w:hAnsi="Arial"/>
          <w:sz w:val="16"/>
          <w:szCs w:val="16"/>
          <w:color w:val="auto"/>
        </w:rPr>
        <w:t>”) who may at any time become liable for the payment hereof jointly and severally consent hereby to any and all extensions of time, renewals, waivers or modifications of, and all substitutions or releases of, security or of any party primarily or secondarily liable on this Note or any term and provision thereof, which may be made, granted or consented to by Lender, and agree that suit may be brought and maintained against any one or more of them, at the election of Lender without joinder of any other as a party thereto, and that Lender shall not be required first to foreclose, proceed against, or exhaust any security hereof in order to enforce payment of this Note. Borrowers and each Obligor hereby waives presentment, demand for payment, notice of</w:t>
      </w:r>
    </w:p>
    <w:p>
      <w:pPr>
        <w:sectPr>
          <w:pgSz w:w="11900" w:h="16948" w:orient="portrait"/>
          <w:cols w:equalWidth="0" w:num="1">
            <w:col w:w="11420"/>
          </w:cols>
          <w:pgMar w:left="240" w:top="121" w:right="239" w:bottom="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nonpayment, protest, notice of protest, notice of dishonor, and all other notices in connection herewith, as well as filing of suit (if permitted by law) and diligence in collecting this Note or enforcing any of the security hereof, and agrees to pay (if permitted by law) all expenses incurred in collection, including Lender’s actual attorneys’ fees.</w:t>
      </w:r>
    </w:p>
    <w:p>
      <w:pPr>
        <w:spacing w:after="0" w:line="177" w:lineRule="exact"/>
        <w:rPr>
          <w:sz w:val="20"/>
          <w:szCs w:val="20"/>
          <w:color w:val="auto"/>
        </w:rPr>
      </w:pPr>
    </w:p>
    <w:p>
      <w:pPr>
        <w:ind w:right="240" w:firstLine="656"/>
        <w:spacing w:after="0" w:line="282" w:lineRule="auto"/>
        <w:tabs>
          <w:tab w:leader="none" w:pos="125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This Note is secured by a pledge (the “</w:t>
      </w:r>
      <w:r>
        <w:rPr>
          <w:rFonts w:ascii="Arial" w:cs="Arial" w:eastAsia="Arial" w:hAnsi="Arial"/>
          <w:sz w:val="18"/>
          <w:szCs w:val="18"/>
          <w:b w:val="1"/>
          <w:bCs w:val="1"/>
          <w:u w:val="single" w:color="auto"/>
          <w:color w:val="auto"/>
        </w:rPr>
        <w:t>Pledge</w:t>
      </w:r>
      <w:r>
        <w:rPr>
          <w:rFonts w:ascii="Arial" w:cs="Arial" w:eastAsia="Arial" w:hAnsi="Arial"/>
          <w:sz w:val="18"/>
          <w:szCs w:val="18"/>
          <w:color w:val="auto"/>
        </w:rPr>
        <w:t>”) by Borrowers of all Series A Units of Lender that that are presently owned or are hereafter acquired by either Borrower.</w:t>
      </w:r>
    </w:p>
    <w:p>
      <w:pPr>
        <w:spacing w:after="0" w:line="165" w:lineRule="exact"/>
        <w:rPr>
          <w:rFonts w:ascii="Arial" w:cs="Arial" w:eastAsia="Arial" w:hAnsi="Arial"/>
          <w:sz w:val="18"/>
          <w:szCs w:val="18"/>
          <w:color w:val="auto"/>
        </w:rPr>
      </w:pPr>
    </w:p>
    <w:p>
      <w:pPr>
        <w:ind w:right="40" w:firstLine="656"/>
        <w:spacing w:after="0" w:line="277" w:lineRule="auto"/>
        <w:tabs>
          <w:tab w:leader="none" w:pos="125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has been executed and delivered in and shall be construed in accordance with and governed by the laws of the State of Utah and of the United States of America.</w:t>
      </w:r>
    </w:p>
    <w:p>
      <w:pPr>
        <w:spacing w:after="0" w:line="170" w:lineRule="exact"/>
        <w:rPr>
          <w:rFonts w:ascii="Arial" w:cs="Arial" w:eastAsia="Arial" w:hAnsi="Arial"/>
          <w:sz w:val="18"/>
          <w:szCs w:val="18"/>
          <w:color w:val="auto"/>
        </w:rPr>
      </w:pPr>
    </w:p>
    <w:p>
      <w:pPr>
        <w:ind w:right="60" w:firstLine="656"/>
        <w:spacing w:after="0" w:line="277"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Note and the Pledge constitute the entire agreement of the Borrowers and Lender with respect to the subject matter hereof and supersede all prior understandings, agreements and representations, express or implied.</w:t>
      </w:r>
    </w:p>
    <w:p>
      <w:pPr>
        <w:spacing w:after="0" w:line="170" w:lineRule="exact"/>
        <w:rPr>
          <w:rFonts w:ascii="Arial" w:cs="Arial" w:eastAsia="Arial" w:hAnsi="Arial"/>
          <w:sz w:val="18"/>
          <w:szCs w:val="18"/>
          <w:color w:val="auto"/>
        </w:rPr>
      </w:pPr>
    </w:p>
    <w:p>
      <w:pPr>
        <w:ind w:right="120" w:firstLine="656"/>
        <w:spacing w:after="0" w:line="302" w:lineRule="auto"/>
        <w:tabs>
          <w:tab w:leader="none" w:pos="128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delay or failure or forbearance or other act of commission or omission on the part of Lender in exercising any rights under this Note on default by either Borrower including, without limitation, Lender’s right to accelerate, nor reinstatement of this Note by Lender after such exercise, shall operate as a waiver of Lender’s right to exercise such right or of any other right under this Note, or as a release of any Borrower, for the same default or any other default, except to the extent such waiver is in writing and signed by Lender and then only to the extent specifically set forth in writing.</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29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variation or modification of this Note, or any waiver of any of its provisions or conditions, shall be valid unless in writing and signed by an authorized representative of Borrowers and Lender. Any such waiver, consent, modification or change shall be effective only in the specific instance and for the specific purpose given.</w:t>
      </w:r>
    </w:p>
    <w:p>
      <w:pPr>
        <w:spacing w:after="0" w:line="181" w:lineRule="exact"/>
        <w:rPr>
          <w:rFonts w:ascii="Arial" w:cs="Arial" w:eastAsia="Arial" w:hAnsi="Arial"/>
          <w:sz w:val="18"/>
          <w:szCs w:val="18"/>
          <w:color w:val="auto"/>
        </w:rPr>
      </w:pPr>
    </w:p>
    <w:p>
      <w:pPr>
        <w:ind w:right="140" w:firstLine="656"/>
        <w:spacing w:after="0" w:line="264" w:lineRule="auto"/>
        <w:tabs>
          <w:tab w:leader="none" w:pos="128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delegate its duties or assign its rights under this Note without the other party’s prior, written consent; provided, however, that notwithstanding the provisions of this Paragraph 11, Lender shall have the right to assign its rights under this Note to any controlled affiliate of Lender without the consent of Borrowers.</w:t>
      </w:r>
    </w:p>
    <w:p>
      <w:pPr>
        <w:spacing w:after="0" w:line="181" w:lineRule="exact"/>
        <w:rPr>
          <w:rFonts w:ascii="Arial" w:cs="Arial" w:eastAsia="Arial" w:hAnsi="Arial"/>
          <w:sz w:val="18"/>
          <w:szCs w:val="18"/>
          <w:color w:val="auto"/>
        </w:rPr>
      </w:pPr>
    </w:p>
    <w:p>
      <w:pPr>
        <w:jc w:val="both"/>
        <w:ind w:right="60" w:firstLine="656"/>
        <w:spacing w:after="0" w:line="264" w:lineRule="auto"/>
        <w:tabs>
          <w:tab w:leader="none" w:pos="129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Subject to the immediately preceding paragraph, this Note and all of the covenants, promises and agreements contained in it shall be binding on and inure to the benefit of the respective legal and personal representatives, devises, heirs, successors and assigns of each Borrower and Lender.</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in this Note which is in conflict with any statute, law or applicable rule shall be deemed omitted, modified or altered to conform thereto. Should any provision of this Note be deemed invalid or unenforceable under applicable law, all of the remaining provisions shall remain unchanged and in full force and effect.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The obligations of Borrowers under this Note are joint and several.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BORROWERS:</w:t>
      </w:r>
    </w:p>
    <w:p>
      <w:pPr>
        <w:spacing w:after="0" w:line="200" w:lineRule="exact"/>
        <w:rPr>
          <w:sz w:val="20"/>
          <w:szCs w:val="20"/>
          <w:color w:val="auto"/>
        </w:rPr>
      </w:pPr>
    </w:p>
    <w:p>
      <w:pPr>
        <w:spacing w:after="0" w:line="24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H. James Knuppe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 James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Barbara Knuppe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Barbara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Units of Extra Space Storage LP)</w:t>
      </w:r>
    </w:p>
    <w:p>
      <w:pPr>
        <w:spacing w:after="0" w:line="207" w:lineRule="exact"/>
        <w:rPr>
          <w:sz w:val="20"/>
          <w:szCs w:val="20"/>
          <w:color w:val="auto"/>
        </w:rPr>
      </w:pPr>
    </w:p>
    <w:p>
      <w:pPr>
        <w:jc w:val="both"/>
        <w:ind w:right="240" w:firstLine="648"/>
        <w:spacing w:after="0" w:line="347" w:lineRule="auto"/>
        <w:rPr>
          <w:sz w:val="20"/>
          <w:szCs w:val="20"/>
          <w:color w:val="auto"/>
        </w:rPr>
      </w:pPr>
      <w:r>
        <w:rPr>
          <w:rFonts w:ascii="Arial" w:cs="Arial" w:eastAsia="Arial" w:hAnsi="Arial"/>
          <w:sz w:val="16"/>
          <w:szCs w:val="16"/>
          <w:color w:val="auto"/>
        </w:rPr>
        <w:t>THIS PLEDGE AGREEMENT, dated as of June 25, 2007 (“</w:t>
      </w:r>
      <w:r>
        <w:rPr>
          <w:rFonts w:ascii="Arial" w:cs="Arial" w:eastAsia="Arial" w:hAnsi="Arial"/>
          <w:sz w:val="16"/>
          <w:szCs w:val="16"/>
          <w:b w:val="1"/>
          <w:bCs w:val="1"/>
          <w:u w:val="single" w:color="auto"/>
          <w:color w:val="auto"/>
        </w:rPr>
        <w:t>Pledge Agreement</w:t>
      </w:r>
      <w:r>
        <w:rPr>
          <w:rFonts w:ascii="Arial" w:cs="Arial" w:eastAsia="Arial" w:hAnsi="Arial"/>
          <w:sz w:val="16"/>
          <w:szCs w:val="16"/>
          <w:color w:val="auto"/>
        </w:rPr>
        <w:t xml:space="preserve">”), is made by </w:t>
      </w:r>
      <w:r>
        <w:rPr>
          <w:rFonts w:ascii="Arial" w:cs="Arial" w:eastAsia="Arial" w:hAnsi="Arial"/>
          <w:sz w:val="16"/>
          <w:szCs w:val="16"/>
          <w:b w:val="1"/>
          <w:bCs w:val="1"/>
          <w:color w:val="auto"/>
        </w:rPr>
        <w:t>H. JAMES KNUPPE</w:t>
      </w:r>
      <w:r>
        <w:rPr>
          <w:rFonts w:ascii="Arial" w:cs="Arial" w:eastAsia="Arial" w:hAnsi="Arial"/>
          <w:sz w:val="16"/>
          <w:szCs w:val="16"/>
          <w:color w:val="auto"/>
        </w:rPr>
        <w:t xml:space="preserve"> and </w:t>
      </w:r>
      <w:r>
        <w:rPr>
          <w:rFonts w:ascii="Arial" w:cs="Arial" w:eastAsia="Arial" w:hAnsi="Arial"/>
          <w:sz w:val="16"/>
          <w:szCs w:val="16"/>
          <w:b w:val="1"/>
          <w:bCs w:val="1"/>
          <w:color w:val="auto"/>
        </w:rPr>
        <w:t>BARBARA KNUPPE</w:t>
      </w:r>
      <w:r>
        <w:rPr>
          <w:rFonts w:ascii="Arial" w:cs="Arial" w:eastAsia="Arial" w:hAnsi="Arial"/>
          <w:sz w:val="16"/>
          <w:szCs w:val="16"/>
          <w:color w:val="auto"/>
        </w:rPr>
        <w:t xml:space="preserve"> (each hereinafter a “</w:t>
      </w:r>
      <w:r>
        <w:rPr>
          <w:rFonts w:ascii="Arial" w:cs="Arial" w:eastAsia="Arial" w:hAnsi="Arial"/>
          <w:sz w:val="16"/>
          <w:szCs w:val="16"/>
          <w:b w:val="1"/>
          <w:bCs w:val="1"/>
          <w:u w:val="single" w:color="auto"/>
          <w:color w:val="auto"/>
        </w:rPr>
        <w:t>Pledgor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Pledgors</w:t>
      </w:r>
      <w:r>
        <w:rPr>
          <w:rFonts w:ascii="Arial" w:cs="Arial" w:eastAsia="Arial" w:hAnsi="Arial"/>
          <w:sz w:val="15"/>
          <w:szCs w:val="15"/>
          <w:color w:val="auto"/>
        </w:rPr>
        <w:t>”</w:t>
      </w:r>
      <w:r>
        <w:rPr>
          <w:rFonts w:ascii="Arial" w:cs="Arial" w:eastAsia="Arial" w:hAnsi="Arial"/>
          <w:sz w:val="16"/>
          <w:szCs w:val="16"/>
          <w:color w:val="auto"/>
        </w:rPr>
        <w:t xml:space="preserve">), in favor of </w:t>
      </w:r>
      <w:r>
        <w:rPr>
          <w:rFonts w:ascii="Arial" w:cs="Arial" w:eastAsia="Arial" w:hAnsi="Arial"/>
          <w:sz w:val="16"/>
          <w:szCs w:val="16"/>
          <w:b w:val="1"/>
          <w:bCs w:val="1"/>
          <w:color w:val="auto"/>
        </w:rPr>
        <w:t>EXTRA SPACE STORAGE LP</w:t>
      </w:r>
      <w:r>
        <w:rPr>
          <w:rFonts w:ascii="Arial" w:cs="Arial" w:eastAsia="Arial" w:hAnsi="Arial"/>
          <w:sz w:val="16"/>
          <w:szCs w:val="16"/>
          <w:color w:val="auto"/>
        </w:rPr>
        <w:t>, a Delaware limited partnership (“</w:t>
      </w:r>
      <w:r>
        <w:rPr>
          <w:rFonts w:ascii="Arial" w:cs="Arial" w:eastAsia="Arial" w:hAnsi="Arial"/>
          <w:sz w:val="16"/>
          <w:szCs w:val="16"/>
          <w:b w:val="1"/>
          <w:bCs w:val="1"/>
          <w:u w:val="single" w:color="auto"/>
          <w:color w:val="auto"/>
        </w:rPr>
        <w:t>Lender</w:t>
      </w:r>
      <w:r>
        <w:rPr>
          <w:rFonts w:ascii="Arial" w:cs="Arial" w:eastAsia="Arial" w:hAnsi="Arial"/>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380" w:hanging="724"/>
        <w:spacing w:after="0"/>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Lender has made a loan in the amount of $100,000,000.00 to Pledgors.</w:t>
      </w:r>
    </w:p>
    <w:p>
      <w:pPr>
        <w:spacing w:after="0" w:line="221" w:lineRule="exact"/>
        <w:rPr>
          <w:rFonts w:ascii="Arial" w:cs="Arial" w:eastAsia="Arial" w:hAnsi="Arial"/>
          <w:sz w:val="18"/>
          <w:szCs w:val="18"/>
          <w:color w:val="auto"/>
        </w:rPr>
      </w:pPr>
    </w:p>
    <w:p>
      <w:pPr>
        <w:ind w:left="1360" w:hanging="704"/>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Pledgors are the makers of a promissory note (the “</w:t>
      </w: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in favor of Lender and in the amount of $100,000,000.00.</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 induce the Lenders to accept the Note and to make the loan evidenced thereby, Pledgors have agreed to enter into this Pledge Agreement on the terms and conditions set forth below.</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NOW, THEREFORE, in consideration of the foregoing recitals and for other good and valuable consideration, the receipt and adequacy of which are hereby acknowledged, the parties hereto agree as follows:</w:t>
      </w:r>
    </w:p>
    <w:p>
      <w:pPr>
        <w:spacing w:after="0" w:line="16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terms used in this Pledge Agreement and not otherwise defined shall have the meanings set forth in the Note.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terms defined in this Pledge Agreement or in the Note, all terms defined in Article 8 or 9 of the Uniform Commercial Code of the State of Utah (the “</w:t>
      </w:r>
      <w:r>
        <w:rPr>
          <w:rFonts w:ascii="Arial" w:cs="Arial" w:eastAsia="Arial" w:hAnsi="Arial"/>
          <w:sz w:val="18"/>
          <w:szCs w:val="18"/>
          <w:b w:val="1"/>
          <w:bCs w:val="1"/>
          <w:u w:val="single" w:color="auto"/>
          <w:color w:val="auto"/>
        </w:rPr>
        <w:t>UCC</w:t>
      </w:r>
      <w:r>
        <w:rPr>
          <w:rFonts w:ascii="Arial" w:cs="Arial" w:eastAsia="Arial" w:hAnsi="Arial"/>
          <w:sz w:val="18"/>
          <w:szCs w:val="18"/>
          <w:color w:val="auto"/>
        </w:rPr>
        <w:t>”) that are used in this Pledge Agreement shall have the meanings specified in such Articles of the UCC.</w:t>
      </w:r>
    </w:p>
    <w:p>
      <w:pPr>
        <w:spacing w:after="0" w:line="17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u w:val="single" w:color="auto"/>
          <w:color w:val="auto"/>
        </w:rPr>
        <w:t>Pledge of Series A Units.</w:t>
      </w:r>
    </w:p>
    <w:p>
      <w:pPr>
        <w:spacing w:after="0" w:line="229" w:lineRule="exact"/>
        <w:rPr>
          <w:sz w:val="20"/>
          <w:szCs w:val="20"/>
          <w:color w:val="auto"/>
        </w:rPr>
      </w:pPr>
    </w:p>
    <w:p>
      <w:pPr>
        <w:ind w:right="260" w:firstLine="1305"/>
        <w:spacing w:after="0" w:line="264" w:lineRule="auto"/>
        <w:tabs>
          <w:tab w:leader="none" w:pos="199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Pledge</w:t>
      </w:r>
      <w:r>
        <w:rPr>
          <w:rFonts w:ascii="Arial" w:cs="Arial" w:eastAsia="Arial" w:hAnsi="Arial"/>
          <w:sz w:val="18"/>
          <w:szCs w:val="18"/>
          <w:color w:val="auto"/>
        </w:rPr>
        <w:t>. As collateral security for the prompt and complete payment and performance when due of the Note, each Pledgor does hereby pledge, assign and transfer unto Lender and does hereby grant to Lender a continuing security interest of first priority in all of the right, title and interest of such Pledgor in, to and under the following (the “</w:t>
      </w:r>
      <w:r>
        <w:rPr>
          <w:rFonts w:ascii="Arial" w:cs="Arial" w:eastAsia="Arial" w:hAnsi="Arial"/>
          <w:sz w:val="18"/>
          <w:szCs w:val="18"/>
          <w:b w:val="1"/>
          <w:bCs w:val="1"/>
          <w:u w:val="single" w:color="auto"/>
          <w:color w:val="auto"/>
        </w:rPr>
        <w:t>Pledged Collateral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0" w:firstLine="1953"/>
        <w:spacing w:after="0" w:line="255" w:lineRule="auto"/>
        <w:tabs>
          <w:tab w:leader="none" w:pos="265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of such Pledgor’s the certificated Series A Preferred Units (as defined in the Second Amended and Restated Partnership Agreement of the Lender in effect on the Closing Date, as amended from time to time (the “</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of Lender now owned or hereafter acquired by such Pledgor, and all voting rights and powers of ownership and management in the Lender, including, without limitation, those arising under the Partnership Agreement, and any options, warrants or other rights to purchase such units at any time owned by such Pledgor including, without limitation, all such units, options, warrants or other rights acquired by such Pledgor in the future (collectively, the “</w:t>
      </w:r>
      <w:r>
        <w:rPr>
          <w:rFonts w:ascii="Arial" w:cs="Arial" w:eastAsia="Arial" w:hAnsi="Arial"/>
          <w:sz w:val="18"/>
          <w:szCs w:val="18"/>
          <w:b w:val="1"/>
          <w:bCs w:val="1"/>
          <w:u w:val="single" w:color="auto"/>
          <w:color w:val="auto"/>
        </w:rPr>
        <w:t>Series A Units</w:t>
      </w:r>
      <w:r>
        <w:rPr>
          <w:rFonts w:ascii="Arial" w:cs="Arial" w:eastAsia="Arial" w:hAnsi="Arial"/>
          <w:sz w:val="18"/>
          <w:szCs w:val="18"/>
          <w:color w:val="auto"/>
        </w:rPr>
        <w:t>”), and all cash, securities, distributions and other property at any time in the future and from time to time received, receivable or otherwise distributed, in respect of or in exchange for any or all of Series A Units;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1953"/>
        <w:spacing w:after="0" w:line="264" w:lineRule="auto"/>
        <w:tabs>
          <w:tab w:leader="none" w:pos="26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all other claims of any kind or nature, and any instruments, certificates, chattel paper or other writings evidencing such claims, whether in contract or tort, and whether arising by operation of law, consensual agreement or otherwise, at any time acquired by such Pledgor in respect of any or all of the Pledged Collateral; and</w:t>
      </w:r>
    </w:p>
    <w:p>
      <w:pPr>
        <w:spacing w:after="0" w:line="181" w:lineRule="exact"/>
        <w:rPr>
          <w:rFonts w:ascii="Arial" w:cs="Arial" w:eastAsia="Arial" w:hAnsi="Arial"/>
          <w:sz w:val="18"/>
          <w:szCs w:val="18"/>
          <w:color w:val="auto"/>
        </w:rPr>
      </w:pPr>
    </w:p>
    <w:p>
      <w:pPr>
        <w:ind w:right="100" w:firstLine="1953"/>
        <w:spacing w:after="0" w:line="255" w:lineRule="auto"/>
        <w:tabs>
          <w:tab w:leader="none" w:pos="266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to the extent not included in the foregoing, all cash and non-cash proceeds, products, rents, revenues, issues, profits, royalties, income, benefits, additions, substitutions, replacements, and accessions of and to any and all of the foregoing, including without limitation: (A) all rights of such Pledgor to receive monies due and to become due under or pursuant to the Pledged Collateral; (B) all rights of such Pledgor to receive any indemnity, warranty or guarantee with respect to the Pledged Collateral; and (C) to the extent not included in the foregoing, all additions to and replacements of the Pledged Collateral and all proceeds receivable or received when any and all of the Pledged Collateral is sold, collected, exchanged or otherwise disposed whether voluntarily or involuntarily.</w:t>
      </w:r>
    </w:p>
    <w:p>
      <w:pPr>
        <w:spacing w:after="0" w:line="193" w:lineRule="exact"/>
        <w:rPr>
          <w:rFonts w:ascii="Arial" w:cs="Arial" w:eastAsia="Arial" w:hAnsi="Arial"/>
          <w:sz w:val="18"/>
          <w:szCs w:val="18"/>
          <w:color w:val="auto"/>
        </w:rPr>
      </w:pPr>
    </w:p>
    <w:p>
      <w:pPr>
        <w:ind w:firstLine="1305"/>
        <w:spacing w:after="0" w:line="259" w:lineRule="auto"/>
        <w:tabs>
          <w:tab w:leader="none" w:pos="2001"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Subsequently Acquired Borrower Interests</w:t>
      </w:r>
      <w:r>
        <w:rPr>
          <w:rFonts w:ascii="Arial" w:cs="Arial" w:eastAsia="Arial" w:hAnsi="Arial"/>
          <w:sz w:val="18"/>
          <w:szCs w:val="18"/>
          <w:color w:val="auto"/>
        </w:rPr>
        <w:t>. Any additional Series A Units at any time or from time to time after the date hereof acquired by either Pledgor (by purchase, distribution or otherwise) shall form part of the Pledged Collateral and each Pledgor will, at the request of Lender: (i) confirm the pledge of such Series A Units by such Pledgor; and (ii) promptly take all such other actions as Lender directs are necessary or desirable to perfect the security interest therein of Lender under any law (including, without limitation, under the UCC).</w:t>
      </w:r>
    </w:p>
    <w:p>
      <w:pPr>
        <w:spacing w:after="0" w:line="186" w:lineRule="exact"/>
        <w:rPr>
          <w:rFonts w:ascii="Arial" w:cs="Arial" w:eastAsia="Arial" w:hAnsi="Arial"/>
          <w:sz w:val="18"/>
          <w:szCs w:val="18"/>
          <w:color w:val="auto"/>
        </w:rPr>
      </w:pPr>
    </w:p>
    <w:p>
      <w:pPr>
        <w:ind w:right="60" w:firstLine="656"/>
        <w:spacing w:after="0" w:line="259" w:lineRule="auto"/>
        <w:tabs>
          <w:tab w:leader="none" w:pos="134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Off Set of Distributions from Series A Units</w:t>
      </w:r>
      <w:r>
        <w:rPr>
          <w:rFonts w:ascii="Arial" w:cs="Arial" w:eastAsia="Arial" w:hAnsi="Arial"/>
          <w:sz w:val="18"/>
          <w:szCs w:val="18"/>
          <w:color w:val="auto"/>
        </w:rPr>
        <w:t>. Pledgors are entitled to receive certain distributions from Lender with respect to the Series A Units. Each Pledgor hereby agrees that any and all distributions that such Pledgor is entitled to receive with respect to the Series A Units may be off set against any amounts that are then due and owing under the Note. The Lender agrees that it will pay any amounts of distributions in excess of the amounts then due and owing under the Note to Pledgors.</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Each Pledgor represent and warrant as of the date hereof as follows:</w:t>
      </w:r>
    </w:p>
    <w:p>
      <w:pPr>
        <w:spacing w:after="0" w:line="229" w:lineRule="exact"/>
        <w:rPr>
          <w:sz w:val="20"/>
          <w:szCs w:val="20"/>
          <w:color w:val="auto"/>
        </w:rPr>
      </w:pPr>
    </w:p>
    <w:p>
      <w:pPr>
        <w:ind w:left="2000" w:hanging="695"/>
        <w:spacing w:after="0"/>
        <w:tabs>
          <w:tab w:leader="none" w:pos="2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Pledgors is the sole owners of one hundred percent (100%) of the Series A Units set forth on Exhibit A hereto.</w:t>
      </w:r>
    </w:p>
    <w:p>
      <w:pPr>
        <w:spacing w:after="0" w:line="225" w:lineRule="exact"/>
        <w:rPr>
          <w:rFonts w:ascii="Arial" w:cs="Arial" w:eastAsia="Arial" w:hAnsi="Arial"/>
          <w:sz w:val="18"/>
          <w:szCs w:val="18"/>
          <w:color w:val="auto"/>
        </w:rPr>
      </w:pPr>
    </w:p>
    <w:p>
      <w:pPr>
        <w:ind w:right="640" w:firstLine="1305"/>
        <w:spacing w:after="0" w:line="277" w:lineRule="auto"/>
        <w:tabs>
          <w:tab w:leader="none" w:pos="20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This Pledge Agreement has been duly executed and delivered by each Pledgor and constitutes the legal, valid and binding obligation of each Pledgor enforceable in accordance with its terms.</w:t>
      </w:r>
    </w:p>
    <w:p>
      <w:pPr>
        <w:spacing w:after="0" w:line="170" w:lineRule="exact"/>
        <w:rPr>
          <w:rFonts w:ascii="Arial" w:cs="Arial" w:eastAsia="Arial" w:hAnsi="Arial"/>
          <w:sz w:val="18"/>
          <w:szCs w:val="18"/>
          <w:color w:val="auto"/>
        </w:rPr>
      </w:pPr>
    </w:p>
    <w:p>
      <w:pPr>
        <w:ind w:right="140" w:firstLine="1305"/>
        <w:spacing w:after="0" w:line="279" w:lineRule="auto"/>
        <w:tabs>
          <w:tab w:leader="none" w:pos="199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Neither the execution and delivery of this Pledge Agreement nor compliance with any of the terms and provisions hereof (i) conflicts with, breaches or contravenes any of either Pledgor’s contractual obligations; or (ii) results in the creation or imposition of any liens (other than those created hereunder) upon any of the property or assets of either Pledgor under, or is a condition or event that constitutes (or that, upon notice or lapse of time or both, would constitute) an event of default under with respect to any contractual obligations of either Pledgor.</w:t>
      </w:r>
    </w:p>
    <w:p>
      <w:pPr>
        <w:sectPr>
          <w:pgSz w:w="11900" w:h="16838" w:orient="portrait"/>
          <w:cols w:equalWidth="0" w:num="1">
            <w:col w:w="11420"/>
          </w:cols>
          <w:pgMar w:left="240" w:top="121" w:right="239" w:bottom="0" w:gutter="0" w:footer="0" w:header="0"/>
        </w:sectPr>
      </w:pPr>
    </w:p>
    <w:bookmarkStart w:id="46" w:name="page47"/>
    <w:bookmarkEnd w:id="46"/>
    <w:p>
      <w:pPr>
        <w:ind w:right="220" w:firstLine="1305"/>
        <w:spacing w:after="0" w:line="277" w:lineRule="auto"/>
        <w:tabs>
          <w:tab w:leader="none" w:pos="20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consent of any other person and no authorization, approval, or other action by, and no notice to or filing with, any person or governmental authority is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8"/>
        <w:spacing w:after="0" w:line="257" w:lineRule="auto"/>
        <w:tabs>
          <w:tab w:leader="none" w:pos="2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pledge of the Pledged Collateral by either Pledgor pursuant to this Pledge Agreement; (ii) for the execution, delivery or performance of this Pledge Agreement by either Pledgor; (iii) for the perfection or maintenance of the security interest created hereby (including the first priority nature of such security interest); or (iv) for the exercise by Lender of the voting or other rights provided for in this Pledge Agreement or the remedies in respect of the Pledged Collateral pursuant to this Pledge Agreement or as provided by any law, except those which have been duly obtained or made and, in the case of the maintenance of perfection, the filing of continuation statements under the UCC.</w:t>
      </w:r>
    </w:p>
    <w:p>
      <w:pPr>
        <w:spacing w:after="0" w:line="188" w:lineRule="exact"/>
        <w:rPr>
          <w:rFonts w:ascii="Arial" w:cs="Arial" w:eastAsia="Arial" w:hAnsi="Arial"/>
          <w:sz w:val="18"/>
          <w:szCs w:val="18"/>
          <w:color w:val="auto"/>
        </w:rPr>
      </w:pPr>
    </w:p>
    <w:p>
      <w:pPr>
        <w:ind w:right="80" w:firstLine="1305"/>
        <w:spacing w:after="0" w:line="259" w:lineRule="auto"/>
        <w:tabs>
          <w:tab w:leader="none" w:pos="19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Pledgors are the legal and beneficial owners of and have good title to the Pledged Collateral, free and clear of all liens, except the security interest created by this Pledge Agreement. No effective financing statement or other instrument similar in effect covering all or any part of the Pledged Collateral and made, consented to or known by either Pledgor is on file in any recording office, except such as may have been filed in favor of the Lender relating to this Pledge Agreement.</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Pledgor has the unconditional right to pledge the Series A Units as herein provided.</w:t>
      </w:r>
    </w:p>
    <w:p>
      <w:pPr>
        <w:spacing w:after="0" w:line="225" w:lineRule="exact"/>
        <w:rPr>
          <w:rFonts w:ascii="Arial" w:cs="Arial" w:eastAsia="Arial" w:hAnsi="Arial"/>
          <w:sz w:val="18"/>
          <w:szCs w:val="18"/>
          <w:color w:val="auto"/>
        </w:rPr>
      </w:pPr>
    </w:p>
    <w:p>
      <w:pPr>
        <w:jc w:val="both"/>
        <w:ind w:right="40" w:firstLine="1305"/>
        <w:spacing w:after="0" w:line="259" w:lineRule="auto"/>
        <w:tabs>
          <w:tab w:leader="none" w:pos="200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Neither Pledgor is a party to any outstanding agreement, option or contract to sell all or any portion of the Pledged Collateral. No part of the Pledged Collateral is subject to the terms of any agreement restricting the sale or transfer of such Pledged Collateral, except for (1) the Partnership Agreement and (2) that certain Contribution Agreement dated June 15, 2007, between and among certain affiliates of Pledgors, Lender, and certain other parties.</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Pledgor agrees that, until such time as this Pledge Agreement shall cease to be in full force and effect according</w:t>
      </w:r>
      <w:r>
        <w:rPr>
          <w:rFonts w:ascii="Arial" w:cs="Arial" w:eastAsia="Arial" w:hAnsi="Arial"/>
          <w:sz w:val="18"/>
          <w:szCs w:val="18"/>
          <w:b w:val="1"/>
          <w:bCs w:val="1"/>
          <w:color w:val="auto"/>
        </w:rPr>
        <w:t xml:space="preserve"> </w:t>
      </w:r>
      <w:r>
        <w:rPr>
          <w:rFonts w:ascii="Arial" w:cs="Arial" w:eastAsia="Arial" w:hAnsi="Arial"/>
          <w:sz w:val="18"/>
          <w:szCs w:val="18"/>
          <w:color w:val="auto"/>
        </w:rPr>
        <w:t>to its terms:</w:t>
      </w:r>
    </w:p>
    <w:p>
      <w:pPr>
        <w:spacing w:after="0" w:line="166" w:lineRule="exact"/>
        <w:rPr>
          <w:sz w:val="20"/>
          <w:szCs w:val="20"/>
          <w:color w:val="auto"/>
        </w:rPr>
      </w:pPr>
    </w:p>
    <w:p>
      <w:pPr>
        <w:ind w:right="120" w:firstLine="1305"/>
        <w:spacing w:after="0" w:line="264"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Defense of Collateral</w:t>
      </w:r>
      <w:r>
        <w:rPr>
          <w:rFonts w:ascii="Arial" w:cs="Arial" w:eastAsia="Arial" w:hAnsi="Arial"/>
          <w:sz w:val="18"/>
          <w:szCs w:val="18"/>
          <w:color w:val="auto"/>
        </w:rPr>
        <w:t>. Each Pledgor will defend the Pledged Collateral against all claims and demands of all persons (other than Lender) claiming an interest in any of the Pledged Collateral. Each Pledgor will discharge or cause to be discharged all liens on any or all of the Pledged Collateral, except for the security interest under this Pledge Agreement.</w:t>
      </w:r>
    </w:p>
    <w:p>
      <w:pPr>
        <w:spacing w:after="0" w:line="181"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Disposition of Collateral</w:t>
      </w:r>
      <w:r>
        <w:rPr>
          <w:rFonts w:ascii="Arial" w:cs="Arial" w:eastAsia="Arial" w:hAnsi="Arial"/>
          <w:sz w:val="18"/>
          <w:szCs w:val="18"/>
          <w:color w:val="auto"/>
        </w:rPr>
        <w:t>. Prior to the payment in full of the Note, neither Pledgor will (i) sell, assign (by operation of law or otherwise) or otherwise dispose of any of the Pledged Collateral or (ii) create or suffer to exist any lien upon or with respect to any of the Pledged Collateral, except for the pledge, hypothecation and security interest created by this Pledge Agreement.</w:t>
      </w:r>
    </w:p>
    <w:p>
      <w:pPr>
        <w:spacing w:after="0" w:line="181" w:lineRule="exact"/>
        <w:rPr>
          <w:rFonts w:ascii="Arial" w:cs="Arial" w:eastAsia="Arial" w:hAnsi="Arial"/>
          <w:sz w:val="18"/>
          <w:szCs w:val="18"/>
          <w:color w:val="auto"/>
        </w:rPr>
      </w:pPr>
    </w:p>
    <w:p>
      <w:pPr>
        <w:ind w:right="700" w:firstLine="1305"/>
        <w:spacing w:after="0" w:line="277"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Each Pledgor shall exercise any and all management, voting and other consensual rights pertaining to the Partnership Agreement in a manner consistent with the terms of this Pledge Agreement and the Note.</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Continued Perfection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Each Pledgor agrees that such Pledgor shall immediately deliver to Lender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certificates evidencing the Pledged Collateral. The certificates evidencing the Series A Units shall be accompanied by, as appropriate, (i) if applicable and requested by Lender, undated, duly executed stock powers or similar instrument endorsed by each Pledgor either in blank or to Lender in a manner which Lender deems satisfactory, and/or (ii) such other instruments or documents as Lender shall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reasonably request. Each Pledgor agrees that it will not take any actions or fail to perform any of its duties or obligations under this Pledge Agreement that would cause Lender to cease to have a first priority perfected security interest of the Pledged Collateral. Each Pledgor agrees, from time to time and at its expense, to promptly execute and deliver all further instruments and documents, and take all further action, that may be necessary, or that Lender may reasonably request in order to perfect and protect the pledge, hypothecation and security interest granted or purported to be granted hereby or to enable Lender to exercise and enforce its rights and remedies hereunder with respect to the Pledged Collateral. Pledgor hereby further authorizes Lender to file one or more financing or continuation statements, and amendments thereto, relative to all or any part of the Pledged Collateral.</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Obligations of Pledgor and Rights of Lender.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herein to the contrary notwithstanding: (a) the exercise by Lender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rights hereunder shall not release either Pledgor from any of such Pledgor’s duties or obligations under the Partnership Agreement; (b) Lender shall have no obligation or liability under the Partnership Agreement or otherwise by reason of this Pledge Agreement, nor shall Lender be obligated to perform any of the obligations or duties of a Pledgor thereunder or to take any action to collect or enforce any claim assigned hereunder; and (c) subject only to any express provision hereof to the contrary, Pledgors shall be entitled to exercise all voting and other rights and to enjoy all benefits attaching to the Pledged Collateral unless and to the extent Lender has, after an Event of Default has occurred and while it is continuing, given notice that such entitlements have ceased and become vested in Lender. If either Pledgor fails to perform any of such Pledgor’s obligations under the Partnership Agreement, Lender may itself, at such time as an Event of Default shall have occurred and be continuing, perform, or cause performance of, such agreement, and the expenses of Lender incurred in connection therewith shall be payable by Pledgors under this Pledge Agreement. The powers conferred on Lender hereunder are solely to protect its interest in the Pledged Collateral and shall not impose any duty upon it to exercise any such powers. Except for the safe custody of any Pledged Collateral in its possession and the accounting for moneys actually received by it hereunder, Lender shall have no duty as to any Pledged Collateral or as to the taking of any necessary steps to preserve rights against prior parties or any other rights pertaining to any Pledged Collateral and no such duties shall be implied as arising hereunder.</w:t>
      </w:r>
    </w:p>
    <w:p>
      <w:pPr>
        <w:spacing w:after="0" w:line="177"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after the occurrence of a default hereunder, or under the Note (an “</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and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Event of Default is not cured, Lender has the right to do any or all of the following:</w:t>
      </w:r>
    </w:p>
    <w:p>
      <w:pPr>
        <w:sectPr>
          <w:pgSz w:w="11900" w:h="16838" w:orient="portrait"/>
          <w:cols w:equalWidth="0" w:num="1">
            <w:col w:w="11400"/>
          </w:cols>
          <w:pgMar w:left="240" w:top="125" w:right="259" w:bottom="135" w:gutter="0" w:footer="0" w:header="0"/>
        </w:sectPr>
      </w:pPr>
    </w:p>
    <w:bookmarkStart w:id="47" w:name="page48"/>
    <w:bookmarkEnd w:id="47"/>
    <w:p>
      <w:pPr>
        <w:ind w:right="200" w:firstLine="1305"/>
        <w:spacing w:after="0" w:line="277"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Lender may exercise any and all rights and remedies of each Pledgor under or in connection with the Partnership Agreement, or otherwise in respect of the Pledged Collateral, including, without limitation, the right to vote under the Partnership Agreement.</w:t>
      </w:r>
    </w:p>
    <w:p>
      <w:pPr>
        <w:spacing w:after="0" w:line="170" w:lineRule="exact"/>
        <w:rPr>
          <w:rFonts w:ascii="Arial" w:cs="Arial" w:eastAsia="Arial" w:hAnsi="Arial"/>
          <w:sz w:val="18"/>
          <w:szCs w:val="18"/>
          <w:color w:val="auto"/>
        </w:rPr>
      </w:pPr>
    </w:p>
    <w:p>
      <w:pPr>
        <w:ind w:right="80" w:firstLine="1305"/>
        <w:spacing w:after="0" w:line="255" w:lineRule="auto"/>
        <w:tabs>
          <w:tab w:leader="none" w:pos="20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receipt of written notice of such Event of Default from Lender, all rights of each Pledgor to receive the distributions from the Series A Units such Pledgor would otherwise be authorized to receive and retain, shall cease for so long as such Event of Default is continuing, and all such rights shall thereupon become vested in Lender who shall thereupon have the sole right to receive and hold as Pledged Collateral such distributions. All distributions which are received by either Pledgor contrary to the provisions of this Section shall be received in trust for the benefit of Lender as security for the Note, shall be segregated from other funds of such Pledgor, and shall be forthwith paid over to Lender as Pledged Collateral in the same form as so received (with any necessary endorsement).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1305"/>
        <w:spacing w:after="0" w:line="259" w:lineRule="auto"/>
        <w:tabs>
          <w:tab w:leader="none" w:pos="19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Lender may: (i) file any claims, commence, maintain, settle or discontinue any actions, suits or other proceedings deemed by Lender in its sole discretion necessary or advisable for the purpose of collecting upon the Pledged Collateral; and (ii) execute any instrument and do all other things deemed necessary and proper by Lender in its sole discretion to protect and preserve and permit Lender to realize upon the Pledged Collateral and the other rights contemplated thereby.</w:t>
      </w:r>
    </w:p>
    <w:p>
      <w:pPr>
        <w:spacing w:after="0" w:line="186" w:lineRule="exact"/>
        <w:rPr>
          <w:rFonts w:ascii="Arial" w:cs="Arial" w:eastAsia="Arial" w:hAnsi="Arial"/>
          <w:sz w:val="18"/>
          <w:szCs w:val="18"/>
          <w:color w:val="auto"/>
        </w:rPr>
      </w:pPr>
    </w:p>
    <w:p>
      <w:pPr>
        <w:ind w:right="40" w:firstLine="1305"/>
        <w:spacing w:after="0" w:line="271" w:lineRule="auto"/>
        <w:tabs>
          <w:tab w:leader="none" w:pos="200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Lender may exercise in respect of the Pledged Collateral, in addition to other rights and remedies provided for herein or otherwise available to it, all the rights and remedies of a creditor upon default under the UCC, and may also, without notice except as specified below, sell the Pledged Collateral or any part thereof at public or private sale, at any exchange, broker’s board or at Lender’s offices or elsewhere, for cash, on credit or for future delivery, and upon such other terms as Lender may deem commercially reasonable. Each Pledgor agrees that, to the extent notice of sale shall be required by law, at least ten (10) days’ notice to Pledgors of the time and place of any public sale or the time after which any private sale is to be made shall (subject to applicable law) constitute reasonable notification. Lender shall not be obligated to make any sale of Pledged Collateral regardless of notice of sale having been given. Lender may adjourn any public or private sale from time to time by announcement at the time and place fixed therefor, and such sale may, without further notice, be made at the time and place to which it was so adjourned.</w:t>
      </w:r>
    </w:p>
    <w:p>
      <w:pPr>
        <w:spacing w:after="0" w:line="178" w:lineRule="exact"/>
        <w:rPr>
          <w:rFonts w:ascii="Arial" w:cs="Arial" w:eastAsia="Arial" w:hAnsi="Arial"/>
          <w:sz w:val="17"/>
          <w:szCs w:val="17"/>
          <w:color w:val="auto"/>
        </w:rPr>
      </w:pPr>
    </w:p>
    <w:p>
      <w:pPr>
        <w:ind w:firstLine="1305"/>
        <w:spacing w:after="0" w:line="270" w:lineRule="auto"/>
        <w:tabs>
          <w:tab w:leader="none" w:pos="199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Each Pledgor recognizes that in light of restrictions and limitations under federal and state securities laws, Lender may, with respect to any sale of Pledged Collateral, and to the extent commercially reasonable, limit the purchasers to those who will agree to acquire Pledged Collateral for their own account, for investment, and not with a view to the distribution or resale thereof. Each Pledgor acknowledges and agrees that Lender, in a commercially reasonable manner: (i) may proceed to make a sale without filing a registration statement for the purpose of registering the Pledged Collateral under the federal or state securities laws; and (ii) may approach and negotiate with any one or more possible purchasers to effect such sale. Each Pledgor acknowledges and agrees that any such sale may result in prices less favorable to the seller than if such sale were a public sale without such restrictions. Lender shall incur no responsibility or liability for selling all or any part of the Pledged Collateral at a price that Lender, in a commercially reasonable manner, may in good faith deem reasonable under the circumstances. The provisions of this section will apply notwithstanding the existence of a public or private market upon which the quotations or sales prices may exceed substantially the price at which Lender sells.</w:t>
      </w:r>
    </w:p>
    <w:p>
      <w:pPr>
        <w:spacing w:after="0" w:line="181" w:lineRule="exact"/>
        <w:rPr>
          <w:rFonts w:ascii="Arial" w:cs="Arial" w:eastAsia="Arial" w:hAnsi="Arial"/>
          <w:sz w:val="17"/>
          <w:szCs w:val="17"/>
          <w:color w:val="auto"/>
        </w:rPr>
      </w:pPr>
    </w:p>
    <w:p>
      <w:pPr>
        <w:ind w:right="40" w:firstLine="1305"/>
        <w:spacing w:after="0" w:line="257" w:lineRule="auto"/>
        <w:tabs>
          <w:tab w:leader="none" w:pos="20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payments made under or in respect of the Pledged Collateral and received by Lender as Pledged Collateral in accordance with the provisions hereof may, in Lender’s sole discretion, be held as Pledged Collateral for, and then or as soon thereafter as is reasonably practicable, applied in whole or in part for the benefit of Lender, against all or any part of the Note in accordance with the terms of the Note. Any surplus of such payments held by Lender and remaining after payment in full of all the Note shall be paid over to Pledgors or to whomsoever else may be lawfully entitled to receive such surplus.</w:t>
      </w:r>
    </w:p>
    <w:p>
      <w:pPr>
        <w:spacing w:after="0" w:line="184" w:lineRule="exact"/>
        <w:rPr>
          <w:sz w:val="20"/>
          <w:szCs w:val="20"/>
          <w:color w:val="auto"/>
        </w:rPr>
      </w:pPr>
    </w:p>
    <w:p>
      <w:pPr>
        <w:ind w:right="140" w:firstLine="648"/>
        <w:spacing w:after="0" w:line="314"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Lender Appointed Attorney-in-Fact.</w:t>
      </w:r>
      <w:r>
        <w:rPr>
          <w:rFonts w:ascii="Arial" w:cs="Arial" w:eastAsia="Arial" w:hAnsi="Arial"/>
          <w:sz w:val="16"/>
          <w:szCs w:val="16"/>
          <w:b w:val="1"/>
          <w:bCs w:val="1"/>
          <w:color w:val="auto"/>
        </w:rPr>
        <w:t xml:space="preserve"> </w:t>
      </w:r>
      <w:r>
        <w:rPr>
          <w:rFonts w:ascii="Arial" w:cs="Arial" w:eastAsia="Arial" w:hAnsi="Arial"/>
          <w:sz w:val="16"/>
          <w:szCs w:val="16"/>
          <w:color w:val="auto"/>
        </w:rPr>
        <w:t>Each Pledgor hereby appoints Lender as such Pledgor’s attorney-in-fact, with full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 the place and stead of such Pledgor and in the name of such Pledgor or otherwise, from time to time in Lender’s sole discretion at any time after the occurrence and during the continuance of an Event of Default to take any and all actions authorized or permitted to be taken by Lender under this Pledge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Agreement or by law, including but not limited to the power to take any action and to execute any instrument which Lender, acting reasonably, may deem necessary or advisable to accomplish the purposes of this Pledge Agreement, including, without limitation, to ask for, demand, collect, sue for, recover, compound, receive and give receipts for moneys due and to become due under or in connection with the Pledged Collateral, to receive, endorse, and collect any drafts or other instruments, documents and chattel paper in connection therewith, and to file any claims or take any action or institute any proceedings which Lender may deem to be necessary or desirable for the collection thereof. Such appointment of Lender as Pledgor’s attorney-in-fact is coupled with an interest and is irrevocable.</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u w:val="single" w:color="auto"/>
          <w:color w:val="auto"/>
        </w:rPr>
        <w:t>Security Interest Absolute.</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Pledgors under this Pledge Agreement are joint and several.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Lender under this Pledge Agreement are independent of any guaranties, and a separate action or actions may be brought and prosecuted against Lender to enforce this Pledge Agreement, irrespective of whether any action is brought against a guarantor of the Note, or whether another party or any guarantor of the Note is joined in any such action or actions. All rights of Lender and the pledge, hypothecation and security interest hereunder, and all obligations of Pledgor hereunder, shall be absolute and unconditional, to the extent permitted by applicable law, irrespective of:</w:t>
      </w:r>
    </w:p>
    <w:p>
      <w:pPr>
        <w:spacing w:after="0" w:line="172" w:lineRule="exact"/>
        <w:rPr>
          <w:sz w:val="20"/>
          <w:szCs w:val="20"/>
          <w:color w:val="auto"/>
        </w:rPr>
      </w:pPr>
    </w:p>
    <w:p>
      <w:pPr>
        <w:ind w:left="2000" w:hanging="695"/>
        <w:spacing w:after="0"/>
        <w:tabs>
          <w:tab w:leader="none" w:pos="2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lack of validity or enforceability of any other agreement or instrument relating thereto;</w:t>
      </w:r>
    </w:p>
    <w:p>
      <w:pPr>
        <w:spacing w:after="0" w:line="225" w:lineRule="exact"/>
        <w:rPr>
          <w:rFonts w:ascii="Arial" w:cs="Arial" w:eastAsia="Arial" w:hAnsi="Arial"/>
          <w:sz w:val="18"/>
          <w:szCs w:val="18"/>
          <w:color w:val="auto"/>
        </w:rPr>
      </w:pPr>
    </w:p>
    <w:p>
      <w:pPr>
        <w:ind w:right="140" w:firstLine="1305"/>
        <w:spacing w:after="0" w:line="277" w:lineRule="auto"/>
        <w:tabs>
          <w:tab w:leader="none" w:pos="20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Note, or any other amendment or waiver of or any consent to any departure from the Note;</w:t>
      </w:r>
    </w:p>
    <w:p>
      <w:pPr>
        <w:spacing w:after="0" w:line="170" w:lineRule="exact"/>
        <w:rPr>
          <w:rFonts w:ascii="Arial" w:cs="Arial" w:eastAsia="Arial" w:hAnsi="Arial"/>
          <w:sz w:val="18"/>
          <w:szCs w:val="18"/>
          <w:color w:val="auto"/>
        </w:rPr>
      </w:pPr>
    </w:p>
    <w:p>
      <w:pPr>
        <w:ind w:right="500" w:firstLine="1305"/>
        <w:spacing w:after="0" w:line="277" w:lineRule="auto"/>
        <w:tabs>
          <w:tab w:leader="none" w:pos="19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other collateral, or any taking, release or amendment or waiver of, or consent to departure from any guaranty, for the Note;</w:t>
      </w:r>
    </w:p>
    <w:p>
      <w:pPr>
        <w:sectPr>
          <w:pgSz w:w="11900" w:h="16838" w:orient="portrait"/>
          <w:cols w:equalWidth="0" w:num="1">
            <w:col w:w="11420"/>
          </w:cols>
          <w:pgMar w:left="240" w:top="125" w:right="239" w:bottom="0" w:gutter="0" w:footer="0" w:header="0"/>
        </w:sectPr>
      </w:pPr>
    </w:p>
    <w:bookmarkStart w:id="48" w:name="page49"/>
    <w:bookmarkEnd w:id="48"/>
    <w:p>
      <w:pPr>
        <w:ind w:right="20" w:firstLine="1305"/>
        <w:spacing w:after="0" w:line="277" w:lineRule="auto"/>
        <w:tabs>
          <w:tab w:leader="none" w:pos="20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manner of application of the Pledged Collateral, or proceeds thereof, to the Note, or any manner of sale or other disposition of any other collateral for the Note or any other assets of Pledgor; or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other circumstances which might otherwise constitute a defense available to, or a discharge of, Pledgor or a third party grantor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security interest.</w:t>
      </w:r>
    </w:p>
    <w:p>
      <w:pPr>
        <w:spacing w:after="0" w:line="207"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 or waiver of any provision of this Pledge Agreement nor consent to any departure by any Pledgor</w:t>
      </w:r>
      <w:r>
        <w:rPr>
          <w:rFonts w:ascii="Arial" w:cs="Arial" w:eastAsia="Arial" w:hAnsi="Arial"/>
          <w:sz w:val="18"/>
          <w:szCs w:val="18"/>
          <w:b w:val="1"/>
          <w:bCs w:val="1"/>
          <w:color w:val="auto"/>
        </w:rPr>
        <w:t xml:space="preserve"> </w:t>
      </w:r>
      <w:r>
        <w:rPr>
          <w:rFonts w:ascii="Arial" w:cs="Arial" w:eastAsia="Arial" w:hAnsi="Arial"/>
          <w:sz w:val="18"/>
          <w:szCs w:val="18"/>
          <w:color w:val="auto"/>
        </w:rPr>
        <w:t>therefrom shall in any event be effective unless the same shall be in writing and signed by such Pledgor and Lender, and then such waiver or consent shall be effective only in the specific instance and for the specific purpose for which given.</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Addresses for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to be given pursuant to the provisions of this Pledge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 writing and shall be effective upon the earlier of: (i) personal delivery, or (ii) three (3) business days after deposit in the United States mail by certified mail, postage prepaid, and properly addressed to the Party to be notified at the address set forth below or at such other address as such party may designate by ten (10) days’ advance written notice to the other Party 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To the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To Lender:</w:t>
      </w:r>
    </w:p>
    <w:p>
      <w:pPr>
        <w:spacing w:after="0" w:line="200" w:lineRule="exact"/>
        <w:rPr>
          <w:sz w:val="20"/>
          <w:szCs w:val="20"/>
          <w:color w:val="auto"/>
        </w:rPr>
      </w:pPr>
    </w:p>
    <w:p>
      <w:pPr>
        <w:sectPr>
          <w:pgSz w:w="11900" w:h="16838" w:orient="portrait"/>
          <w:cols w:equalWidth="0" w:num="2">
            <w:col w:w="5000" w:space="720"/>
            <w:col w:w="570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H. James and Barbara Knuppe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Extra Space Storage 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2795 E. Cottonwood Parkway, #400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Charles L. Allen</w:t>
      </w:r>
    </w:p>
    <w:p>
      <w:pPr>
        <w:spacing w:after="0" w:line="200" w:lineRule="exact"/>
        <w:rPr>
          <w:sz w:val="20"/>
          <w:szCs w:val="20"/>
          <w:color w:val="auto"/>
        </w:rPr>
      </w:pPr>
    </w:p>
    <w:p>
      <w:pPr>
        <w:sectPr>
          <w:pgSz w:w="11900" w:h="16838" w:orient="portrait"/>
          <w:cols w:equalWidth="0" w:num="2">
            <w:col w:w="5000" w:space="720"/>
            <w:col w:w="5700"/>
          </w:cols>
          <w:pgMar w:left="240" w:top="125" w:right="239" w:bottom="0" w:gutter="0" w:footer="0" w:header="0"/>
          <w:type w:val="continuous"/>
        </w:sectPr>
      </w:pPr>
    </w:p>
    <w:p>
      <w:pPr>
        <w:spacing w:after="0" w:line="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Continuing Assignment/Pledge and Security Interest; Release</w:t>
      </w:r>
      <w:r>
        <w:rPr>
          <w:rFonts w:ascii="Arial" w:cs="Arial" w:eastAsia="Arial" w:hAnsi="Arial"/>
          <w:sz w:val="17"/>
          <w:szCs w:val="17"/>
          <w:color w:val="auto"/>
        </w:rPr>
        <w:t>. This Pledge Agreement shall create a continuing pledge,</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hypothecation of and security interest in the Pledged Collateral and shall: (a) remain in full force and effect until the irrevocable payment in full of the Note; (b) be binding upon Pledgors, their respective heirs, successors and assigns, provided, that neither Pledgor may transfer or assign any or all of such Pledgor’s rights or obligations hereunder without the prior written consent of Lender; and (c) inure to the benefit of, and be enforceable by, Lender and its respective successors, transferees and assigns. Without limiting the generality of the foregoing clause (c), Lender may assign or otherwise transfer all or any portion of its rights in the Note, and such assignee shall thereupon become vested with all the benefits in respect thereof granted to Lender herein or otherwise. Except as provided otherwise in Section 17 below, this Pledge Agreement and the security interest granted hereunder shall terminate on the date on the Note has been satisfied in full and all obligations under the Note and this Pledge Agreement have been performed. Lender shall thereupon reassign and redeliver (or cause to be reassigned and redelivered) to Pledgors or such person(s) as Pledgors shall designate in writing, against due execution and delivery by Pledgors or such person(s) of a receipt therefor satisfactory to Lender in form and substance, the certificates representing the Series A Units (if any) as are then held by Lender, together with appropriate instruments of reassignment and release. Any such reassignment shall be without recourse to or warranty by Lender and at the expense of Pledgors.</w:t>
      </w:r>
    </w:p>
    <w:p>
      <w:pPr>
        <w:spacing w:after="0" w:line="18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representations and warranties shall survive the execution and delivery of this Agreement and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Pledged Collateral to the Lender.</w:t>
      </w:r>
    </w:p>
    <w:p>
      <w:pPr>
        <w:spacing w:after="0" w:line="162"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hereof that is judged prohibited or unenforceable shall, be ineffective to the extent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prohibition or unenforceability without invalidating the remaining provisions hereof.</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herein are included for convenience of reference only and shall be ignored in the construction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hereof.</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 xml:space="preserve">Governing Law. </w:t>
      </w:r>
      <w:r>
        <w:rPr>
          <w:rFonts w:ascii="Arial" w:cs="Arial" w:eastAsia="Arial" w:hAnsi="Arial"/>
          <w:sz w:val="16"/>
          <w:szCs w:val="16"/>
          <w:color w:val="auto"/>
        </w:rPr>
        <w:t>This agreement shall be governed by and construed in accordance with the laws of the state of Utah.</w:t>
      </w:r>
    </w:p>
    <w:p>
      <w:pPr>
        <w:spacing w:after="0" w:line="225"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Reinstatement.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Pledge Agreement shall continue to be effective or be reinstated, as the case may be, if at any time any</w:t>
      </w:r>
      <w:r>
        <w:rPr>
          <w:rFonts w:ascii="Arial" w:cs="Arial" w:eastAsia="Arial" w:hAnsi="Arial"/>
          <w:sz w:val="17"/>
          <w:szCs w:val="17"/>
          <w:b w:val="1"/>
          <w:bCs w:val="1"/>
          <w:color w:val="auto"/>
        </w:rPr>
        <w:t xml:space="preserve"> </w:t>
      </w:r>
      <w:r>
        <w:rPr>
          <w:rFonts w:ascii="Arial" w:cs="Arial" w:eastAsia="Arial" w:hAnsi="Arial"/>
          <w:sz w:val="17"/>
          <w:szCs w:val="17"/>
          <w:color w:val="auto"/>
        </w:rPr>
        <w:t>amount received by Lender in respect of the Note is rescinded or must otherwise be restored or returned by Lender upon the insolvency, bankruptcy, dissolution, liquidation or reorganization of either Pledgor or upon the appointment of any intervenor or conservator of, or trustee or similar official for, either Pledgor or any substantial part of such Pledgor’s assets, or otherwise, all as though such payment has not been made.</w:t>
      </w:r>
    </w:p>
    <w:p>
      <w:pPr>
        <w:spacing w:after="0" w:line="16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Pledge Agreement may be executed in any number of counterparts and by different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in separate counterparts, each of which when so executed shall be deemed to be an original and all of which taken together shall constitute one and the same instrument.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Pledgors and Lender duly executed this Pledge Agreement as of the date first above written.</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PLEDGOR:</w:t>
      </w:r>
    </w:p>
    <w:p>
      <w:pPr>
        <w:spacing w:after="0" w:line="200" w:lineRule="exact"/>
        <w:rPr>
          <w:sz w:val="20"/>
          <w:szCs w:val="20"/>
          <w:color w:val="auto"/>
        </w:rPr>
      </w:pPr>
    </w:p>
    <w:p>
      <w:pPr>
        <w:spacing w:after="0" w:line="24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H. James Knuppe</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H. JAMES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9" w:name="page50"/>
    <w:bookmarkEnd w:id="49"/>
    <w:p>
      <w:pPr>
        <w:ind w:left="6340"/>
        <w:spacing w:after="0"/>
        <w:rPr>
          <w:sz w:val="20"/>
          <w:szCs w:val="20"/>
          <w:color w:val="auto"/>
        </w:rPr>
      </w:pPr>
      <w:r>
        <w:rPr>
          <w:rFonts w:ascii="Arial" w:cs="Arial" w:eastAsia="Arial" w:hAnsi="Arial"/>
          <w:sz w:val="18"/>
          <w:szCs w:val="18"/>
          <w:color w:val="auto"/>
        </w:rPr>
        <w:t>/s/ Barbara Knuppe</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BARBARA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LENDER:</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 xml:space="preserve">EXTRA SPACE STORAGE LP, </w:t>
      </w:r>
      <w:r>
        <w:rPr>
          <w:rFonts w:ascii="Arial" w:cs="Arial" w:eastAsia="Arial" w:hAnsi="Arial"/>
          <w:sz w:val="18"/>
          <w:szCs w:val="18"/>
          <w:color w:val="auto"/>
        </w:rPr>
        <w:t>a Delaware</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limited partnership</w:t>
      </w:r>
    </w:p>
    <w:p>
      <w:pPr>
        <w:spacing w:after="0" w:line="207" w:lineRule="exact"/>
        <w:rPr>
          <w:sz w:val="20"/>
          <w:szCs w:val="20"/>
          <w:color w:val="auto"/>
        </w:rPr>
      </w:pPr>
    </w:p>
    <w:p>
      <w:pPr>
        <w:ind w:left="580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ESS HOLDINGS BUSINESS TRUST</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 Massachusetts business trust, its</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sole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2"/>
          </w:tcPr>
          <w:p>
            <w:pPr>
              <w:ind w:left="64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/s/ Charles L. Allen</w:t>
            </w:r>
          </w:p>
        </w:tc>
        <w:tc>
          <w:tcPr>
            <w:tcW w:w="1220" w:type="dxa"/>
            <w:vAlign w:val="bottom"/>
          </w:tcPr>
          <w:p>
            <w:pPr>
              <w:spacing w:after="0"/>
              <w:rPr>
                <w:sz w:val="20"/>
                <w:szCs w:val="20"/>
                <w:color w:val="auto"/>
              </w:rPr>
            </w:pPr>
          </w:p>
        </w:tc>
      </w:tr>
      <w:tr>
        <w:trPr>
          <w:trHeight w:val="210"/>
        </w:trPr>
        <w:tc>
          <w:tcPr>
            <w:tcW w:w="6920" w:type="dxa"/>
            <w:vAlign w:val="bottom"/>
          </w:tcPr>
          <w:p>
            <w:pPr>
              <w:ind w:left="6480"/>
              <w:spacing w:after="0"/>
              <w:rPr>
                <w:sz w:val="20"/>
                <w:szCs w:val="20"/>
                <w:color w:val="auto"/>
              </w:rPr>
            </w:pPr>
            <w:r>
              <w:rPr>
                <w:rFonts w:ascii="Arial" w:cs="Arial" w:eastAsia="Arial" w:hAnsi="Arial"/>
                <w:sz w:val="18"/>
                <w:szCs w:val="18"/>
                <w:color w:val="auto"/>
                <w:w w:val="79"/>
              </w:rPr>
              <w:t>Name:</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Charles L. Allen</w:t>
            </w:r>
          </w:p>
        </w:tc>
        <w:tc>
          <w:tcPr>
            <w:tcW w:w="1220" w:type="dxa"/>
            <w:vAlign w:val="bottom"/>
          </w:tcPr>
          <w:p>
            <w:pPr>
              <w:spacing w:after="0"/>
              <w:rPr>
                <w:sz w:val="18"/>
                <w:szCs w:val="18"/>
                <w:color w:val="auto"/>
              </w:rPr>
            </w:pPr>
          </w:p>
        </w:tc>
      </w:tr>
      <w:tr>
        <w:trPr>
          <w:trHeight w:val="210"/>
        </w:trPr>
        <w:tc>
          <w:tcPr>
            <w:tcW w:w="7040" w:type="dxa"/>
            <w:vAlign w:val="bottom"/>
            <w:gridSpan w:val="2"/>
          </w:tcPr>
          <w:p>
            <w:pPr>
              <w:ind w:left="648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Trustee</w:t>
            </w:r>
          </w:p>
        </w:tc>
        <w:tc>
          <w:tcPr>
            <w:tcW w:w="1220" w:type="dxa"/>
            <w:vAlign w:val="bottom"/>
          </w:tcPr>
          <w:p>
            <w:pPr>
              <w:spacing w:after="0"/>
              <w:rPr>
                <w:sz w:val="18"/>
                <w:szCs w:val="18"/>
                <w:color w:val="auto"/>
              </w:rPr>
            </w:pPr>
          </w:p>
        </w:tc>
      </w:tr>
      <w:tr>
        <w:trPr>
          <w:trHeight w:val="584"/>
        </w:trPr>
        <w:tc>
          <w:tcPr>
            <w:tcW w:w="69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10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0" w:name="page51"/>
    <w:bookmarkEnd w:id="50"/>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June , 2007, is made and entered into by and among Extra Space Storage Inc., a Maryland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and certain persons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(such persons, in their capacity as holders of Registrable Securities, the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and each the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ind w:right="260" w:firstLine="648"/>
        <w:spacing w:after="0" w:line="292" w:lineRule="auto"/>
        <w:rPr>
          <w:sz w:val="20"/>
          <w:szCs w:val="20"/>
          <w:color w:val="auto"/>
        </w:rPr>
      </w:pPr>
      <w:r>
        <w:rPr>
          <w:rFonts w:ascii="Arial" w:cs="Arial" w:eastAsia="Arial" w:hAnsi="Arial"/>
          <w:sz w:val="16"/>
          <w:szCs w:val="16"/>
          <w:color w:val="auto"/>
        </w:rPr>
        <w:t>WHEREAS, the operating partnership of the Company, Extra Space Storage LP, a Delaware limited partnership (“</w:t>
      </w:r>
      <w:r>
        <w:rPr>
          <w:rFonts w:ascii="Arial" w:cs="Arial" w:eastAsia="Arial" w:hAnsi="Arial"/>
          <w:sz w:val="16"/>
          <w:szCs w:val="16"/>
          <w:b w:val="1"/>
          <w:bCs w:val="1"/>
          <w:u w:val="single" w:color="auto"/>
          <w:color w:val="auto"/>
        </w:rPr>
        <w:t>ESS OP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AAAAA RENT-A-SPACE, ALAMEDA, LTD., LIMITED PARTNERSHIP, </w:t>
      </w:r>
      <w:r>
        <w:rPr>
          <w:rFonts w:ascii="Arial" w:cs="Arial" w:eastAsia="Arial" w:hAnsi="Arial"/>
          <w:sz w:val="16"/>
          <w:szCs w:val="16"/>
          <w:color w:val="auto"/>
        </w:rPr>
        <w:t>a California limited partnership, and certain other parties (AAAAA Rent-A-Space, Alameda,</w:t>
      </w:r>
      <w:r>
        <w:rPr>
          <w:rFonts w:ascii="Arial" w:cs="Arial" w:eastAsia="Arial" w:hAnsi="Arial"/>
          <w:sz w:val="16"/>
          <w:szCs w:val="16"/>
          <w:b w:val="1"/>
          <w:bCs w:val="1"/>
          <w:color w:val="auto"/>
        </w:rPr>
        <w:t xml:space="preserve"> </w:t>
      </w:r>
      <w:r>
        <w:rPr>
          <w:rFonts w:ascii="Arial" w:cs="Arial" w:eastAsia="Arial" w:hAnsi="Arial"/>
          <w:sz w:val="16"/>
          <w:szCs w:val="16"/>
          <w:color w:val="auto"/>
        </w:rPr>
        <w:t>Ltd., Limited Partnership and such other parties each being hereinafter referred to as a “</w:t>
      </w:r>
      <w:r>
        <w:rPr>
          <w:rFonts w:ascii="Arial" w:cs="Arial" w:eastAsia="Arial" w:hAnsi="Arial"/>
          <w:sz w:val="16"/>
          <w:szCs w:val="16"/>
          <w:b w:val="1"/>
          <w:bCs w:val="1"/>
          <w:color w:val="auto"/>
        </w:rPr>
        <w:t>Contributor</w:t>
      </w:r>
      <w:r>
        <w:rPr>
          <w:rFonts w:ascii="Arial" w:cs="Arial" w:eastAsia="Arial" w:hAnsi="Arial"/>
          <w:sz w:val="16"/>
          <w:szCs w:val="16"/>
          <w:color w:val="auto"/>
        </w:rPr>
        <w:t>” and all being hereinafter collectively referred to as “</w:t>
      </w:r>
      <w:r>
        <w:rPr>
          <w:rFonts w:ascii="Arial" w:cs="Arial" w:eastAsia="Arial" w:hAnsi="Arial"/>
          <w:sz w:val="16"/>
          <w:szCs w:val="16"/>
          <w:b w:val="1"/>
          <w:bCs w:val="1"/>
          <w:color w:val="auto"/>
        </w:rPr>
        <w:t>Contributors</w:t>
      </w:r>
      <w:r>
        <w:rPr>
          <w:rFonts w:ascii="Arial" w:cs="Arial" w:eastAsia="Arial" w:hAnsi="Arial"/>
          <w:sz w:val="16"/>
          <w:szCs w:val="16"/>
          <w:color w:val="auto"/>
        </w:rPr>
        <w:t>”) have entered into a Contribution Agreement, dated as of June 15, 2007 (the “</w:t>
      </w:r>
      <w:r>
        <w:rPr>
          <w:rFonts w:ascii="Arial" w:cs="Arial" w:eastAsia="Arial" w:hAnsi="Arial"/>
          <w:sz w:val="16"/>
          <w:szCs w:val="16"/>
          <w:b w:val="1"/>
          <w:bCs w:val="1"/>
          <w:u w:val="single" w:color="auto"/>
          <w:color w:val="auto"/>
        </w:rPr>
        <w:t>Contribution Agreement</w:t>
      </w:r>
      <w:r>
        <w:rPr>
          <w:rFonts w:ascii="Arial" w:cs="Arial" w:eastAsia="Arial" w:hAnsi="Arial"/>
          <w:sz w:val="16"/>
          <w:szCs w:val="16"/>
          <w:color w:val="auto"/>
        </w:rPr>
        <w:t>”), pursuant to which each Contributor contributed all of such Contributor’s right, title, and interest in certain real property to ESS OP in exchange for “Series A Preferred Units” (the “</w:t>
      </w:r>
      <w:r>
        <w:rPr>
          <w:rFonts w:ascii="Arial" w:cs="Arial" w:eastAsia="Arial" w:hAnsi="Arial"/>
          <w:sz w:val="16"/>
          <w:szCs w:val="16"/>
          <w:b w:val="1"/>
          <w:bCs w:val="1"/>
          <w:color w:val="auto"/>
        </w:rPr>
        <w:t>Series A Units</w:t>
      </w:r>
      <w:r>
        <w:rPr>
          <w:rFonts w:ascii="Arial" w:cs="Arial" w:eastAsia="Arial" w:hAnsi="Arial"/>
          <w:sz w:val="16"/>
          <w:szCs w:val="16"/>
          <w:color w:val="auto"/>
        </w:rPr>
        <w:t>”), as defined in the Second Amended and Restated Agreement of Limited Partnership for Extra Space (the “Partnership Agreement”) exchangeable, under certain circumstances, into shares of common stock, par value $0.01 per share, of the Company (the “</w:t>
      </w:r>
      <w:r>
        <w:rPr>
          <w:rFonts w:ascii="Arial" w:cs="Arial" w:eastAsia="Arial" w:hAnsi="Arial"/>
          <w:sz w:val="16"/>
          <w:szCs w:val="16"/>
          <w:b w:val="1"/>
          <w:bCs w:val="1"/>
          <w:u w:val="single" w:color="auto"/>
          <w:color w:val="auto"/>
        </w:rPr>
        <w:t>Common Shares</w:t>
      </w:r>
      <w:r>
        <w:rPr>
          <w:rFonts w:ascii="Arial" w:cs="Arial" w:eastAsia="Arial" w:hAnsi="Arial"/>
          <w:sz w:val="16"/>
          <w:szCs w:val="16"/>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the Contribution Agreement, the Series A Units were issued by ESS OP directly to the Holders;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desires to enter into this Agreement with the Holders in order to grant the Holders the registration rights contained herein.</w:t>
      </w:r>
    </w:p>
    <w:p>
      <w:pPr>
        <w:spacing w:after="0" w:line="24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promises and covenants contained in this Agreement, and for other good and valuable consideration, the receipt and sufficiency of which are hereby acknowledged, the parties hereto hereby agree as follows:</w:t>
      </w:r>
    </w:p>
    <w:p>
      <w:pPr>
        <w:spacing w:after="0" w:line="147" w:lineRule="exact"/>
        <w:rPr>
          <w:sz w:val="20"/>
          <w:szCs w:val="20"/>
          <w:color w:val="auto"/>
        </w:rPr>
      </w:pPr>
    </w:p>
    <w:p>
      <w:pPr>
        <w:ind w:left="1320" w:hanging="664"/>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1"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shall mean, when used with reference to a specified Person, (i) any Person that directly or indirectly through one or more intermediaries, Controls or is Controlled by or is under common Control with the specified Person; (ii) any Person who, from time to time, is a member of the Immediate Family of a specified Person; (iii) any Person who, from time to time, is an officer or director or manager of a specified Person; or (iv) any Person who, directly or indirectly, is the beneficial owner of 50% or more of any class of equity securities or other ownership interests of the specified Person, or of which the specified Person is directly or indirectly the owner of 50% or more of any class of equity securities or other ownership interests.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shall mean this Registration Rights Agreement as originally executed and as amended, supplemented or restated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each day other than a Saturday, a Sunday or any other day on which banking institutions in the State of Utah are authorized or obligated by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Shares</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A Units</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shall have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Contribution Agreement</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b w:val="1"/>
          <w:bCs w:val="1"/>
          <w:u w:val="single" w:color="auto"/>
          <w:color w:val="auto"/>
        </w:rPr>
        <w:t>Controlling</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Controlled by</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under common Control with</w:t>
      </w:r>
      <w:r>
        <w:rPr>
          <w:rFonts w:ascii="Arial" w:cs="Arial" w:eastAsia="Arial" w:hAnsi="Arial"/>
          <w:sz w:val="16"/>
          <w:szCs w:val="16"/>
          <w:color w:val="auto"/>
        </w:rPr>
        <w:t>”) shall mean the possession, direct or indirect, of the power to direct or cause the direction of the management and policies of a Person through the ownership of Voting Power, by contract or otherwise.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ESS OP</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shall mean the Securities Exchange Act of 1934, as amended (or any corresponding provision of succeeding law) and the rules and regulations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shall have the meaning set forth in the introductory paragraph hereof.</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partnership, corporation, limited liability company, joint venture, association, trust, unincorporated organization or other governmental or legal entity.</w:t>
      </w:r>
    </w:p>
    <w:p>
      <w:pPr>
        <w:spacing w:after="0" w:line="16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shall mean the Common Shares that may be acquired by the Holders in connection with the exercise by such Holders of the redemption rights associated with the Series A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Registrable Securities shall cease to be Registrable Securities when (i) a registration statement with respect to the sale of such Registrable Securities shall have become effective under the Securities Act and all such Registrable Securities shall have been disposed of in accordance with such registration statement, (ii) such Registrable Securities shall have been sold in accordance with Rule 144 (or any successor provision) under the Securities Act, (iii) such Registrable Securities become eligible to be publicly sold without limitation as to amount or manner of sale pursuant to Rule 144 (or any successor provision) under the Securities Act, or (iv) such Registrable Securities have ceased to be outstanding.</w:t>
      </w:r>
    </w:p>
    <w:p>
      <w:pPr>
        <w:spacing w:after="0" w:line="189"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Expenses</w:t>
      </w:r>
      <w:r>
        <w:rPr>
          <w:rFonts w:ascii="Arial" w:cs="Arial" w:eastAsia="Arial" w:hAnsi="Arial"/>
          <w:sz w:val="16"/>
          <w:szCs w:val="16"/>
          <w:color w:val="auto"/>
        </w:rPr>
        <w:t>” shall mean (i) the fees and disbursements of counsel and independent public accountants for the Company incurred in connection with the Company’s performance of or compliance with this Agreement, including the expenses of any special audits or “comfort” letters required</w:t>
      </w:r>
    </w:p>
    <w:p>
      <w:pPr>
        <w:sectPr>
          <w:pgSz w:w="11900" w:h="16938" w:orient="portrait"/>
          <w:cols w:equalWidth="0" w:num="1">
            <w:col w:w="11420"/>
          </w:cols>
          <w:pgMar w:left="240" w:top="121" w:right="239" w:bottom="0" w:gutter="0" w:footer="0" w:header="0"/>
        </w:sectPr>
      </w:pPr>
    </w:p>
    <w:bookmarkStart w:id="51" w:name="page52"/>
    <w:bookmarkEnd w:id="51"/>
    <w:p>
      <w:pPr>
        <w:spacing w:after="0" w:line="273" w:lineRule="auto"/>
        <w:rPr>
          <w:sz w:val="20"/>
          <w:szCs w:val="20"/>
          <w:color w:val="auto"/>
        </w:rPr>
      </w:pPr>
      <w:r>
        <w:rPr>
          <w:rFonts w:ascii="Arial" w:cs="Arial" w:eastAsia="Arial" w:hAnsi="Arial"/>
          <w:sz w:val="17"/>
          <w:szCs w:val="17"/>
          <w:color w:val="auto"/>
        </w:rPr>
        <w:t xml:space="preserve">by or incident to such performance and compliance, and any premiums and other costs of policies of insurance obtained by the Company against liabilities arising out of the sale of any securities and (ii) all registration, filing and stock exchange fees, all fees and expenses of complying with securities or “blue sky” laws, all fees and expenses of custodians, transfer agents and registrars, and all printing expenses, messenger and delivery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shall not include any out-of-pocket expenses of the Holders, transfer taxes, underwriting or brokerage commissions or discounts associated with effecting any sales of Registrable Securities that may be offered, which expenses shall be borne by each Holder of Registrable Securities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with respect to the Registrable Securities so sold.</w:t>
      </w:r>
    </w:p>
    <w:p>
      <w:pPr>
        <w:spacing w:after="0" w:line="174"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shall mean the Securities Act of 1933, as amended (or any successor corresponding provision of succeeding law),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Stand-Off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Voting Power</w:t>
      </w:r>
      <w:r>
        <w:rPr>
          <w:rFonts w:ascii="Arial" w:cs="Arial" w:eastAsia="Arial" w:hAnsi="Arial"/>
          <w:sz w:val="16"/>
          <w:szCs w:val="16"/>
          <w:color w:val="auto"/>
        </w:rPr>
        <w:t>” shall mean voting securities or other voting interests ordinarily (and apart from rights accruing under special circumstances) having the right to vote in the election of board members or Persons performing substantially equivalent tasks and responsibilities with respect to a particular entity.</w:t>
      </w:r>
    </w:p>
    <w:p>
      <w:pPr>
        <w:spacing w:after="0" w:line="120" w:lineRule="exact"/>
        <w:rPr>
          <w:sz w:val="20"/>
          <w:szCs w:val="20"/>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5"/>
        <w:spacing w:after="0" w:line="270" w:lineRule="auto"/>
        <w:tabs>
          <w:tab w:leader="none" w:pos="1967"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Shelf Registration</w:t>
      </w:r>
      <w:r>
        <w:rPr>
          <w:rFonts w:ascii="Arial" w:cs="Arial" w:eastAsia="Arial" w:hAnsi="Arial"/>
          <w:sz w:val="17"/>
          <w:szCs w:val="17"/>
          <w:color w:val="auto"/>
        </w:rPr>
        <w:t>. The Company agrees to use commercially reasonable efforts to file with the Commission a registration statement under the Securities Act for the offering on a continuous or delayed basis in the future covering resales of the Registrable Securities (the “</w:t>
      </w:r>
      <w:r>
        <w:rPr>
          <w:rFonts w:ascii="Arial" w:cs="Arial" w:eastAsia="Arial" w:hAnsi="Arial"/>
          <w:sz w:val="17"/>
          <w:szCs w:val="17"/>
          <w:b w:val="1"/>
          <w:bCs w:val="1"/>
          <w:u w:val="single" w:color="auto"/>
          <w:color w:val="auto"/>
        </w:rPr>
        <w:t>Shelf Registration Statement</w:t>
      </w:r>
      <w:r>
        <w:rPr>
          <w:rFonts w:ascii="Arial" w:cs="Arial" w:eastAsia="Arial" w:hAnsi="Arial"/>
          <w:sz w:val="17"/>
          <w:szCs w:val="17"/>
          <w:color w:val="auto"/>
        </w:rPr>
        <w:t xml:space="preserve">”), such filing to be made (subject to </w:t>
      </w:r>
      <w:r>
        <w:rPr>
          <w:rFonts w:ascii="Arial" w:cs="Arial" w:eastAsia="Arial" w:hAnsi="Arial"/>
          <w:sz w:val="17"/>
          <w:szCs w:val="17"/>
          <w:u w:val="single" w:color="auto"/>
          <w:color w:val="auto"/>
        </w:rPr>
        <w:t>Section 3</w:t>
      </w:r>
      <w:r>
        <w:rPr>
          <w:rFonts w:ascii="Arial" w:cs="Arial" w:eastAsia="Arial" w:hAnsi="Arial"/>
          <w:sz w:val="17"/>
          <w:szCs w:val="17"/>
          <w:color w:val="auto"/>
        </w:rPr>
        <w:t>) on or prior to the date which is fourteen (14) days after the later of (i) the date on which the Series A Units may be exchanged for Common Shares pursuant to the provisions of the Contribution Agreement or (ii) such other date as may be required by the Commission pursuant to its interpretation of applicable federal securities laws and the rules and regulations promulgated thereunder. The Company shall use commercially reasonable efforts to cause such Shelf Registration Statement to be declared effective by the Commission as soon as practicable thereafter. The Shelf Registration Statement shall be on an appropriate form and the registration statement and any form of prospectus included therein (or prospectus supplement relating thereto) shall reflect the plan of distribution or method of sale as the Holders may from time to time notify the Company.</w:t>
      </w:r>
    </w:p>
    <w:p>
      <w:pPr>
        <w:spacing w:after="0" w:line="181" w:lineRule="exact"/>
        <w:rPr>
          <w:rFonts w:ascii="Arial" w:cs="Arial" w:eastAsia="Arial" w:hAnsi="Arial"/>
          <w:sz w:val="17"/>
          <w:szCs w:val="17"/>
          <w:color w:val="auto"/>
        </w:rPr>
      </w:pPr>
    </w:p>
    <w:p>
      <w:pPr>
        <w:ind w:left="660" w:right="60" w:firstLine="645"/>
        <w:spacing w:after="0" w:line="272" w:lineRule="auto"/>
        <w:tabs>
          <w:tab w:leader="none" w:pos="1964"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The Company shall use commercially reasonable efforts to keep the Shelf Registration Statement continuously effective for the period beginning on the date on which the Shelf Registration Statement is declared effective and ending on the date that all of the Registrable Securities registered under the Shelf Registration Statement cease to be Registrable Securities. During the period that the Shelf Registration Statement is effective, the Company shall supplement or make amendments to the Shelf Registration Statement, if required by the Securities Act or if reasonably requested by the Holders (whether or not required by the form on which the securities are being registered), including to reflect any specific plan of distribution or method of sale, and shall use commercially reasonable efforts to have such supplements and amendments declared effective, if required, as soon as practicable after filing.</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Notwithstanding anything herein to the contrary, the Company shall have the right, exercisable from time to time by delivery of a notice authorized by the Board, on not more than two (2) occasions in any 12-month period, to require the Holders not to sell pursuant to a registration statement or similar document under the Securities Act filed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to suspend the effectiveness thereof if at the time of the delivery of such notice, the Board has considered a plan to engage no later than sixty (60) days following the date of such notice in a firm commitment underwritten public offering or if the Board has reasonably and in good faith determined that such registration and offering, continued effectiveness or sale would materially interfere with any material transaction involving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the black-out period extend for more than sixty (60) days on any such occasion. The Company, as soon as practicable, shall (i) give the Holders prompt written notice in the event that the Company has suspended sales of Registrable Securities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(ii) give the Holders prompt written notice of the completion of such offering or material transaction and (iii) promptly file any amendment necessary for any registration statement or prospectus of the Holders in connection with the completion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Each Holder agrees by acquisition of the Registrable Securities that upon receipt of any notice from the Company of the happening of any event of the kind described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such Holder will forthwith discontinue its disposition of Registrable Securities pursuant to the registration statement relating to such Registrable Securities until such Holder’s receipt of the notice of completion of such event.</w:t>
      </w:r>
    </w:p>
    <w:p>
      <w:pPr>
        <w:spacing w:after="0" w:line="181" w:lineRule="exact"/>
        <w:rPr>
          <w:sz w:val="20"/>
          <w:szCs w:val="20"/>
          <w:color w:val="auto"/>
        </w:rPr>
      </w:pPr>
    </w:p>
    <w:p>
      <w:pPr>
        <w:ind w:left="1320" w:hanging="664"/>
        <w:spacing w:after="0"/>
        <w:tabs>
          <w:tab w:leader="none" w:pos="13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40" w:firstLine="645"/>
        <w:spacing w:after="0" w:line="277" w:lineRule="auto"/>
        <w:tabs>
          <w:tab w:leader="none" w:pos="196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connection with the filing of any registration statement as provided in this Agreement, the Company shall use commercially reasonable efforts to, as expeditiously as reasonably practicable:</w:t>
      </w:r>
    </w:p>
    <w:p>
      <w:pPr>
        <w:spacing w:after="0" w:line="170" w:lineRule="exact"/>
        <w:rPr>
          <w:rFonts w:ascii="Arial" w:cs="Arial" w:eastAsia="Arial" w:hAnsi="Arial"/>
          <w:sz w:val="18"/>
          <w:szCs w:val="18"/>
          <w:color w:val="auto"/>
        </w:rPr>
      </w:pPr>
    </w:p>
    <w:p>
      <w:pPr>
        <w:ind w:left="1300" w:right="260" w:firstLine="653"/>
        <w:spacing w:after="0" w:line="297" w:lineRule="auto"/>
        <w:tabs>
          <w:tab w:leader="none" w:pos="2617"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prepare and file with the Commission the requisite registration statement (including a prospectus therein and any supplement thereto) to effect such registration and use commercially reasonable efforts to cause such registration statement to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filing such registration statement or any amendments or supplements thereto, the Company will furnish copies of all such documents proposed to be filed to counsel for the sellers of Registrable Securities covered by such registration statement and provide reasonable time for such sellers and their counsel to comment upon such documents if so requested by a Holder;</w:t>
      </w:r>
    </w:p>
    <w:p>
      <w:pPr>
        <w:spacing w:after="0" w:line="158" w:lineRule="exact"/>
        <w:rPr>
          <w:rFonts w:ascii="Arial" w:cs="Arial" w:eastAsia="Arial" w:hAnsi="Arial"/>
          <w:sz w:val="16"/>
          <w:szCs w:val="16"/>
          <w:color w:val="auto"/>
        </w:rPr>
      </w:pPr>
    </w:p>
    <w:p>
      <w:pPr>
        <w:ind w:left="1300" w:right="220" w:firstLine="653"/>
        <w:spacing w:after="0" w:line="259" w:lineRule="auto"/>
        <w:tabs>
          <w:tab w:leader="none" w:pos="261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therewith as may be necessary to maintain the effectiveness of such registration and to comply with the provisions of the Securities Act with respect to the disposition of all securities covered by such registration statement during the period in which such registration statement is required to be kept effective;</w:t>
      </w:r>
    </w:p>
    <w:p>
      <w:pPr>
        <w:sectPr>
          <w:pgSz w:w="11900" w:h="16838" w:orient="portrait"/>
          <w:cols w:equalWidth="0" w:num="1">
            <w:col w:w="11420"/>
          </w:cols>
          <w:pgMar w:left="240" w:top="125" w:right="239" w:bottom="0" w:gutter="0" w:footer="0" w:header="0"/>
        </w:sectPr>
      </w:pPr>
    </w:p>
    <w:bookmarkStart w:id="52" w:name="page53"/>
    <w:bookmarkEnd w:id="52"/>
    <w:p>
      <w:pPr>
        <w:ind w:left="100" w:right="60" w:firstLine="653"/>
        <w:spacing w:after="0" w:line="297" w:lineRule="auto"/>
        <w:tabs>
          <w:tab w:leader="none" w:pos="141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furnish to each Holder of the securities being registered, without charge, such number of conformed copies of such registration statement and of each such amendment and supplement thereto (in each case including all exhibits other than those which are being incorporated into such registration statement by reference), such number of copies of the prospectus contained in such registration statements (including each complete prospectus and any summary prospectus) and any other prospectus filed under Rule 424 under the Securities Act in conformity with the requirements of the Securities Act, and such other documents, as the Holders may reasonably request;</w:t>
      </w:r>
    </w:p>
    <w:p>
      <w:pPr>
        <w:spacing w:after="0" w:line="158" w:lineRule="exact"/>
        <w:rPr>
          <w:rFonts w:ascii="Arial" w:cs="Arial" w:eastAsia="Arial" w:hAnsi="Arial"/>
          <w:sz w:val="16"/>
          <w:szCs w:val="16"/>
          <w:color w:val="auto"/>
        </w:rPr>
      </w:pPr>
    </w:p>
    <w:p>
      <w:pPr>
        <w:ind w:left="100" w:right="20" w:firstLine="653"/>
        <w:spacing w:after="0" w:line="291" w:lineRule="auto"/>
        <w:tabs>
          <w:tab w:leader="none" w:pos="141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register or qualify all Registrable Securities under such other securities or “blue sky” laws of such jurisdictions as the Holders and the underwriters of the securities being registered, if any, shall reasonably request, to keep such registration or qualification in effect for so long as such registration statement remains in effect, and take any other action which may be reasonably necessary or advisable to enable the Holders to consummate the disposition in such jurisdiction of the securities owned by the Holders, except that the Company shall not for any such purpose be required to qualify generally to do business as a foreign company or to register as a broker or dealer in any jurisdiction where it would not otherwise be required to qualify but for this </w:t>
      </w:r>
      <w:r>
        <w:rPr>
          <w:rFonts w:ascii="Arial" w:cs="Arial" w:eastAsia="Arial" w:hAnsi="Arial"/>
          <w:sz w:val="16"/>
          <w:szCs w:val="16"/>
          <w:u w:val="single" w:color="auto"/>
          <w:color w:val="auto"/>
        </w:rPr>
        <w:t>Section 4(a)(4)</w:t>
      </w:r>
      <w:r>
        <w:rPr>
          <w:rFonts w:ascii="Arial" w:cs="Arial" w:eastAsia="Arial" w:hAnsi="Arial"/>
          <w:sz w:val="16"/>
          <w:szCs w:val="16"/>
          <w:color w:val="auto"/>
        </w:rPr>
        <w:t>, or to consent to general service of process in any such jurisdiction, or to be subject to any material tax obligation in any such jurisdiction where it is not then so subject;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100" w:firstLine="653"/>
        <w:spacing w:after="0" w:line="271" w:lineRule="auto"/>
        <w:tabs>
          <w:tab w:leader="none" w:pos="1417"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immediately notify the Holders at any time when the Company becomes aware that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the Holders, promptly prepare and furnish to the Holders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178" w:lineRule="exact"/>
        <w:rPr>
          <w:rFonts w:ascii="Arial" w:cs="Arial" w:eastAsia="Arial" w:hAnsi="Arial"/>
          <w:sz w:val="17"/>
          <w:szCs w:val="17"/>
          <w:color w:val="auto"/>
        </w:rPr>
      </w:pPr>
    </w:p>
    <w:p>
      <w:pPr>
        <w:ind w:left="100" w:right="100" w:firstLine="653"/>
        <w:spacing w:after="0" w:line="264" w:lineRule="auto"/>
        <w:tabs>
          <w:tab w:leader="none" w:pos="14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comply or continue to comply in all material respects with the Securities Act and the Exchange Act and with all applicable rules and regulations of the Commission thereunder so as to enable any Holder to sell its Registrable Securities pursuant to Rule 144 promulgated under the Securities Act, as further agreed to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left="100" w:right="240" w:firstLine="653"/>
        <w:spacing w:after="0" w:line="277" w:lineRule="auto"/>
        <w:tabs>
          <w:tab w:leader="none" w:pos="14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such registration statement not later than the effective date of such registration statement;</w:t>
      </w:r>
    </w:p>
    <w:p>
      <w:pPr>
        <w:spacing w:after="0" w:line="170" w:lineRule="exact"/>
        <w:rPr>
          <w:rFonts w:ascii="Arial" w:cs="Arial" w:eastAsia="Arial" w:hAnsi="Arial"/>
          <w:sz w:val="18"/>
          <w:szCs w:val="18"/>
          <w:color w:val="auto"/>
        </w:rPr>
      </w:pPr>
    </w:p>
    <w:p>
      <w:pPr>
        <w:ind w:left="100" w:right="140" w:firstLine="653"/>
        <w:spacing w:after="0" w:line="259" w:lineRule="auto"/>
        <w:tabs>
          <w:tab w:leader="none" w:pos="14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cooperate with the Holders to facilitate the timely preparation and delivery of certificates representing Registrable Securities to be sold and not bearing any Securities Act legend; and enable certificates for such Registrable Securities to be issued for such number of shares and registered in such names as the Holders may reasonably request in writing at least three (3) Business Days prior to any sale of Registrable Securities;</w:t>
      </w:r>
    </w:p>
    <w:p>
      <w:pPr>
        <w:spacing w:after="0" w:line="186" w:lineRule="exact"/>
        <w:rPr>
          <w:rFonts w:ascii="Arial" w:cs="Arial" w:eastAsia="Arial" w:hAnsi="Arial"/>
          <w:sz w:val="18"/>
          <w:szCs w:val="18"/>
          <w:color w:val="auto"/>
        </w:rPr>
      </w:pPr>
    </w:p>
    <w:p>
      <w:pPr>
        <w:ind w:left="100" w:right="300" w:firstLine="653"/>
        <w:spacing w:after="0" w:line="297" w:lineRule="auto"/>
        <w:tabs>
          <w:tab w:leader="none" w:pos="141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list all Registrable Securities covered by such registration statement on any securities exchange or national quotation system on which any such class of securities is then listed or quoted and cause to be satisfied all requirements and conditions of such securities exchange or national quotation system to the listing or quoting of such securities that are reasonably within the control of the Company including, without limitation, registering the applicable class of Registrable Securities under the Exchange Act, if appropriate, and using commercially reasonable efforts to cause such registration to become effective pursuant to the rules of the Commission;</w:t>
      </w:r>
    </w:p>
    <w:p>
      <w:pPr>
        <w:spacing w:after="0" w:line="158" w:lineRule="exact"/>
        <w:rPr>
          <w:rFonts w:ascii="Arial" w:cs="Arial" w:eastAsia="Arial" w:hAnsi="Arial"/>
          <w:sz w:val="16"/>
          <w:szCs w:val="16"/>
          <w:color w:val="auto"/>
        </w:rPr>
      </w:pPr>
    </w:p>
    <w:p>
      <w:pPr>
        <w:ind w:left="100" w:right="300" w:firstLine="653"/>
        <w:spacing w:after="0" w:line="276" w:lineRule="auto"/>
        <w:tabs>
          <w:tab w:leader="none" w:pos="142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connection with any sale, transfer or other disposition by any Holder of any Registrable Securities pursuant to Rule 144 promulgated under the Securities Act, cooperate with such Holder to facilitate the timely preparation and delivery of certificates representing the Registrable Securities to be sold and not bearing any Securities Act legend, and enable certificates for such Registrable Securities to be issued for such number of shares and registered in such names as the Holders may reasonably request in writing at least three (3) Business Days prior to any sale of Registrable Securities;</w:t>
      </w:r>
    </w:p>
    <w:p>
      <w:pPr>
        <w:spacing w:after="0" w:line="172" w:lineRule="exact"/>
        <w:rPr>
          <w:rFonts w:ascii="Arial" w:cs="Arial" w:eastAsia="Arial" w:hAnsi="Arial"/>
          <w:sz w:val="17"/>
          <w:szCs w:val="17"/>
          <w:color w:val="auto"/>
        </w:rPr>
      </w:pPr>
    </w:p>
    <w:p>
      <w:pPr>
        <w:jc w:val="both"/>
        <w:ind w:left="100" w:right="340" w:firstLine="653"/>
        <w:spacing w:after="0" w:line="264" w:lineRule="auto"/>
        <w:tabs>
          <w:tab w:leader="none" w:pos="141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notify each Holder, promptly after it shall receive notice thereof, of the time when such registration statement, or any post-effective amendments to the registration statement, shall have become effective, or a supplement to any prospectus forming part of such registration statement has been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0" w:right="100" w:firstLine="653"/>
        <w:spacing w:after="0" w:line="277" w:lineRule="auto"/>
        <w:tabs>
          <w:tab w:leader="none" w:pos="14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notify each Holder of any request by the Commission for the amendment or supplement of such registration statement or prospectus for additional information; and</w:t>
      </w:r>
    </w:p>
    <w:p>
      <w:pPr>
        <w:spacing w:after="0" w:line="170" w:lineRule="exact"/>
        <w:rPr>
          <w:rFonts w:ascii="Arial" w:cs="Arial" w:eastAsia="Arial" w:hAnsi="Arial"/>
          <w:sz w:val="18"/>
          <w:szCs w:val="18"/>
          <w:color w:val="auto"/>
        </w:rPr>
      </w:pPr>
    </w:p>
    <w:p>
      <w:pPr>
        <w:ind w:left="100" w:right="60" w:firstLine="653"/>
        <w:spacing w:after="0" w:line="293" w:lineRule="auto"/>
        <w:tabs>
          <w:tab w:leader="none" w:pos="142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advise each Holder, promptly after it shall receive notice or obtain knowledge thereof, of (A) the issuance of any stop order, injunction or other order or requirement by the Commission suspending the effectiveness of such registration statement or the initiation or threatening of any proceeding for such purpose and use commercially reasonable efforts to prevent the issuance of any stop order, injunction or other order or requirement or to obtain its withdrawal if such stop order, injunction or other order or requirement should be issued, (B) the suspension of the registration of the subject shares of the Registrable Securities in any state jurisdiction and (C) the removal of any such stop order, injunction or other order or requirement or proceeding or the lifting of any such suspension.</w:t>
      </w:r>
    </w:p>
    <w:p>
      <w:pPr>
        <w:spacing w:after="0" w:line="164" w:lineRule="exact"/>
        <w:rPr>
          <w:rFonts w:ascii="Arial" w:cs="Arial" w:eastAsia="Arial" w:hAnsi="Arial"/>
          <w:sz w:val="16"/>
          <w:szCs w:val="16"/>
          <w:color w:val="auto"/>
        </w:rPr>
      </w:pPr>
    </w:p>
    <w:p>
      <w:pPr>
        <w:ind w:left="-540" w:right="80" w:firstLine="645"/>
        <w:spacing w:after="0" w:line="255" w:lineRule="auto"/>
        <w:tabs>
          <w:tab w:leader="none" w:pos="7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connection with the filing of any registration statement covering Registrable Securities, each Holder shall furnish in writing to the Company such information regarding such Holder (and any of its Affiliates), the Registrable Securities to be sold, the intended method of distribution of such Registrable Securities and such other information requested by the Company as is necessary or advisable for inclusion in the registration statement relating to such offering pursuant to the Securities Act. Such writing shall expressly state that it is being furnished to the Company for use in the preparation of a registration statement, preliminary prospectus, supplementary prospectus, final prospectus or amendment or supplement thereto,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-7999730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-2451100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62" w:gutter="0" w:footer="0" w:header="0"/>
        </w:sectPr>
      </w:pPr>
    </w:p>
    <w:bookmarkStart w:id="53" w:name="page54"/>
    <w:bookmarkEnd w:id="53"/>
    <w:p>
      <w:pPr>
        <w:jc w:val="both"/>
        <w:ind w:right="120" w:firstLine="648"/>
        <w:spacing w:after="0" w:line="288" w:lineRule="auto"/>
        <w:rPr>
          <w:sz w:val="20"/>
          <w:szCs w:val="20"/>
          <w:color w:val="auto"/>
        </w:rPr>
      </w:pPr>
      <w:r>
        <w:rPr>
          <w:rFonts w:ascii="Arial" w:cs="Arial" w:eastAsia="Arial" w:hAnsi="Arial"/>
          <w:sz w:val="16"/>
          <w:szCs w:val="16"/>
          <w:color w:val="auto"/>
        </w:rPr>
        <w:t xml:space="preserve">Each Holder agrees by acquisition of the Registrable Securities that (i) upon receipt of any notice from the Company of the happening of any event of the kind described in </w:t>
      </w:r>
      <w:r>
        <w:rPr>
          <w:rFonts w:ascii="Arial" w:cs="Arial" w:eastAsia="Arial" w:hAnsi="Arial"/>
          <w:sz w:val="16"/>
          <w:szCs w:val="16"/>
          <w:u w:val="single" w:color="auto"/>
          <w:color w:val="auto"/>
        </w:rPr>
        <w:t>Section 4(a)(5)</w:t>
      </w:r>
      <w:r>
        <w:rPr>
          <w:rFonts w:ascii="Arial" w:cs="Arial" w:eastAsia="Arial" w:hAnsi="Arial"/>
          <w:sz w:val="16"/>
          <w:szCs w:val="16"/>
          <w:color w:val="auto"/>
        </w:rPr>
        <w:t xml:space="preserve">, such Holder will forthwith discontinue its disposition of Registrable Securities pursuant to the registration statement relating to such Registrable Securities until such Holder’s receipt of the copies of the supplemented or amended prospectus contemplated by </w:t>
      </w:r>
      <w:r>
        <w:rPr>
          <w:rFonts w:ascii="Arial" w:cs="Arial" w:eastAsia="Arial" w:hAnsi="Arial"/>
          <w:sz w:val="16"/>
          <w:szCs w:val="16"/>
          <w:u w:val="single" w:color="auto"/>
          <w:color w:val="auto"/>
        </w:rPr>
        <w:t>Section 4(a)(5)</w:t>
      </w:r>
      <w:r>
        <w:rPr>
          <w:rFonts w:ascii="Arial" w:cs="Arial" w:eastAsia="Arial" w:hAnsi="Arial"/>
          <w:sz w:val="16"/>
          <w:szCs w:val="16"/>
          <w:color w:val="auto"/>
        </w:rPr>
        <w:t>;</w:t>
      </w:r>
    </w:p>
    <w:p>
      <w:pPr>
        <w:ind w:right="60" w:firstLine="8"/>
        <w:spacing w:after="0" w:line="253"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upon receipt of any notice from the Company of the happening of any event of the kind described in clause (A) of </w:t>
      </w:r>
      <w:r>
        <w:rPr>
          <w:rFonts w:ascii="Arial" w:cs="Arial" w:eastAsia="Arial" w:hAnsi="Arial"/>
          <w:sz w:val="18"/>
          <w:szCs w:val="18"/>
          <w:u w:val="single" w:color="auto"/>
          <w:color w:val="auto"/>
        </w:rPr>
        <w:t>Section 4(a)(13)</w:t>
      </w:r>
      <w:r>
        <w:rPr>
          <w:rFonts w:ascii="Arial" w:cs="Arial" w:eastAsia="Arial" w:hAnsi="Arial"/>
          <w:sz w:val="18"/>
          <w:szCs w:val="18"/>
          <w:color w:val="auto"/>
        </w:rPr>
        <w:t xml:space="preserve">, such Holder will discontinue its disposition of Registrable Securities pursuant to such registration statement until such Holder’s receipt of the notice described in clause (C) of </w:t>
      </w:r>
      <w:r>
        <w:rPr>
          <w:rFonts w:ascii="Arial" w:cs="Arial" w:eastAsia="Arial" w:hAnsi="Arial"/>
          <w:sz w:val="18"/>
          <w:szCs w:val="18"/>
          <w:u w:val="single" w:color="auto"/>
          <w:color w:val="auto"/>
        </w:rPr>
        <w:t>Section 4(a)(13)</w:t>
      </w:r>
      <w:r>
        <w:rPr>
          <w:rFonts w:ascii="Arial" w:cs="Arial" w:eastAsia="Arial" w:hAnsi="Arial"/>
          <w:sz w:val="18"/>
          <w:szCs w:val="18"/>
          <w:color w:val="auto"/>
        </w:rPr>
        <w:t xml:space="preserve">; and (iii) upon receipt of any notice from the Company of the happening of any event of the kind described in clause (B)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4(a)(13), such Holder will discontinue its disposition of Registrable Securities pursuant to such registration statement in the applicable state jurisdiction(s) until such Holder’s receipt of the notice described in clause (C) of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320" w:hanging="664"/>
        <w:spacing w:after="0"/>
        <w:tabs>
          <w:tab w:leader="none" w:pos="13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645"/>
        <w:spacing w:after="0" w:line="290" w:lineRule="auto"/>
        <w:tabs>
          <w:tab w:leader="none" w:pos="1967" w:val="left"/>
        </w:tabs>
        <w:numPr>
          <w:ilvl w:val="2"/>
          <w:numId w:val="134"/>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Holder, its partners, officers, directors, trustees, stockholders, employees, agents and investment advisers, and each Person, if any, who controls such Holder within the meaning of the Securities Act or the Exchange Act, together with the partners, officers, directors, trustees, stockholders, employees, agents and investment advisers of such controlling person, against any losses, claims, damages, and expenses (including, without limitation, reasonable attorneys’ fees), joint or several, to which the Holders or any such indemnitees may become subject under the Securities Act or otherwise, insofar as such losses, claims, damages, liabilities and expenses (or actions or proceedings, whether commenced or threatened, in respect thereof) arise out of or are based upon any untrue statement or alleged untrue statement of any material fact contained in the registration statement under which such Registrable Securities were registered and sold under the Securities Act, including any periodic or current reports or other filings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 xml:space="preserve">into such registration statement, any preliminary prospectus, final prospectus or summary prospectus contained therein, or any amendment or supplement thereto, or arising out of or based upon any omission or alleged omission to state therein a material fact required to be stated therein or necessary to make the statements therein, in light of the circumstances under which they were made, not misleading or any violation of the Securities Act or state securities laws or rules thereunder by the Company relating to any action or inaction by the Company in connection with such registration and the Company will reimburse each Holder for any reasonable legal or any other expenses reasonably incurred by it in connection with investigating or defending any such loss, claim, liability, action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liable in any such case to the extent that any such loss, claim, damage, liability (or action or proceeding in respect thereof) or expense arises out of or is based upon an untrue statement or alleged statement or omission or alleged omission made in such registration statement, any such preliminary prospectus, final prospectus, summary prospectus, amendment or supplement in reliance upon and in conformity with written information furnished to the Company by any Holder specifically stating that it is for use in the preparation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liable to the Holders or any other Person who controls such Holder within the meaning of the Securities Act or the Exchange Act in any such case to the extent that any such loss, claim, damage, liability (or action or proceeding in respect thereof) or expense arises out of such Person’s failure to send or give a copy of the final prospectus or supplement to the Persons asserting an untrue statement or alleged untrue statement or omission or alleged omission at or prior to the written confirmation of the sale of Registrable Securities to such Person if such statement or omission was corrected in such final prospectus or supplement the filing date of which was prior to the date of the sale of the Registrable Securities giving rise to the Company’s indemnification obligation. Such indemnity shall remain in full force and effect regardless of any investigation made by or on behalf of the Holders or any such controlling Person and shall survive the transfer of such securities by the Holders.</w:t>
      </w:r>
    </w:p>
    <w:p>
      <w:pPr>
        <w:spacing w:after="0" w:line="175" w:lineRule="exact"/>
        <w:rPr>
          <w:sz w:val="20"/>
          <w:szCs w:val="20"/>
          <w:color w:val="auto"/>
        </w:rPr>
      </w:pPr>
    </w:p>
    <w:p>
      <w:pPr>
        <w:ind w:left="660" w:firstLine="645"/>
        <w:spacing w:after="0" w:line="268" w:lineRule="auto"/>
        <w:tabs>
          <w:tab w:leader="none" w:pos="196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Indemnification by the Holders</w:t>
      </w:r>
      <w:r>
        <w:rPr>
          <w:rFonts w:ascii="Arial" w:cs="Arial" w:eastAsia="Arial" w:hAnsi="Arial"/>
          <w:sz w:val="17"/>
          <w:szCs w:val="17"/>
          <w:color w:val="auto"/>
        </w:rPr>
        <w:t xml:space="preserve">. Each Holder agrees to indemnify and hold harmless (in the same manner and to the same extent as set forth in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the Company, each member of the Board, each officer, employee, agent and investment adviser of the Company and each other Person, if any, who controls any of the foregoing within the meaning of the Securities Act or the Exchange Act, with respect to any untrue statement or alleged untrue statement of a material fact in or omission or alleged omission to state a material fact from such registration statement, any preliminary prospectus, final prospectus or summary prospectus contained therein, or any amendment or supplement thereto, if such untrue statement or alleged untrue statement or omission or alleged omission was made in reliance upon and in conformity with written information furnished to the Company by such Holder regarding such Holder giving such indemnification specifically stating that it is for use in the preparation of such registration statement, preliminary prospectus, final prospectus, summary prospectus, amendment or supplement,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Holder shall not be liable to the Company or any other Person if such statement or omission was corrected in such final prospectus or supplement the filing date of which was prior to the date of the sale of the Registrable Securities giving rise to the Holder’s indemnification obligation. Such indemnity shall remain in full force and effect regardless of any investigation made by or on behalf of the Company or any such Board member, officer, employee, agent, investment adviser or controlling Person and shall survive the transfer of such securities by any Holder. The obligation of a Holder to indemnify will be several and not joint among the Holders of Registrable Securities and the liability of each such Holder of Registrable Securities will be in proportion to and limited in all events to the net amount received by such Holder from the sale of Registrable Securities pursuant to such registration statement.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5" w:lineRule="exact"/>
        <w:rPr>
          <w:rFonts w:ascii="Arial" w:cs="Arial" w:eastAsia="Arial" w:hAnsi="Arial"/>
          <w:sz w:val="17"/>
          <w:szCs w:val="17"/>
          <w:color w:val="auto"/>
        </w:rPr>
      </w:pPr>
    </w:p>
    <w:p>
      <w:pPr>
        <w:ind w:left="660" w:right="20" w:firstLine="645"/>
        <w:spacing w:after="0" w:line="270" w:lineRule="auto"/>
        <w:tabs>
          <w:tab w:leader="none" w:pos="1967"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of notice of the commencement of any action or proceeding involving a claim referred to in the preceding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indemnified party will, if a claim in respect thereof is to be made against an indemnifying party, give written notice to the latter of the commencement of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of any indemnified party to give notice as provided herein shall not relieve the indemnifying party of its obligations under the preceding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assume the defense thereof, for itself, if applicable, together with any other indemnified party similarly notified, and after notice from the indemnifying party to such indemnified party of its election so to assume the defense thereof, the indemnifying party shall not be liable to the indemnified party for any legal or other expenses subsequently incurred by the latter in connection with the defense thereof.</w:t>
      </w:r>
    </w:p>
    <w:p>
      <w:pPr>
        <w:spacing w:after="0" w:line="177" w:lineRule="exact"/>
        <w:rPr>
          <w:rFonts w:ascii="Arial" w:cs="Arial" w:eastAsia="Arial" w:hAnsi="Arial"/>
          <w:sz w:val="17"/>
          <w:szCs w:val="17"/>
          <w:color w:val="auto"/>
        </w:rPr>
      </w:pPr>
    </w:p>
    <w:p>
      <w:pPr>
        <w:ind w:left="660" w:right="80" w:firstLine="645"/>
        <w:spacing w:after="0" w:line="302" w:lineRule="auto"/>
        <w:tabs>
          <w:tab w:leader="none" w:pos="1964"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Indemnification Payments</w:t>
      </w:r>
      <w:r>
        <w:rPr>
          <w:rFonts w:ascii="Arial" w:cs="Arial" w:eastAsia="Arial" w:hAnsi="Arial"/>
          <w:sz w:val="16"/>
          <w:szCs w:val="16"/>
          <w:color w:val="auto"/>
        </w:rPr>
        <w:t xml:space="preserve">. To the extent that the indemnifying party does not assume the defense of an action brought against the indemnified party as provided in </w:t>
      </w:r>
      <w:r>
        <w:rPr>
          <w:rFonts w:ascii="Arial" w:cs="Arial" w:eastAsia="Arial" w:hAnsi="Arial"/>
          <w:sz w:val="16"/>
          <w:szCs w:val="16"/>
          <w:u w:val="single" w:color="auto"/>
          <w:color w:val="auto"/>
        </w:rPr>
        <w:t>Section 5(c)</w:t>
      </w:r>
      <w:r>
        <w:rPr>
          <w:rFonts w:ascii="Arial" w:cs="Arial" w:eastAsia="Arial" w:hAnsi="Arial"/>
          <w:sz w:val="16"/>
          <w:szCs w:val="16"/>
          <w:color w:val="auto"/>
        </w:rPr>
        <w:t>, the indemnified party (or parties if there is more than one) shall be entitled to the reasonable legal expenses of common counsel for the indemnified party (or parties). In such event, however, the indemnifying party will not be liable for any settlement effected without the written consent of such indemnifying party, which consent shall not be unreasonably withheld. The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-2338705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4" w:name="page55"/>
    <w:bookmarkEnd w:id="54"/>
    <w:p>
      <w:pPr>
        <w:ind w:left="660" w:right="180"/>
        <w:spacing w:after="0" w:line="259" w:lineRule="auto"/>
        <w:rPr>
          <w:sz w:val="20"/>
          <w:szCs w:val="20"/>
          <w:color w:val="auto"/>
        </w:rPr>
      </w:pPr>
      <w:r>
        <w:rPr>
          <w:rFonts w:ascii="Arial" w:cs="Arial" w:eastAsia="Arial" w:hAnsi="Arial"/>
          <w:sz w:val="18"/>
          <w:szCs w:val="18"/>
          <w:color w:val="auto"/>
        </w:rPr>
        <w:t xml:space="preserve">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made by periodic payments of the amount thereof during the course of an investigation or defense, as and when bills are received or expense, loss, damage or liability is incurred. The indemnifying party shall not settle any claim without the consent of the indemnified party, which consent shall not be unreasonably withheld, unless such settlement involves a complete release of such indemnified party without any admission of liability by the indemnified party.</w:t>
      </w:r>
    </w:p>
    <w:p>
      <w:pPr>
        <w:spacing w:after="0" w:line="187" w:lineRule="exact"/>
        <w:rPr>
          <w:sz w:val="20"/>
          <w:szCs w:val="20"/>
          <w:color w:val="auto"/>
        </w:rPr>
      </w:pPr>
    </w:p>
    <w:p>
      <w:pPr>
        <w:ind w:left="660" w:right="20" w:firstLine="645"/>
        <w:spacing w:after="0" w:line="268" w:lineRule="auto"/>
        <w:tabs>
          <w:tab w:leader="none" w:pos="1967"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for any reason, the foregoing indemnity is unavailable, or is insufficient to hold harmless an indemnified party, then the indemnifying party shall contribute to the amount paid or payable by the indemnified party as a result of the expense, loss, damage or liability, (i) in such proportion as is appropriate to reflect the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subclause (i) above is not permitted by applicable law or provides a lesser sum to the indemnified party than the amount hereinafter calculated, in the proportion as is appropriate to reflect not only the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 and the liability for contribution of each Holder of Registrable Securities will be in proportion to and limited in all events to the net amount received by such Holder from the sale of Registrable Securities pursuant to such registration statement.</w:t>
      </w:r>
    </w:p>
    <w:p>
      <w:pPr>
        <w:spacing w:after="0" w:line="187" w:lineRule="exact"/>
        <w:rPr>
          <w:rFonts w:ascii="Arial" w:cs="Arial" w:eastAsia="Arial" w:hAnsi="Arial"/>
          <w:sz w:val="17"/>
          <w:szCs w:val="17"/>
          <w:color w:val="auto"/>
        </w:rPr>
      </w:pPr>
    </w:p>
    <w:p>
      <w:pPr>
        <w:ind w:right="340" w:firstLine="656"/>
        <w:spacing w:after="0" w:line="277" w:lineRule="auto"/>
        <w:tabs>
          <w:tab w:leader="none" w:pos="131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Each Holder hereby agrees that it shall not, to the extent requested by the Company or an underwriter of securities of the Company, directly or indirectly sell,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sell (including without limitation any short sale), grant any option or otherwise transfer or dispose of any Registrable Securities (other than to donees or partners of the Holder who agree to be similarly bound) within seven days prior to and for up to 90 days following the effective date of a registration statement of the Company filed under the Securities Act or the date of an underwriting agreement with respect to an underwritten public offering of the Company’s securities (the “</w:t>
      </w:r>
      <w:r>
        <w:rPr>
          <w:rFonts w:ascii="Arial" w:cs="Arial" w:eastAsia="Arial" w:hAnsi="Arial"/>
          <w:sz w:val="18"/>
          <w:szCs w:val="18"/>
          <w:b w:val="1"/>
          <w:bCs w:val="1"/>
          <w:u w:val="single" w:color="auto"/>
          <w:color w:val="auto"/>
        </w:rPr>
        <w:t>Stand-Off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w:t>
      </w:r>
    </w:p>
    <w:p>
      <w:pPr>
        <w:spacing w:after="0" w:line="187" w:lineRule="exact"/>
        <w:rPr>
          <w:sz w:val="20"/>
          <w:szCs w:val="20"/>
          <w:color w:val="auto"/>
        </w:rPr>
      </w:pPr>
    </w:p>
    <w:p>
      <w:pPr>
        <w:ind w:left="660" w:firstLine="645"/>
        <w:spacing w:after="0" w:line="277" w:lineRule="auto"/>
        <w:tabs>
          <w:tab w:leader="none" w:pos="196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 respect to the Stand-Off Period, such agreement shall not be applicable to the Registrable Securities to be sold on the Holder’s behalf to the public in an underwritten offering pursuant to such registration statement;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then holding Common Stock of the Company shall enter into similar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obtain similar agreements from each 5% or greater shareholder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and</w:t>
      </w:r>
    </w:p>
    <w:p>
      <w:pPr>
        <w:spacing w:after="0" w:line="210" w:lineRule="exact"/>
        <w:rPr>
          <w:rFonts w:ascii="Arial" w:cs="Arial" w:eastAsia="Arial" w:hAnsi="Arial"/>
          <w:sz w:val="16"/>
          <w:szCs w:val="16"/>
          <w:color w:val="auto"/>
        </w:rPr>
      </w:pPr>
    </w:p>
    <w:p>
      <w:pPr>
        <w:ind w:left="660" w:right="360" w:firstLine="645"/>
        <w:spacing w:after="0" w:line="277" w:lineRule="auto"/>
        <w:tabs>
          <w:tab w:leader="none" w:pos="1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Holders shall be allowed any concession or proportionate release allowed to any (i) officer, (ii) director or (iii) other 5% or greater shareholder of the Company that entered into similar agreements.</w:t>
      </w:r>
    </w:p>
    <w:p>
      <w:pPr>
        <w:spacing w:after="0" w:line="17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 xml:space="preserve">In order to enforce the foregoing covenant, the Company shall have the right to place restrictive legends on the certificates representing the Registrable Securities subject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to impose stop transfer instructions with respect to the Registrable Securities and such other Common Shares of each Holder (and the Common Shares or securities of every other Person subject to the foregoing restriction) until the end of such period.</w:t>
      </w:r>
    </w:p>
    <w:p>
      <w:pPr>
        <w:spacing w:after="0" w:line="147" w:lineRule="exact"/>
        <w:rPr>
          <w:sz w:val="20"/>
          <w:szCs w:val="20"/>
          <w:color w:val="auto"/>
        </w:rPr>
      </w:pPr>
    </w:p>
    <w:p>
      <w:pPr>
        <w:ind w:right="40" w:firstLine="656"/>
        <w:spacing w:after="0" w:line="276" w:lineRule="auto"/>
        <w:tabs>
          <w:tab w:leader="none" w:pos="131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Covenants Relating To Rule 144</w:t>
      </w:r>
      <w:r>
        <w:rPr>
          <w:rFonts w:ascii="Arial" w:cs="Arial" w:eastAsia="Arial" w:hAnsi="Arial"/>
          <w:sz w:val="17"/>
          <w:szCs w:val="17"/>
          <w:color w:val="auto"/>
        </w:rPr>
        <w:t>. At such times as the Company becomes obligated to file reports in compliance with either Section 13 or 15(d) of the Exchange Act, the Company covenants that it will file any reports required to be filed by it under the Securities Act and the Exchange Act and that it will take such further action as any Holder may reasonably request, all to the extent required from time to time to enable Holders to sell Registrable Securities without registration under the Securities Act within the limitation of the exemptions provided by (a) Rule 144 under the Securities Act, as such rule may be amended from time to time or (b) any similar rule or regulation hereafter adopted by the Commission.</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5"/>
        <w:spacing w:after="0" w:line="279" w:lineRule="auto"/>
        <w:tabs>
          <w:tab w:leader="none" w:pos="1967"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Termination; Survival</w:t>
      </w:r>
      <w:r>
        <w:rPr>
          <w:rFonts w:ascii="Arial" w:cs="Arial" w:eastAsia="Arial" w:hAnsi="Arial"/>
          <w:sz w:val="17"/>
          <w:szCs w:val="17"/>
          <w:color w:val="auto"/>
        </w:rPr>
        <w:t xml:space="preserve">. The rights of each Holder under this Agreement shall terminate upon the date that all of the Registrable Securities held by such Holder may be sold during any three-month period in a single transaction or series of transactions without volume limitations under Rule 144 (or any successor provision) under the Securities Act. Notwithstanding the foregoing, the obligations of the parties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paragraphs (d), (e) and (g)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the termination of this Agreement.</w:t>
      </w:r>
    </w:p>
    <w:p>
      <w:pPr>
        <w:spacing w:after="0" w:line="171" w:lineRule="exact"/>
        <w:rPr>
          <w:rFonts w:ascii="Arial" w:cs="Arial" w:eastAsia="Arial" w:hAnsi="Arial"/>
          <w:sz w:val="17"/>
          <w:szCs w:val="17"/>
          <w:color w:val="auto"/>
        </w:rPr>
      </w:pPr>
    </w:p>
    <w:p>
      <w:pPr>
        <w:ind w:left="660" w:right="360" w:firstLine="645"/>
        <w:spacing w:after="0" w:line="277" w:lineRule="auto"/>
        <w:tabs>
          <w:tab w:leader="none" w:pos="1964"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All Registration Expenses incurred in connection with any Shelf Registration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borne by the Company, whether or not any registration statement related thereto becomes effective.</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7"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more such counterparts have been signed by each of the parties and delivered to each of the other parties.</w:t>
      </w:r>
    </w:p>
    <w:p>
      <w:pPr>
        <w:spacing w:after="0" w:line="225" w:lineRule="exact"/>
        <w:rPr>
          <w:sz w:val="20"/>
          <w:szCs w:val="20"/>
          <w:color w:val="auto"/>
        </w:rPr>
      </w:pPr>
    </w:p>
    <w:p>
      <w:pPr>
        <w:ind w:left="660" w:right="180" w:firstLine="645"/>
        <w:spacing w:after="0" w:line="302" w:lineRule="auto"/>
        <w:tabs>
          <w:tab w:leader="none" w:pos="1964"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This Agreement shall be governed by and construed in accordance with the laws of the State of Maryland. The parties consent to the exclusive jurisdiction of the United States District Court for the District of Utah in connection with any civil action concerning any controversy, dispute or claim arising out of or relating to this Agreement, or any other agreement contemplated by, or otherwise with respect to, this Agreement or the breach hereof, unless such court would not have subject matter jurisdiction thereof, in which event</w:t>
      </w:r>
    </w:p>
    <w:p>
      <w:pPr>
        <w:sectPr>
          <w:pgSz w:w="11900" w:h="16838" w:orient="portrait"/>
          <w:cols w:equalWidth="0" w:num="1">
            <w:col w:w="11420"/>
          </w:cols>
          <w:pgMar w:left="240" w:top="125" w:right="239" w:bottom="0" w:gutter="0" w:footer="0" w:header="0"/>
        </w:sectPr>
      </w:pPr>
    </w:p>
    <w:bookmarkStart w:id="55" w:name="page56"/>
    <w:bookmarkEnd w:id="55"/>
    <w:p>
      <w:pPr>
        <w:spacing w:after="0" w:line="2"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 xml:space="preserve">the parties consent to the jurisdiction of the State of Utah. The parties hereby waive and agree not to assert in any litigation concerning this Agreement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170" w:lineRule="exact"/>
        <w:rPr>
          <w:sz w:val="20"/>
          <w:szCs w:val="20"/>
          <w:color w:val="auto"/>
        </w:rPr>
      </w:pPr>
    </w:p>
    <w:p>
      <w:pPr>
        <w:ind w:left="660" w:right="220" w:firstLine="645"/>
        <w:spacing w:after="0" w:line="308" w:lineRule="auto"/>
        <w:tabs>
          <w:tab w:leader="none" w:pos="196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PARTIES HERETO HEREBY IRREVOCABLY AND UNCONDITIONALLY WAIVE TRIAL BY JURY IN ANY LEGAL ACTION OR PROCEEDING RELATING TO THIS AGREEMENT AND FOR ANY COUNTERCLAIM THEREIN.</w:t>
      </w:r>
    </w:p>
    <w:p>
      <w:pPr>
        <w:spacing w:after="0" w:line="146" w:lineRule="exact"/>
        <w:rPr>
          <w:rFonts w:ascii="Arial" w:cs="Arial" w:eastAsia="Arial" w:hAnsi="Arial"/>
          <w:sz w:val="17"/>
          <w:szCs w:val="17"/>
          <w:color w:val="auto"/>
        </w:rPr>
      </w:pPr>
    </w:p>
    <w:p>
      <w:pPr>
        <w:ind w:left="660" w:right="60" w:firstLine="645"/>
        <w:spacing w:after="0" w:line="259" w:lineRule="auto"/>
        <w:tabs>
          <w:tab w:leader="none" w:pos="197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Prior Agreement; Construction; Entire Agreement</w:t>
      </w:r>
      <w:r>
        <w:rPr>
          <w:rFonts w:ascii="Arial" w:cs="Arial" w:eastAsia="Arial" w:hAnsi="Arial"/>
          <w:sz w:val="18"/>
          <w:szCs w:val="18"/>
          <w:color w:val="auto"/>
        </w:rPr>
        <w:t>. This Agreement, including the exhibits and other documents referred to herein (which form a part hereof), constitutes the entire agreement of the parties with respect to the subject matter hereof, and supersedes all prior agreements and understandings between the parties, and all such prior agreements and understandings are merged herein and shall not survive the execution and delivery hereof.</w:t>
      </w:r>
    </w:p>
    <w:p>
      <w:pPr>
        <w:spacing w:after="0" w:line="186" w:lineRule="exact"/>
        <w:rPr>
          <w:rFonts w:ascii="Arial" w:cs="Arial" w:eastAsia="Arial" w:hAnsi="Arial"/>
          <w:sz w:val="18"/>
          <w:szCs w:val="18"/>
          <w:color w:val="auto"/>
        </w:rPr>
      </w:pPr>
    </w:p>
    <w:p>
      <w:pPr>
        <w:ind w:left="660" w:right="40" w:firstLine="645"/>
        <w:spacing w:after="0" w:line="259" w:lineRule="auto"/>
        <w:tabs>
          <w:tab w:leader="none" w:pos="196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hereunder shall be in writing and shall be delivered by hand or sent, postage prepaid, by registered, certified or express mail or reputable overnight courier service or be telecopier and shall be deemed given when so delivered by hand or, if mailed, three (3) Business Days after mailing (one Business Day in the case of express mail or overnight courier service), addressed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rPr>
              <w:t>If to the Holder:</w:t>
            </w: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w w:val="89"/>
              </w:rPr>
              <w:t>To the address indicated for such Holder in Schedule 1 hereto.</w:t>
            </w:r>
          </w:p>
        </w:tc>
      </w:tr>
      <w:tr>
        <w:trPr>
          <w:trHeight w:val="438"/>
        </w:trPr>
        <w:tc>
          <w:tcPr>
            <w:tcW w:w="3240" w:type="dxa"/>
            <w:vAlign w:val="bottom"/>
          </w:tcPr>
          <w:p>
            <w:pPr>
              <w:spacing w:after="0"/>
              <w:rPr>
                <w:sz w:val="20"/>
                <w:szCs w:val="20"/>
                <w:color w:val="auto"/>
              </w:rPr>
            </w:pPr>
            <w:r>
              <w:rPr>
                <w:rFonts w:ascii="Arial" w:cs="Arial" w:eastAsia="Arial" w:hAnsi="Arial"/>
                <w:sz w:val="18"/>
                <w:szCs w:val="18"/>
                <w:color w:val="auto"/>
              </w:rPr>
              <w:t>With a copy to:</w:t>
            </w:r>
          </w:p>
        </w:tc>
        <w:tc>
          <w:tcPr>
            <w:tcW w:w="4960" w:type="dxa"/>
            <w:vAlign w:val="bottom"/>
          </w:tcPr>
          <w:p>
            <w:pPr>
              <w:ind w:left="1800"/>
              <w:spacing w:after="0"/>
              <w:rPr>
                <w:sz w:val="20"/>
                <w:szCs w:val="20"/>
                <w:color w:val="auto"/>
              </w:rPr>
            </w:pPr>
            <w:r>
              <w:rPr>
                <w:rFonts w:ascii="Arial" w:cs="Arial" w:eastAsia="Arial" w:hAnsi="Arial"/>
                <w:sz w:val="18"/>
                <w:szCs w:val="18"/>
                <w:color w:val="auto"/>
              </w:rPr>
              <w:t>Miller, Starr &amp; Regalia</w:t>
            </w: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Attn: Eugene Miller &amp; Hans Lapping</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line="216" w:lineRule="exact"/>
              <w:rPr>
                <w:sz w:val="20"/>
                <w:szCs w:val="20"/>
                <w:color w:val="auto"/>
              </w:rPr>
            </w:pPr>
            <w:r>
              <w:rPr>
                <w:rFonts w:ascii="Arial" w:cs="Arial" w:eastAsia="Arial" w:hAnsi="Arial"/>
                <w:sz w:val="18"/>
                <w:szCs w:val="18"/>
                <w:color w:val="auto"/>
              </w:rPr>
              <w:t>1331 N. California Blvd.,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Flr.</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Walnut Creek, CA 94596</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Tel. (925) 935-9400</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Fax. (925) 933-4126</w:t>
            </w:r>
          </w:p>
        </w:tc>
      </w:tr>
      <w:tr>
        <w:trPr>
          <w:trHeight w:val="230"/>
        </w:trPr>
        <w:tc>
          <w:tcPr>
            <w:tcW w:w="3240" w:type="dxa"/>
            <w:vAlign w:val="bottom"/>
          </w:tcPr>
          <w:p>
            <w:pPr>
              <w:spacing w:after="0"/>
              <w:rPr>
                <w:sz w:val="20"/>
                <w:szCs w:val="20"/>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Email. ehm@msandr.com &amp; hl@msandr.com</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And with a copy to:</w:t>
            </w: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Baker &amp; McKenzie</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Attn: Richard M. Lipton</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One Prudential Plaza, Suite 3500</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130 East Randolph Drive</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Chicago, Illinois 60601</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Tel: 312-861-7590</w:t>
            </w:r>
          </w:p>
        </w:tc>
      </w:tr>
      <w:tr>
        <w:trPr>
          <w:trHeight w:val="216"/>
        </w:trPr>
        <w:tc>
          <w:tcPr>
            <w:tcW w:w="3240" w:type="dxa"/>
            <w:vAlign w:val="bottom"/>
          </w:tcPr>
          <w:p>
            <w:pPr>
              <w:spacing w:after="0"/>
              <w:rPr>
                <w:sz w:val="18"/>
                <w:szCs w:val="18"/>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Fax: 312-698-2254</w:t>
            </w:r>
          </w:p>
        </w:tc>
      </w:tr>
      <w:tr>
        <w:trPr>
          <w:trHeight w:val="230"/>
        </w:trPr>
        <w:tc>
          <w:tcPr>
            <w:tcW w:w="3240" w:type="dxa"/>
            <w:vAlign w:val="bottom"/>
          </w:tcPr>
          <w:p>
            <w:pPr>
              <w:spacing w:after="0"/>
              <w:rPr>
                <w:sz w:val="20"/>
                <w:szCs w:val="20"/>
                <w:color w:val="auto"/>
              </w:rPr>
            </w:pPr>
          </w:p>
        </w:tc>
        <w:tc>
          <w:tcPr>
            <w:tcW w:w="6280" w:type="dxa"/>
            <w:vAlign w:val="bottom"/>
            <w:gridSpan w:val="3"/>
          </w:tcPr>
          <w:p>
            <w:pPr>
              <w:ind w:left="1800"/>
              <w:spacing w:after="0"/>
              <w:rPr>
                <w:sz w:val="20"/>
                <w:szCs w:val="20"/>
                <w:color w:val="auto"/>
              </w:rPr>
            </w:pPr>
            <w:r>
              <w:rPr>
                <w:rFonts w:ascii="Arial" w:cs="Arial" w:eastAsia="Arial" w:hAnsi="Arial"/>
                <w:sz w:val="18"/>
                <w:szCs w:val="18"/>
                <w:color w:val="auto"/>
              </w:rPr>
              <w:t>Email: Richard.m.lipton@bakernet.com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2795 E. Cottonwood Parkway, #400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Charles Allen,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801-562-5579</w:t>
      </w:r>
    </w:p>
    <w:p>
      <w:pPr>
        <w:spacing w:after="0" w:line="200" w:lineRule="exact"/>
        <w:rPr>
          <w:sz w:val="20"/>
          <w:szCs w:val="20"/>
          <w:color w:val="auto"/>
        </w:rPr>
      </w:pPr>
    </w:p>
    <w:p>
      <w:pPr>
        <w:sectPr>
          <w:pgSz w:w="11900" w:h="16840" w:orient="portrait"/>
          <w:cols w:equalWidth="0" w:num="2">
            <w:col w:w="4320" w:space="720"/>
            <w:col w:w="6380"/>
          </w:cols>
          <w:pgMar w:left="240" w:top="125"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Extra Space Storage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David L. Rasmussen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2795 E. Cottonwood Parkway, #400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801-365-4473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801-365-4947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drasmussen@extraspace.com</w:t>
      </w:r>
    </w:p>
    <w:p>
      <w:pPr>
        <w:spacing w:after="0" w:line="200" w:lineRule="exact"/>
        <w:rPr>
          <w:sz w:val="20"/>
          <w:szCs w:val="20"/>
          <w:color w:val="auto"/>
        </w:rPr>
      </w:pPr>
    </w:p>
    <w:p>
      <w:pPr>
        <w:sectPr>
          <w:pgSz w:w="11900" w:h="16840" w:orient="portrait"/>
          <w:cols w:equalWidth="0" w:num="2">
            <w:col w:w="4320" w:space="720"/>
            <w:col w:w="6380"/>
          </w:cols>
          <w:pgMar w:left="240" w:top="125" w:right="239" w:bottom="0" w:gutter="0" w:footer="0" w:header="0"/>
          <w:type w:val="continuous"/>
        </w:sectPr>
      </w:pPr>
    </w:p>
    <w:p>
      <w:pPr>
        <w:spacing w:after="0" w:line="88" w:lineRule="exact"/>
        <w:rPr>
          <w:sz w:val="20"/>
          <w:szCs w:val="20"/>
          <w:color w:val="auto"/>
        </w:rPr>
      </w:pPr>
    </w:p>
    <w:p>
      <w:pPr>
        <w:ind w:left="660" w:right="80" w:firstLine="645"/>
        <w:spacing w:after="0" w:line="297" w:lineRule="auto"/>
        <w:tabs>
          <w:tab w:leader="none" w:pos="1964"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and permitted assigns of each of the parties and shall inure to the benefit of each Holder. The Company may assign its rights or obligations hereunder to any successor to the Company’s business or with the prior written consent of Holders of a majority of the then outstanding Registrable Securities. Notwithstanding the foregoing, no assignee of the Company shall have any of the rights granted under this Agreement until such assignee shall acknowledge its rights and obligations hereunder by a signed written agreement pursuant to which such assignee accepts such rights and obligations.</w:t>
      </w:r>
    </w:p>
    <w:p>
      <w:pPr>
        <w:spacing w:after="0" w:line="158" w:lineRule="exact"/>
        <w:rPr>
          <w:rFonts w:ascii="Arial" w:cs="Arial" w:eastAsia="Arial" w:hAnsi="Arial"/>
          <w:sz w:val="16"/>
          <w:szCs w:val="16"/>
          <w:color w:val="auto"/>
        </w:rPr>
      </w:pPr>
    </w:p>
    <w:p>
      <w:pPr>
        <w:ind w:left="660" w:right="100" w:firstLine="645"/>
        <w:spacing w:after="0" w:line="277" w:lineRule="auto"/>
        <w:tabs>
          <w:tab w:leader="none" w:pos="197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included solely for convenience of reference and if there is any conflict between headings and the text of this Agreement, the text shall control.</w:t>
      </w:r>
    </w:p>
    <w:p>
      <w:pPr>
        <w:spacing w:after="0" w:line="170" w:lineRule="exact"/>
        <w:rPr>
          <w:rFonts w:ascii="Arial" w:cs="Arial" w:eastAsia="Arial" w:hAnsi="Arial"/>
          <w:sz w:val="18"/>
          <w:szCs w:val="18"/>
          <w:color w:val="auto"/>
        </w:rPr>
      </w:pPr>
    </w:p>
    <w:p>
      <w:pPr>
        <w:ind w:left="660" w:firstLine="645"/>
        <w:spacing w:after="0" w:line="287" w:lineRule="auto"/>
        <w:tabs>
          <w:tab w:leader="none" w:pos="197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may be amended or waived at any time only by the written agreement of the Company and the Holders of a majority of the Registrable Securities, with, for the purposes of this Section 8(j) the holders of Series A Units being deemed to be the holders of that number of Registrable Securities that are issuable upon the exchange of their Series A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provisions of this Agreement may not be amended or waived without the consent of the Holders of all the Registrable Securities that are outstanding or issuable upon the exchange of Series A Units, which are adversely affected by such amendment or waiver if such amendment or waiver adversely affects a portion of the Registrable Securities that are outstanding or issuable upon the exchange of Series A Units but does not so adversely affect all of the Registrable Securities that are outstanding or issuable upon the exchange of Series A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provisions of the preceding provision may not be amended or waived except in accordance with this sentence. Any waiver, permit, consent or approval of any kind or character on the part of any such Holders of any provision or condition of this Agreement must be made in writing and shall be effective only to the extent specifically set forth in writing. Any amendment or waiver effected in accordance with this paragraph shall be binding upon each Holder of Registrable Securities and the Company.</w:t>
      </w:r>
    </w:p>
    <w:p>
      <w:pPr>
        <w:spacing w:after="0" w:line="172" w:lineRule="exact"/>
        <w:rPr>
          <w:rFonts w:ascii="Arial" w:cs="Arial" w:eastAsia="Arial" w:hAnsi="Arial"/>
          <w:sz w:val="16"/>
          <w:szCs w:val="16"/>
          <w:color w:val="auto"/>
        </w:rPr>
      </w:pPr>
    </w:p>
    <w:p>
      <w:pPr>
        <w:ind w:left="660" w:right="60" w:firstLine="645"/>
        <w:spacing w:after="0" w:line="342" w:lineRule="auto"/>
        <w:tabs>
          <w:tab w:leader="none" w:pos="197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Interpretation; Absence Of Presumption</w:t>
      </w:r>
      <w:r>
        <w:rPr>
          <w:rFonts w:ascii="Arial" w:cs="Arial" w:eastAsia="Arial" w:hAnsi="Arial"/>
          <w:sz w:val="16"/>
          <w:szCs w:val="16"/>
          <w:color w:val="auto"/>
        </w:rPr>
        <w:t>. For the purposes hereof, (i) words in the singular shall be held to include the plural and vice versa and words of one gender shall be held to include the other gender as the context requires, (ii) the terms “hereof,” “herein,” and “herewith”</w:t>
      </w:r>
    </w:p>
    <w:p>
      <w:pPr>
        <w:sectPr>
          <w:pgSz w:w="11900" w:h="16840" w:orient="portrait"/>
          <w:cols w:equalWidth="0" w:num="1">
            <w:col w:w="11420"/>
          </w:cols>
          <w:pgMar w:left="240" w:top="125" w:right="239" w:bottom="0" w:gutter="0" w:footer="0" w:header="0"/>
          <w:type w:val="continuous"/>
        </w:sectPr>
      </w:pPr>
    </w:p>
    <w:bookmarkStart w:id="56" w:name="page57"/>
    <w:bookmarkEnd w:id="56"/>
    <w:p>
      <w:pPr>
        <w:jc w:val="both"/>
        <w:ind w:left="660" w:right="180"/>
        <w:spacing w:after="0" w:line="264" w:lineRule="auto"/>
        <w:rPr>
          <w:sz w:val="20"/>
          <w:szCs w:val="20"/>
          <w:color w:val="auto"/>
        </w:rPr>
      </w:pPr>
      <w:r>
        <w:rPr>
          <w:rFonts w:ascii="Arial" w:cs="Arial" w:eastAsia="Arial" w:hAnsi="Arial"/>
          <w:sz w:val="18"/>
          <w:szCs w:val="18"/>
          <w:color w:val="auto"/>
        </w:rPr>
        <w:t>and words of similar import shall, unless otherwise stated, be construed to refer to this Agreement as a whole and not to any particular provision of this Agreement, and Section, paragraph or other references are to the Sections, paragraphs, or other references to this Agreement unless otherwise specified, (iii) the word “including” and words of similar import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when used in this Agreement shall mean “including, without limitation,” unless the context otherwise requires or unless otherwise specified, (iv) the word “or” shall not be exclusive and (v) provisions shall apply, when appropriate, to successive events and transactions.</w:t>
      </w:r>
    </w:p>
    <w:p>
      <w:pPr>
        <w:spacing w:after="0" w:line="147" w:lineRule="exact"/>
        <w:rPr>
          <w:sz w:val="20"/>
          <w:szCs w:val="20"/>
          <w:color w:val="auto"/>
        </w:rPr>
      </w:pPr>
    </w:p>
    <w:p>
      <w:pPr>
        <w:ind w:left="660" w:right="460" w:firstLine="648"/>
        <w:spacing w:after="0" w:line="277" w:lineRule="auto"/>
        <w:rPr>
          <w:sz w:val="20"/>
          <w:szCs w:val="20"/>
          <w:color w:val="auto"/>
        </w:rPr>
      </w:pPr>
      <w:r>
        <w:rPr>
          <w:rFonts w:ascii="Arial" w:cs="Arial" w:eastAsia="Arial" w:hAnsi="Arial"/>
          <w:sz w:val="18"/>
          <w:szCs w:val="18"/>
          <w:color w:val="auto"/>
        </w:rPr>
        <w:t>This Agreement shall be construed without regard to any presumption or rule requiring construction or interpretation against the party drafting or causing any instruments to be drafted.</w:t>
      </w:r>
    </w:p>
    <w:p>
      <w:pPr>
        <w:spacing w:after="0" w:line="170" w:lineRule="exact"/>
        <w:rPr>
          <w:sz w:val="20"/>
          <w:szCs w:val="20"/>
          <w:color w:val="auto"/>
        </w:rPr>
      </w:pPr>
    </w:p>
    <w:p>
      <w:pPr>
        <w:ind w:left="660" w:firstLine="645"/>
        <w:spacing w:after="0" w:line="279" w:lineRule="auto"/>
        <w:tabs>
          <w:tab w:leader="none" w:pos="197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or shall be held or deemed by a final order by a competent authority to be invalid, inoperative or unenforceable, such circumstance shall not have the effect of rendering any other provision or provisions herein contained invalid, inoperative or unenforceable, but this Agreement shall be construed as if such invalid, inoperative or unenforceable provision had never been contained herein so as to give full force and effect to the remaining such terms and provisions.</w:t>
      </w:r>
    </w:p>
    <w:p>
      <w:pPr>
        <w:spacing w:after="0" w:line="171" w:lineRule="exact"/>
        <w:rPr>
          <w:rFonts w:ascii="Arial" w:cs="Arial" w:eastAsia="Arial" w:hAnsi="Arial"/>
          <w:sz w:val="17"/>
          <w:szCs w:val="17"/>
          <w:color w:val="auto"/>
        </w:rPr>
      </w:pPr>
    </w:p>
    <w:p>
      <w:pPr>
        <w:jc w:val="both"/>
        <w:ind w:left="660" w:right="320" w:firstLine="645"/>
        <w:spacing w:after="0" w:line="264" w:lineRule="auto"/>
        <w:tabs>
          <w:tab w:leader="none" w:pos="198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Specific Performance; Other Rights</w:t>
      </w:r>
      <w:r>
        <w:rPr>
          <w:rFonts w:ascii="Arial" w:cs="Arial" w:eastAsia="Arial" w:hAnsi="Arial"/>
          <w:sz w:val="18"/>
          <w:szCs w:val="18"/>
          <w:color w:val="auto"/>
        </w:rPr>
        <w:t>. The parties recognize that various other rights rendered under this Agreement are unique and, accordingly, the parties shall, in addition to such other remedies as may be available to them at law or in equity, have the right to enforce the rights under this Agreement by actions for injunctive relief and specific performance.</w:t>
      </w:r>
    </w:p>
    <w:p>
      <w:pPr>
        <w:spacing w:after="0" w:line="181" w:lineRule="exact"/>
        <w:rPr>
          <w:rFonts w:ascii="Arial" w:cs="Arial" w:eastAsia="Arial" w:hAnsi="Arial"/>
          <w:sz w:val="18"/>
          <w:szCs w:val="18"/>
          <w:color w:val="auto"/>
        </w:rPr>
      </w:pPr>
    </w:p>
    <w:p>
      <w:pPr>
        <w:ind w:left="660" w:right="20" w:firstLine="645"/>
        <w:spacing w:after="0" w:line="279" w:lineRule="auto"/>
        <w:tabs>
          <w:tab w:leader="none" w:pos="1964"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In connection with this Agreement, as well as all transactions and covenants contemplated by this Agreement, each party hereto agrees to execute and deliver or cause to be executed and delivered such additional documents and instruments and to perform or cause to be performed such additional acts as may be necessary or appropriate to effectuate, carry out and perform all of the terms, provisions and conditions of this Agreement and all such transactions and covenants contemplated by this Agreement.</w:t>
      </w:r>
    </w:p>
    <w:p>
      <w:pPr>
        <w:spacing w:after="0" w:line="171" w:lineRule="exact"/>
        <w:rPr>
          <w:rFonts w:ascii="Arial" w:cs="Arial" w:eastAsia="Arial" w:hAnsi="Arial"/>
          <w:sz w:val="17"/>
          <w:szCs w:val="17"/>
          <w:color w:val="auto"/>
        </w:rPr>
      </w:pPr>
    </w:p>
    <w:p>
      <w:pPr>
        <w:ind w:left="660" w:right="40" w:firstLine="645"/>
        <w:spacing w:after="0" w:line="264" w:lineRule="auto"/>
        <w:tabs>
          <w:tab w:leader="none" w:pos="196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waiver of any breach of any term or condition of this Agreement shall not operate as a waiver of any other breach of such term or condition or of any other term or condition, nor shall any failure to enforce any provision hereof operate as a waiver of such provision or of any other provision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EXTRA SPACE STORAGE INC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Maryland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4352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 JAMES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BARBARA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6"/>
              </w:rPr>
              <w:t>Schedule 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20" w:type="dxa"/>
            <w:vAlign w:val="bottom"/>
          </w:tcPr>
          <w:p>
            <w:pPr>
              <w:spacing w:after="0"/>
              <w:rPr>
                <w:sz w:val="24"/>
                <w:szCs w:val="24"/>
                <w:color w:val="auto"/>
              </w:rPr>
            </w:pPr>
          </w:p>
        </w:tc>
        <w:tc>
          <w:tcPr>
            <w:tcW w:w="3580" w:type="dxa"/>
            <w:vAlign w:val="bottom"/>
            <w:gridSpan w:val="3"/>
          </w:tcPr>
          <w:p>
            <w:pPr>
              <w:jc w:val="center"/>
              <w:ind w:left="524"/>
              <w:spacing w:after="0"/>
              <w:rPr>
                <w:sz w:val="20"/>
                <w:szCs w:val="20"/>
                <w:color w:val="auto"/>
              </w:rPr>
            </w:pPr>
            <w:r>
              <w:rPr>
                <w:rFonts w:ascii="Arial" w:cs="Arial" w:eastAsia="Arial" w:hAnsi="Arial"/>
                <w:sz w:val="18"/>
                <w:szCs w:val="18"/>
                <w:color w:val="auto"/>
                <w:w w:val="95"/>
              </w:rPr>
              <w:t>THE HOLDERS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List of holders of the Series A Units:</w:t>
            </w: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35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7"/>
              </w:rPr>
              <w:t>Number of</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Name of the Holder</w:t>
            </w:r>
          </w:p>
        </w:tc>
        <w:tc>
          <w:tcPr>
            <w:tcW w:w="3580" w:type="dxa"/>
            <w:vAlign w:val="bottom"/>
            <w:gridSpan w:val="3"/>
          </w:tcPr>
          <w:p>
            <w:pPr>
              <w:jc w:val="center"/>
              <w:ind w:right="820"/>
              <w:spacing w:after="0" w:line="135" w:lineRule="exact"/>
              <w:rPr>
                <w:sz w:val="20"/>
                <w:szCs w:val="20"/>
                <w:color w:val="auto"/>
              </w:rPr>
            </w:pPr>
            <w:r>
              <w:rPr>
                <w:rFonts w:ascii="Arial" w:cs="Arial" w:eastAsia="Arial" w:hAnsi="Arial"/>
                <w:sz w:val="14"/>
                <w:szCs w:val="14"/>
                <w:b w:val="1"/>
                <w:bCs w:val="1"/>
                <w:color w:val="auto"/>
                <w:w w:val="92"/>
              </w:rPr>
              <w:t>Series A Units</w:t>
            </w:r>
          </w:p>
        </w:tc>
        <w:tc>
          <w:tcPr>
            <w:tcW w:w="2220" w:type="dxa"/>
            <w:vAlign w:val="bottom"/>
            <w:vMerge w:val="restart"/>
          </w:tcPr>
          <w:p>
            <w:pPr>
              <w:ind w:left="880"/>
              <w:spacing w:after="0"/>
              <w:rPr>
                <w:sz w:val="20"/>
                <w:szCs w:val="20"/>
                <w:color w:val="auto"/>
              </w:rPr>
            </w:pPr>
            <w:r>
              <w:rPr>
                <w:rFonts w:ascii="Arial" w:cs="Arial" w:eastAsia="Arial" w:hAnsi="Arial"/>
                <w:sz w:val="14"/>
                <w:szCs w:val="14"/>
                <w:b w:val="1"/>
                <w:bCs w:val="1"/>
                <w:color w:val="auto"/>
                <w:w w:val="90"/>
              </w:rPr>
              <w:t>Address of the Holder</w:t>
            </w:r>
          </w:p>
        </w:tc>
        <w:tc>
          <w:tcPr>
            <w:tcW w:w="0" w:type="dxa"/>
            <w:vAlign w:val="bottom"/>
          </w:tcPr>
          <w:p>
            <w:pPr>
              <w:spacing w:after="0"/>
              <w:rPr>
                <w:sz w:val="1"/>
                <w:szCs w:val="1"/>
                <w:color w:val="auto"/>
              </w:rPr>
            </w:pPr>
          </w:p>
        </w:tc>
      </w:tr>
      <w:tr>
        <w:trPr>
          <w:trHeight w:val="177"/>
        </w:trPr>
        <w:tc>
          <w:tcPr>
            <w:tcW w:w="3620" w:type="dxa"/>
            <w:vAlign w:val="bottom"/>
            <w:vMerge w:val="continue"/>
          </w:tcPr>
          <w:p>
            <w:pPr>
              <w:spacing w:after="0"/>
              <w:rPr>
                <w:sz w:val="15"/>
                <w:szCs w:val="15"/>
                <w:color w:val="auto"/>
              </w:rPr>
            </w:pPr>
          </w:p>
        </w:tc>
        <w:tc>
          <w:tcPr>
            <w:tcW w:w="35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2"/>
              </w:rPr>
              <w:t>Held</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 James Knuppe and Barbara Knuppe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8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Extra Space Storage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0785" cy="531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785" cy="53149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(801) 562-5556</w:t>
      </w:r>
      <w:r>
        <w:rPr>
          <w:rFonts w:ascii="Arial" w:cs="Arial" w:eastAsia="Arial" w:hAnsi="Arial"/>
          <w:sz w:val="18"/>
          <w:szCs w:val="18"/>
          <w:b w:val="1"/>
          <w:bCs w:val="1"/>
          <w:color w:val="auto"/>
        </w:rPr>
        <w:t xml:space="preserve"> FAX </w:t>
      </w:r>
      <w:r>
        <w:rPr>
          <w:rFonts w:ascii="Arial" w:cs="Arial" w:eastAsia="Arial" w:hAnsi="Arial"/>
          <w:sz w:val="18"/>
          <w:szCs w:val="18"/>
          <w:color w:val="auto"/>
        </w:rPr>
        <w:t>(801) 562-5579</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2795 East Cottonwood Parkway, Suite 400</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Salt Lake City, Utah 84121</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www.extraspace.com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IMMEDIATE RELEASE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 Closes Acquisition of Self-Storage Properties from AAAAA Rent-A-Space</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S</w:t>
      </w:r>
      <w:r>
        <w:rPr>
          <w:rFonts w:ascii="Arial" w:cs="Arial" w:eastAsia="Arial" w:hAnsi="Arial"/>
          <w:sz w:val="17"/>
          <w:szCs w:val="17"/>
          <w:color w:val="auto"/>
        </w:rPr>
        <w:t>ALT LAKE CITY, UT, June 26, 2007 - Extra Space Storage Inc. (the “Company”) (NYSE: EXR) today announced the closing of 12 of the 13 self-storage</w:t>
      </w:r>
      <w:r>
        <w:rPr>
          <w:rFonts w:ascii="Arial" w:cs="Arial" w:eastAsia="Arial" w:hAnsi="Arial"/>
          <w:sz w:val="18"/>
          <w:szCs w:val="18"/>
          <w:color w:val="auto"/>
        </w:rPr>
        <w:t xml:space="preserve"> </w:t>
      </w:r>
      <w:r>
        <w:rPr>
          <w:rFonts w:ascii="Arial" w:cs="Arial" w:eastAsia="Arial" w:hAnsi="Arial"/>
          <w:sz w:val="17"/>
          <w:szCs w:val="17"/>
          <w:color w:val="auto"/>
        </w:rPr>
        <w:t>facilities (the “Properties”) pursuant to its previously announced contribution agreement with various limited partnerships affiliated with AAAAA Rent-A-Space . The Company expects to close the acquisition of the remaining self-storage facility in mid-July.</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Eleven of the Properties are located in the Bay Area of Northern California and two are in Hawaii. The Properties include approximately 14,700 self-storage units, containing an aggregate of approximately 1.04 million square feet of net rentable space. The Company will operate the 13 Properties as 10 due to the close proximity of certain Properties.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Commenting on the closing of the acquisition, Kenneth M. Woolley, Chairman and Chief Executive Officer of the Company stated, “We are very pleased to begin closing this portfolio of properties. The facilities in the Bay Area complement our existing properties in the area and enhance our operational and marketing efficiencies. In addition, the properties in Hawaii give us a presence in a high barrier-to-entry, vibrant self-storage market.”</w:t>
      </w:r>
    </w:p>
    <w:p>
      <w:pPr>
        <w:spacing w:after="0" w:line="166"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When completed, the total value of the contribution considerations for the Properties is expected to be approximately $150.2 million, and includes the issuance of approximately $130 million of newly designated Series A Participating Redeemable Preferred Units. It will also include the assumption of approximately $20 million of third-party debt, of which approximately $12 million is expected to be repaid at close or shortly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When used in this discussion and elsewhere, the words “believes,” “anticipates,” “projects,” “should,” “estimates,” “expects” and similar expressions are intended to identify forward-looking statements within the meaning of Section 27A of the Securities Act of 1933, as amended, and Section 21E of the Securities Exchange Act of 1934, as amended. Forward-looking statements include statements concerning the Company’s plans, objectives, goals, strategies, future events, future revenues or performance, capital expenditures, financing needs, plans or intentions relating to acquisitions and other information that is not historical information. The Company may also make additional forward-looking statements from time to time. All such subsequent forward-looking statements, whether written or oral, by the Company or on its behalf, are also expressly qualified by these cautionary statements. All forward-looking statements, including without limitation, regarding the closing of the acquisition on the terms described in this press release, or at all, are based upon the Company’s current expectations and various assumptions. The Company’s expectations, beliefs and projections are expressed in good faith and it believes there is a reasonable basis for them, but there can be no assurance that management’s expectations, beliefs and projections will result or be achieved. All forward-looking statements involve known and unknown risks, uncertainties and other factors that may cause the actual results, performance or achievements of the Company to be materially different from those expressed or implied in the forward-looking statements. For a further list and description of such risks and uncertainties, please refer to the Company’s SEC filings, including its most recent Annual Report on Form 10-K for the year ended December 31, 2006 and subsequent Quarterly Reports on Form 10-Q. All forward-looking statements apply only as of the date made.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60" w:type="dxa"/>
            <w:vAlign w:val="bottom"/>
          </w:tcPr>
          <w:p>
            <w:pPr>
              <w:jc w:val="right"/>
              <w:ind w:right="5530"/>
              <w:spacing w:after="0"/>
              <w:rPr>
                <w:sz w:val="20"/>
                <w:szCs w:val="20"/>
                <w:color w:val="auto"/>
              </w:rPr>
            </w:pPr>
            <w:r>
              <w:rPr>
                <w:rFonts w:ascii="Arial" w:cs="Arial" w:eastAsia="Arial" w:hAnsi="Arial"/>
                <w:sz w:val="18"/>
                <w:szCs w:val="18"/>
                <w:color w:val="auto"/>
              </w:rPr>
              <w:t>###</w:t>
            </w: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For Information:</w:t>
            </w:r>
          </w:p>
        </w:tc>
        <w:tc>
          <w:tcPr>
            <w:tcW w:w="7960" w:type="dxa"/>
            <w:vAlign w:val="bottom"/>
          </w:tcPr>
          <w:p>
            <w:pPr>
              <w:spacing w:after="0"/>
              <w:rPr>
                <w:sz w:val="24"/>
                <w:szCs w:val="24"/>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James Overturf</w:t>
            </w:r>
          </w:p>
        </w:tc>
        <w:tc>
          <w:tcPr>
            <w:tcW w:w="7960" w:type="dxa"/>
            <w:vAlign w:val="bottom"/>
          </w:tcPr>
          <w:p>
            <w:pPr>
              <w:ind w:left="1700"/>
              <w:spacing w:after="0"/>
              <w:rPr>
                <w:sz w:val="20"/>
                <w:szCs w:val="20"/>
                <w:color w:val="auto"/>
              </w:rPr>
            </w:pPr>
            <w:r>
              <w:rPr>
                <w:rFonts w:ascii="Arial" w:cs="Arial" w:eastAsia="Arial" w:hAnsi="Arial"/>
                <w:sz w:val="18"/>
                <w:szCs w:val="18"/>
                <w:color w:val="auto"/>
              </w:rPr>
              <w:t>Mark Collinson</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7960" w:type="dxa"/>
            <w:vAlign w:val="bottom"/>
          </w:tcPr>
          <w:p>
            <w:pPr>
              <w:ind w:left="1700"/>
              <w:spacing w:after="0"/>
              <w:rPr>
                <w:sz w:val="20"/>
                <w:szCs w:val="20"/>
                <w:color w:val="auto"/>
              </w:rPr>
            </w:pPr>
            <w:r>
              <w:rPr>
                <w:rFonts w:ascii="Arial" w:cs="Arial" w:eastAsia="Arial" w:hAnsi="Arial"/>
                <w:sz w:val="18"/>
                <w:szCs w:val="18"/>
                <w:color w:val="auto"/>
              </w:rPr>
              <w:t>CCG Investor Relations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(801) 365-4501</w:t>
            </w:r>
          </w:p>
        </w:tc>
        <w:tc>
          <w:tcPr>
            <w:tcW w:w="7960" w:type="dxa"/>
            <w:vAlign w:val="bottom"/>
          </w:tcPr>
          <w:p>
            <w:pPr>
              <w:ind w:left="1700"/>
              <w:spacing w:after="0"/>
              <w:rPr>
                <w:sz w:val="20"/>
                <w:szCs w:val="20"/>
                <w:color w:val="auto"/>
              </w:rPr>
            </w:pPr>
            <w:r>
              <w:rPr>
                <w:rFonts w:ascii="Arial" w:cs="Arial" w:eastAsia="Arial" w:hAnsi="Arial"/>
                <w:sz w:val="18"/>
                <w:szCs w:val="18"/>
                <w:color w:val="auto"/>
              </w:rPr>
              <w:t>(818) 477-9800</w:t>
            </w:r>
          </w:p>
        </w:tc>
      </w:tr>
      <w:tr>
        <w:trPr>
          <w:trHeight w:val="645"/>
        </w:trPr>
        <w:tc>
          <w:tcPr>
            <w:tcW w:w="3500" w:type="dxa"/>
            <w:vAlign w:val="bottom"/>
            <w:tcBorders>
              <w:bottom w:val="single" w:sz="8" w:color="010101"/>
            </w:tcBorders>
          </w:tcPr>
          <w:p>
            <w:pPr>
              <w:spacing w:after="0"/>
              <w:rPr>
                <w:sz w:val="24"/>
                <w:szCs w:val="24"/>
                <w:color w:val="auto"/>
              </w:rPr>
            </w:pPr>
          </w:p>
        </w:tc>
        <w:tc>
          <w:tcPr>
            <w:tcW w:w="7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o"/>
      <w:numFmt w:val="bullet"/>
      <w:start w:val="1"/>
    </w:lvl>
  </w:abstractNum>
  <w:abstractNum w:abstractNumId="1">
    <w:nsid w:val="168E121F"/>
    <w:multiLevelType w:val="hybridMultilevel"/>
    <w:lvl w:ilvl="0">
      <w:lvlJc w:val="left"/>
      <w:lvlText w:val="(%1)"/>
      <w:numFmt w:val="lowerRoman"/>
      <w:start w:val="1"/>
    </w:lvl>
  </w:abstractNum>
  <w:abstractNum w:abstractNumId="2">
    <w:nsid w:val="1EBA5D23"/>
    <w:multiLevelType w:val="hybridMultilevel"/>
    <w:lvl w:ilvl="0">
      <w:lvlJc w:val="left"/>
      <w:lvlText w:val="(%1)"/>
      <w:numFmt w:val="lowerRoman"/>
      <w:start w:val="2"/>
    </w:lvl>
  </w:abstractNum>
  <w:abstractNum w:abstractNumId="3">
    <w:nsid w:val="661E3F1E"/>
    <w:multiLevelType w:val="hybridMultilevel"/>
    <w:lvl w:ilvl="0">
      <w:lvlJc w:val="left"/>
      <w:lvlText w:val="%1."/>
      <w:numFmt w:val="upperLetter"/>
      <w:start w:val="1"/>
    </w:lvl>
  </w:abstractNum>
  <w:abstractNum w:abstractNumId="4">
    <w:nsid w:val="5DC79EA8"/>
    <w:multiLevelType w:val="hybridMultilevel"/>
    <w:lvl w:ilvl="0">
      <w:lvlJc w:val="left"/>
      <w:lvlText w:val="(%1)"/>
      <w:numFmt w:val="lowerLetter"/>
      <w:start w:val="1"/>
    </w:lvl>
    <w:lvl w:ilvl="1">
      <w:lvlJc w:val="left"/>
      <w:lvlText w:val="(%2)"/>
      <w:numFmt w:val="lowerRoman"/>
      <w:start w:val="1"/>
    </w:lvl>
  </w:abstractNum>
  <w:abstractNum w:abstractNumId="5">
    <w:nsid w:val="540A471C"/>
    <w:multiLevelType w:val="hybridMultilevel"/>
    <w:lvl w:ilvl="0">
      <w:lvlJc w:val="left"/>
      <w:lvlText w:val="%1"/>
      <w:numFmt w:val="lowerLetter"/>
      <w:start w:val="1"/>
    </w:lvl>
    <w:lvl w:ilvl="1">
      <w:lvlJc w:val="left"/>
      <w:lvlText w:val="(%2)"/>
      <w:numFmt w:val="lowerRoman"/>
      <w:start w:val="6"/>
    </w:lvl>
  </w:abstractNum>
  <w:abstractNum w:abstractNumId="6">
    <w:nsid w:val="7BD3EE7B"/>
    <w:multiLevelType w:val="hybridMultilevel"/>
    <w:lvl w:ilvl="0">
      <w:lvlJc w:val="left"/>
      <w:lvlText w:val="(%1)"/>
      <w:numFmt w:val="lowerLetter"/>
      <w:start w:val="3"/>
    </w:lvl>
    <w:lvl w:ilvl="1">
      <w:lvlJc w:val="left"/>
      <w:lvlText w:val="%2"/>
      <w:numFmt w:val="lowerRoman"/>
      <w:start w:val="1"/>
    </w:lvl>
  </w:abstractNum>
  <w:abstractNum w:abstractNumId="7">
    <w:nsid w:val="51D9C564"/>
    <w:multiLevelType w:val="hybridMultilevel"/>
    <w:lvl w:ilvl="0">
      <w:lvlJc w:val="left"/>
      <w:lvlText w:val="(%1)"/>
      <w:numFmt w:val="lowerLetter"/>
      <w:start w:val="4"/>
    </w:lvl>
  </w:abstractNum>
  <w:abstractNum w:abstractNumId="8">
    <w:nsid w:val="613EFDC5"/>
    <w:multiLevelType w:val="hybridMultilevel"/>
    <w:lvl w:ilvl="0">
      <w:lvlJc w:val="left"/>
      <w:lvlText w:val="(%1)"/>
      <w:numFmt w:val="lowerLetter"/>
      <w:start w:val="1"/>
    </w:lvl>
  </w:abstractNum>
  <w:abstractNum w:abstractNumId="9">
    <w:nsid w:val="BF72B14"/>
    <w:multiLevelType w:val="hybridMultilevel"/>
    <w:lvl w:ilvl="0">
      <w:lvlJc w:val="left"/>
      <w:lvlText w:val="(%1)"/>
      <w:numFmt w:val="lowerLetter"/>
      <w:start w:val="4"/>
    </w:lvl>
  </w:abstractNum>
  <w:abstractNum w:abstractNumId="10">
    <w:nsid w:val="11447B73"/>
    <w:multiLevelType w:val="hybridMultilevel"/>
    <w:lvl w:ilvl="0">
      <w:lvlJc w:val="left"/>
      <w:lvlText w:val="(%1)"/>
      <w:numFmt w:val="lowerLetter"/>
      <w:start w:val="5"/>
    </w:lvl>
  </w:abstractNum>
  <w:abstractNum w:abstractNumId="11">
    <w:nsid w:val="42963E5A"/>
    <w:multiLevelType w:val="hybridMultilevel"/>
    <w:lvl w:ilvl="0">
      <w:lvlJc w:val="left"/>
      <w:lvlText w:val="%1."/>
      <w:numFmt w:val="upperLetter"/>
      <w:start w:val="1"/>
    </w:lvl>
  </w:abstractNum>
  <w:abstractNum w:abstractNumId="12">
    <w:nsid w:val="A0382C5"/>
    <w:multiLevelType w:val="hybridMultilevel"/>
    <w:lvl w:ilvl="0">
      <w:lvlJc w:val="left"/>
      <w:lvlText w:val="(%1)"/>
      <w:numFmt w:val="lowerRoman"/>
      <w:start w:val="1"/>
    </w:lvl>
  </w:abstractNum>
  <w:abstractNum w:abstractNumId="13">
    <w:nsid w:val="8F2B15E"/>
    <w:multiLevelType w:val="hybridMultilevel"/>
    <w:lvl w:ilvl="0">
      <w:lvlJc w:val="left"/>
      <w:lvlText w:val="%1."/>
      <w:numFmt w:val="upperLetter"/>
      <w:start w:val="2"/>
    </w:lvl>
  </w:abstractNum>
  <w:abstractNum w:abstractNumId="14">
    <w:nsid w:val="1A32234B"/>
    <w:multiLevelType w:val="hybridMultilevel"/>
    <w:lvl w:ilvl="0">
      <w:lvlJc w:val="left"/>
      <w:lvlText w:val="%1."/>
      <w:numFmt w:val="upperLetter"/>
      <w:start w:val="1"/>
    </w:lvl>
  </w:abstractNum>
  <w:abstractNum w:abstractNumId="15">
    <w:nsid w:val="3B0FD379"/>
    <w:multiLevelType w:val="hybridMultilevel"/>
    <w:lvl w:ilvl="0">
      <w:lvlJc w:val="left"/>
      <w:lvlText w:val="%1."/>
      <w:numFmt w:val="upperLetter"/>
      <w:start w:val="1"/>
    </w:lvl>
  </w:abstractNum>
  <w:abstractNum w:abstractNumId="16">
    <w:nsid w:val="68EB2F63"/>
    <w:multiLevelType w:val="hybridMultilevel"/>
    <w:lvl w:ilvl="0">
      <w:lvlJc w:val="left"/>
      <w:lvlText w:val="%1."/>
      <w:numFmt w:val="upperLetter"/>
      <w:start w:val="2"/>
    </w:lvl>
  </w:abstractNum>
  <w:abstractNum w:abstractNumId="17">
    <w:nsid w:val="4962813B"/>
    <w:multiLevelType w:val="hybridMultilevel"/>
    <w:lvl w:ilvl="0">
      <w:lvlJc w:val="left"/>
      <w:lvlText w:val="%1."/>
      <w:numFmt w:val="upperLetter"/>
      <w:start w:val="3"/>
    </w:lvl>
  </w:abstractNum>
  <w:abstractNum w:abstractNumId="18">
    <w:nsid w:val="60B6DF70"/>
    <w:multiLevelType w:val="hybridMultilevel"/>
    <w:lvl w:ilvl="0">
      <w:lvlJc w:val="left"/>
      <w:lvlText w:val="%1."/>
      <w:numFmt w:val="upperLetter"/>
      <w:start w:val="1"/>
    </w:lvl>
  </w:abstractNum>
  <w:abstractNum w:abstractNumId="19">
    <w:nsid w:val="6A5EE64"/>
    <w:multiLevelType w:val="hybridMultilevel"/>
    <w:lvl w:ilvl="0">
      <w:lvlJc w:val="left"/>
      <w:lvlText w:val="%1."/>
      <w:numFmt w:val="upperLetter"/>
      <w:start w:val="2"/>
    </w:lvl>
  </w:abstractNum>
  <w:abstractNum w:abstractNumId="20">
    <w:nsid w:val="14330624"/>
    <w:multiLevelType w:val="hybridMultilevel"/>
    <w:lvl w:ilvl="0">
      <w:lvlJc w:val="left"/>
      <w:lvlText w:val="%1."/>
      <w:numFmt w:val="upperLetter"/>
      <w:start w:val="1"/>
    </w:lvl>
  </w:abstractNum>
  <w:abstractNum w:abstractNumId="21">
    <w:nsid w:val="7FFFCA11"/>
    <w:multiLevelType w:val="hybridMultilevel"/>
    <w:lvl w:ilvl="0">
      <w:lvlJc w:val="left"/>
      <w:lvlText w:val="%1"/>
      <w:numFmt w:val="lowerLetter"/>
      <w:start w:val="1"/>
    </w:lvl>
    <w:lvl w:ilvl="1">
      <w:lvlJc w:val="left"/>
      <w:lvlText w:val="%2."/>
      <w:numFmt w:val="upperLetter"/>
      <w:start w:val="3"/>
    </w:lvl>
  </w:abstractNum>
  <w:abstractNum w:abstractNumId="22">
    <w:nsid w:val="1A27709E"/>
    <w:multiLevelType w:val="hybridMultilevel"/>
    <w:lvl w:ilvl="0">
      <w:lvlJc w:val="left"/>
      <w:lvlText w:val="(%1)"/>
      <w:numFmt w:val="lowerLetter"/>
      <w:start w:val="9"/>
    </w:lvl>
    <w:lvl w:ilvl="1">
      <w:lvlJc w:val="left"/>
      <w:lvlText w:val="%2."/>
      <w:numFmt w:val="upperLetter"/>
      <w:start w:val="5"/>
    </w:lvl>
  </w:abstractNum>
  <w:abstractNum w:abstractNumId="23">
    <w:nsid w:val="71EA1109"/>
    <w:multiLevelType w:val="hybridMultilevel"/>
    <w:lvl w:ilvl="0">
      <w:lvlJc w:val="left"/>
      <w:lvlText w:val="(%1)"/>
      <w:numFmt w:val="lowerLetter"/>
      <w:start w:val="6"/>
    </w:lvl>
    <w:lvl w:ilvl="1">
      <w:lvlJc w:val="left"/>
      <w:lvlText w:val="%2"/>
      <w:numFmt w:val="upperLetter"/>
      <w:start w:val="1"/>
    </w:lvl>
  </w:abstractNum>
  <w:abstractNum w:abstractNumId="24">
    <w:nsid w:val="100F59DC"/>
    <w:multiLevelType w:val="hybridMultilevel"/>
    <w:lvl w:ilvl="0">
      <w:lvlJc w:val="left"/>
      <w:lvlText w:val="%1."/>
      <w:numFmt w:val="upperLetter"/>
      <w:start w:val="1"/>
    </w:lvl>
  </w:abstractNum>
  <w:abstractNum w:abstractNumId="25">
    <w:nsid w:val="7FB7E0AA"/>
    <w:multiLevelType w:val="hybridMultilevel"/>
    <w:lvl w:ilvl="0">
      <w:lvlJc w:val="left"/>
      <w:lvlText w:val="%1"/>
      <w:numFmt w:val="upperLetter"/>
      <w:start w:val="1"/>
    </w:lvl>
    <w:lvl w:ilvl="1">
      <w:lvlJc w:val="left"/>
      <w:lvlText w:val="(%2)"/>
      <w:numFmt w:val="lowerRoman"/>
      <w:start w:val="1"/>
    </w:lvl>
  </w:abstractNum>
  <w:abstractNum w:abstractNumId="26">
    <w:nsid w:val="6EB5BD4"/>
    <w:multiLevelType w:val="hybridMultilevel"/>
    <w:lvl w:ilvl="0">
      <w:lvlJc w:val="left"/>
      <w:lvlText w:val="%1."/>
      <w:numFmt w:val="upperLetter"/>
      <w:start w:val="2"/>
    </w:lvl>
    <w:lvl w:ilvl="1">
      <w:lvlJc w:val="left"/>
      <w:lvlText w:val="%2"/>
      <w:numFmt w:val="lowerRoman"/>
      <w:start w:val="1"/>
    </w:lvl>
  </w:abstractNum>
  <w:abstractNum w:abstractNumId="27">
    <w:nsid w:val="6F6DD9AC"/>
    <w:multiLevelType w:val="hybridMultilevel"/>
    <w:lvl w:ilvl="0">
      <w:lvlJc w:val="left"/>
      <w:lvlText w:val="%1."/>
      <w:numFmt w:val="upperLetter"/>
      <w:start w:val="3"/>
    </w:lvl>
  </w:abstractNum>
  <w:abstractNum w:abstractNumId="28">
    <w:nsid w:val="94211F2"/>
    <w:multiLevelType w:val="hybridMultilevel"/>
    <w:lvl w:ilvl="0">
      <w:lvlJc w:val="left"/>
      <w:lvlText w:val="%1."/>
      <w:numFmt w:val="upperLetter"/>
      <w:start w:val="1"/>
    </w:lvl>
  </w:abstractNum>
  <w:abstractNum w:abstractNumId="29">
    <w:nsid w:val="885E1B"/>
    <w:multiLevelType w:val="hybridMultilevel"/>
    <w:lvl w:ilvl="0">
      <w:lvlJc w:val="left"/>
      <w:lvlText w:val="%1."/>
      <w:numFmt w:val="upperLetter"/>
      <w:start w:val="4"/>
    </w:lvl>
  </w:abstractNum>
  <w:abstractNum w:abstractNumId="30">
    <w:nsid w:val="76272110"/>
    <w:multiLevelType w:val="hybridMultilevel"/>
    <w:lvl w:ilvl="0">
      <w:lvlJc w:val="left"/>
      <w:lvlText w:val="%1."/>
      <w:numFmt w:val="upperLetter"/>
      <w:start w:val="5"/>
    </w:lvl>
  </w:abstractNum>
  <w:abstractNum w:abstractNumId="31">
    <w:nsid w:val="4C04A8AF"/>
    <w:multiLevelType w:val="hybridMultilevel"/>
    <w:lvl w:ilvl="0">
      <w:lvlJc w:val="left"/>
      <w:lvlText w:val="%1."/>
      <w:numFmt w:val="upperLetter"/>
      <w:start w:val="6"/>
    </w:lvl>
  </w:abstractNum>
  <w:abstractNum w:abstractNumId="32">
    <w:nsid w:val="1716703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
    <w:nsid w:val="14E17E33"/>
    <w:multiLevelType w:val="hybridMultilevel"/>
    <w:lvl w:ilvl="0">
      <w:lvlJc w:val="left"/>
      <w:lvlText w:val="%1"/>
      <w:numFmt w:val="lowerLetter"/>
      <w:start w:val="1"/>
    </w:lvl>
    <w:lvl w:ilvl="1">
      <w:lvlJc w:val="left"/>
      <w:lvlText w:val="(%2)"/>
      <w:numFmt w:val="lowerRoman"/>
      <w:start w:val="4"/>
    </w:lvl>
  </w:abstractNum>
  <w:abstractNum w:abstractNumId="34">
    <w:nsid w:val="3222E7CD"/>
    <w:multiLevelType w:val="hybridMultilevel"/>
    <w:lvl w:ilvl="0">
      <w:lvlJc w:val="left"/>
      <w:lvlText w:val="(%1)"/>
      <w:numFmt w:val="lowerLetter"/>
      <w:start w:val="2"/>
    </w:lvl>
    <w:lvl w:ilvl="1">
      <w:lvlJc w:val="left"/>
      <w:lvlText w:val="(%2)"/>
      <w:numFmt w:val="lowerRoman"/>
      <w:start w:val="1"/>
    </w:lvl>
  </w:abstractNum>
  <w:abstractNum w:abstractNumId="35">
    <w:nsid w:val="74DE0EE3"/>
    <w:multiLevelType w:val="hybridMultilevel"/>
    <w:lvl w:ilvl="0">
      <w:lvlJc w:val="left"/>
      <w:lvlText w:val="%1"/>
      <w:numFmt w:val="upperLetter"/>
      <w:start w:val="1"/>
    </w:lvl>
    <w:lvl w:ilvl="1">
      <w:lvlJc w:val="left"/>
      <w:lvlText w:val="(%2)"/>
      <w:numFmt w:val="lowerRoman"/>
      <w:start w:val="5"/>
    </w:lvl>
  </w:abstractNum>
  <w:abstractNum w:abstractNumId="36">
    <w:nsid w:val="68EBC550"/>
    <w:multiLevelType w:val="hybridMultilevel"/>
    <w:lvl w:ilvl="0">
      <w:lvlJc w:val="left"/>
      <w:lvlText w:val="%1."/>
      <w:numFmt w:val="upperLetter"/>
      <w:start w:val="2"/>
    </w:lvl>
    <w:lvl w:ilvl="1">
      <w:lvlJc w:val="left"/>
      <w:lvlText w:val="%2"/>
      <w:numFmt w:val="lowerRoman"/>
      <w:start w:val="1"/>
    </w:lvl>
  </w:abstractNum>
  <w:abstractNum w:abstractNumId="37">
    <w:nsid w:val="2DF6D648"/>
    <w:multiLevelType w:val="hybridMultilevel"/>
    <w:lvl w:ilvl="0">
      <w:lvlJc w:val="left"/>
      <w:lvlText w:val="%1."/>
      <w:numFmt w:val="upperLetter"/>
      <w:start w:val="1"/>
    </w:lvl>
    <w:lvl w:ilvl="1">
      <w:lvlJc w:val="left"/>
      <w:lvlText w:val="(%2)"/>
      <w:numFmt w:val="lowerRoman"/>
      <w:start w:val="1"/>
    </w:lvl>
  </w:abstractNum>
  <w:abstractNum w:abstractNumId="38">
    <w:nsid w:val="46B7D447"/>
    <w:multiLevelType w:val="hybridMultilevel"/>
    <w:lvl w:ilvl="0">
      <w:lvlJc w:val="left"/>
      <w:lvlText w:val="(%1)"/>
      <w:numFmt w:val="lowerRoman"/>
      <w:start w:val="2"/>
    </w:lvl>
  </w:abstractNum>
  <w:abstractNum w:abstractNumId="39">
    <w:nsid w:val="4A2AC315"/>
    <w:multiLevelType w:val="hybridMultilevel"/>
    <w:lvl w:ilvl="0">
      <w:lvlJc w:val="left"/>
      <w:lvlText w:val="(%1)"/>
      <w:numFmt w:val="lowerRoman"/>
      <w:start w:val="3"/>
    </w:lvl>
  </w:abstractNum>
  <w:abstractNum w:abstractNumId="40">
    <w:nsid w:val="39EE015C"/>
    <w:multiLevelType w:val="hybridMultilevel"/>
    <w:lvl w:ilvl="0">
      <w:lvlJc w:val="left"/>
      <w:lvlText w:val="%1."/>
      <w:numFmt w:val="upperLetter"/>
      <w:start w:val="3"/>
    </w:lvl>
  </w:abstractNum>
  <w:abstractNum w:abstractNumId="41">
    <w:nsid w:val="57FC4FBB"/>
    <w:multiLevelType w:val="hybridMultilevel"/>
    <w:lvl w:ilvl="0">
      <w:lvlJc w:val="left"/>
      <w:lvlText w:val="%1."/>
      <w:numFmt w:val="upperLetter"/>
      <w:start w:val="1"/>
    </w:lvl>
  </w:abstractNum>
  <w:abstractNum w:abstractNumId="42">
    <w:nsid w:val="CC1016F"/>
    <w:multiLevelType w:val="hybridMultilevel"/>
    <w:lvl w:ilvl="0">
      <w:lvlJc w:val="left"/>
      <w:lvlText w:val="%1."/>
      <w:numFmt w:val="upperLetter"/>
      <w:start w:val="1"/>
    </w:lvl>
    <w:lvl w:ilvl="1">
      <w:lvlJc w:val="left"/>
      <w:lvlText w:val="(%2)"/>
      <w:numFmt w:val="lowerRoman"/>
      <w:start w:val="1"/>
    </w:lvl>
  </w:abstractNum>
  <w:abstractNum w:abstractNumId="43">
    <w:nsid w:val="43F18422"/>
    <w:multiLevelType w:val="hybridMultilevel"/>
    <w:lvl w:ilvl="0">
      <w:lvlJc w:val="left"/>
      <w:lvlText w:val="(%1)"/>
      <w:numFmt w:val="lowerRoman"/>
      <w:start w:val="2"/>
    </w:lvl>
  </w:abstractNum>
  <w:abstractNum w:abstractNumId="44">
    <w:nsid w:val="60EF0119"/>
    <w:multiLevelType w:val="hybridMultilevel"/>
    <w:lvl w:ilvl="0">
      <w:lvlJc w:val="left"/>
      <w:lvlText w:val="(%1)"/>
      <w:numFmt w:val="lowerRoman"/>
      <w:start w:val="3"/>
    </w:lvl>
  </w:abstractNum>
  <w:abstractNum w:abstractNumId="45">
    <w:nsid w:val="26F324BA"/>
    <w:multiLevelType w:val="hybridMultilevel"/>
    <w:lvl w:ilvl="0">
      <w:lvlJc w:val="left"/>
      <w:lvlText w:val="(%1)"/>
      <w:numFmt w:val="lowerRoman"/>
      <w:start w:val="13"/>
    </w:lvl>
  </w:abstractNum>
  <w:abstractNum w:abstractNumId="46">
    <w:nsid w:val="7F01579B"/>
    <w:multiLevelType w:val="hybridMultilevel"/>
    <w:lvl w:ilvl="0">
      <w:lvlJc w:val="left"/>
      <w:lvlText w:val="%1"/>
      <w:numFmt w:val="upperLetter"/>
      <w:start w:val="1"/>
    </w:lvl>
    <w:lvl w:ilvl="1">
      <w:lvlJc w:val="left"/>
      <w:lvlText w:val="(%2)"/>
      <w:numFmt w:val="lowerRoman"/>
      <w:start w:val="17"/>
    </w:lvl>
  </w:abstractNum>
  <w:abstractNum w:abstractNumId="47">
    <w:nsid w:val="49DA307D"/>
    <w:multiLevelType w:val="hybridMultilevel"/>
    <w:lvl w:ilvl="0">
      <w:lvlJc w:val="left"/>
      <w:lvlText w:val="%1."/>
      <w:numFmt w:val="upperLetter"/>
      <w:start w:val="3"/>
    </w:lvl>
  </w:abstractNum>
  <w:abstractNum w:abstractNumId="48">
    <w:nsid w:val="7055A5F5"/>
    <w:multiLevelType w:val="hybridMultilevel"/>
    <w:lvl w:ilvl="0">
      <w:lvlJc w:val="left"/>
      <w:lvlText w:val="%1."/>
      <w:numFmt w:val="upperLetter"/>
      <w:start w:val="1"/>
    </w:lvl>
    <w:lvl w:ilvl="1">
      <w:lvlJc w:val="left"/>
      <w:lvlText w:val="(%2)"/>
      <w:numFmt w:val="lowerRoman"/>
      <w:start w:val="1"/>
    </w:lvl>
  </w:abstractNum>
  <w:abstractNum w:abstractNumId="49">
    <w:nsid w:val="5FB8370B"/>
    <w:multiLevelType w:val="hybridMultilevel"/>
    <w:lvl w:ilvl="0">
      <w:lvlJc w:val="left"/>
      <w:lvlText w:val="(%1)"/>
      <w:numFmt w:val="lowerRoman"/>
      <w:start w:val="3"/>
    </w:lvl>
  </w:abstractNum>
  <w:abstractNum w:abstractNumId="50">
    <w:nsid w:val="50801EE1"/>
    <w:multiLevelType w:val="hybridMultilevel"/>
    <w:lvl w:ilvl="0">
      <w:lvlJc w:val="left"/>
      <w:lvlText w:val="(%1)"/>
      <w:numFmt w:val="lowerRoman"/>
      <w:start w:val="4"/>
    </w:lvl>
  </w:abstractNum>
  <w:abstractNum w:abstractNumId="51">
    <w:nsid w:val="488AC1A"/>
    <w:multiLevelType w:val="hybridMultilevel"/>
    <w:lvl w:ilvl="0">
      <w:lvlJc w:val="left"/>
      <w:lvlText w:val="%1."/>
      <w:numFmt w:val="upperLetter"/>
      <w:start w:val="4"/>
    </w:lvl>
  </w:abstractNum>
  <w:abstractNum w:abstractNumId="52">
    <w:nsid w:val="5FB8011C"/>
    <w:multiLevelType w:val="hybridMultilevel"/>
    <w:lvl w:ilvl="0">
      <w:lvlJc w:val="left"/>
      <w:lvlText w:val="%1."/>
      <w:numFmt w:val="upperLetter"/>
      <w:start w:val="1"/>
    </w:lvl>
  </w:abstractNum>
  <w:abstractNum w:abstractNumId="53">
    <w:nsid w:val="6AA78F7F"/>
    <w:multiLevelType w:val="hybridMultilevel"/>
    <w:lvl w:ilvl="0">
      <w:lvlJc w:val="left"/>
      <w:lvlText w:val="(%1)"/>
      <w:numFmt w:val="decimal"/>
      <w:start w:val="2"/>
    </w:lvl>
    <w:lvl w:ilvl="1">
      <w:lvlJc w:val="left"/>
      <w:lvlText w:val="%2."/>
      <w:numFmt w:val="upperLetter"/>
      <w:start w:val="4"/>
    </w:lvl>
  </w:abstractNum>
  <w:abstractNum w:abstractNumId="54">
    <w:nsid w:val="7672BD23"/>
    <w:multiLevelType w:val="hybridMultilevel"/>
    <w:lvl w:ilvl="0">
      <w:lvlJc w:val="left"/>
      <w:lvlText w:val="%1."/>
      <w:numFmt w:val="upperLetter"/>
      <w:start w:val="5"/>
    </w:lvl>
  </w:abstractNum>
  <w:abstractNum w:abstractNumId="55">
    <w:nsid w:val="6FC75AF8"/>
    <w:multiLevelType w:val="hybridMultilevel"/>
    <w:lvl w:ilvl="0">
      <w:lvlJc w:val="left"/>
      <w:lvlText w:val="%1."/>
      <w:numFmt w:val="upperLetter"/>
      <w:start w:val="1"/>
    </w:lvl>
  </w:abstractNum>
  <w:abstractNum w:abstractNumId="56">
    <w:nsid w:val="6A5F7029"/>
    <w:multiLevelType w:val="hybridMultilevel"/>
    <w:lvl w:ilvl="0">
      <w:lvlJc w:val="left"/>
      <w:lvlText w:val="%1."/>
      <w:numFmt w:val="upperLetter"/>
      <w:start w:val="5"/>
    </w:lvl>
  </w:abstractNum>
  <w:abstractNum w:abstractNumId="57">
    <w:nsid w:val="7D5E18F8"/>
    <w:multiLevelType w:val="hybridMultilevel"/>
    <w:lvl w:ilvl="0">
      <w:lvlJc w:val="left"/>
      <w:lvlText w:val="%1."/>
      <w:numFmt w:val="upperLetter"/>
      <w:start w:val="1"/>
    </w:lvl>
  </w:abstractNum>
  <w:abstractNum w:abstractNumId="58">
    <w:nsid w:val="5F3534A4"/>
    <w:multiLevelType w:val="hybridMultilevel"/>
    <w:lvl w:ilvl="0">
      <w:lvlJc w:val="left"/>
      <w:lvlText w:val="%1."/>
      <w:numFmt w:val="upperLetter"/>
      <w:start w:val="5"/>
    </w:lvl>
  </w:abstractNum>
  <w:abstractNum w:abstractNumId="59">
    <w:nsid w:val="73A1821B"/>
    <w:multiLevelType w:val="hybridMultilevel"/>
    <w:lvl w:ilvl="0">
      <w:lvlJc w:val="left"/>
      <w:lvlText w:val="%1."/>
      <w:numFmt w:val="upperLetter"/>
      <w:start w:val="6"/>
    </w:lvl>
  </w:abstractNum>
  <w:abstractNum w:abstractNumId="60">
    <w:nsid w:val="7DE67713"/>
    <w:multiLevelType w:val="hybridMultilevel"/>
    <w:lvl w:ilvl="0">
      <w:lvlJc w:val="left"/>
      <w:lvlText w:val="%1."/>
      <w:numFmt w:val="upperLetter"/>
      <w:start w:val="1"/>
    </w:lvl>
  </w:abstractNum>
  <w:abstractNum w:abstractNumId="61">
    <w:nsid w:val="555C55B5"/>
    <w:multiLevelType w:val="hybridMultilevel"/>
    <w:lvl w:ilvl="0">
      <w:lvlJc w:val="left"/>
      <w:lvlText w:val="%1."/>
      <w:numFmt w:val="upperLetter"/>
      <w:start w:val="5"/>
    </w:lvl>
  </w:abstractNum>
  <w:abstractNum w:abstractNumId="62">
    <w:nsid w:val="3FA62ACA"/>
    <w:multiLevelType w:val="hybridMultilevel"/>
    <w:lvl w:ilvl="0">
      <w:lvlJc w:val="left"/>
      <w:lvlText w:val="%1."/>
      <w:numFmt w:val="upperLetter"/>
      <w:start w:val="6"/>
    </w:lvl>
  </w:abstractNum>
  <w:abstractNum w:abstractNumId="63">
    <w:nsid w:val="14FCE74E"/>
    <w:multiLevelType w:val="hybridMultilevel"/>
    <w:lvl w:ilvl="0">
      <w:lvlJc w:val="left"/>
      <w:lvlText w:val="%1."/>
      <w:numFmt w:val="upperLetter"/>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upperLetter"/>
      <w:start w:val="1"/>
    </w:lvl>
  </w:abstractNum>
  <w:abstractNum w:abstractNumId="66">
    <w:nsid w:val="9DAF632"/>
    <w:multiLevelType w:val="hybridMultilevel"/>
    <w:lvl w:ilvl="0">
      <w:lvlJc w:val="left"/>
      <w:lvlText w:val="(%1)"/>
      <w:numFmt w:val="lowerRoman"/>
      <w:start w:val="2"/>
    </w:lvl>
  </w:abstractNum>
  <w:abstractNum w:abstractNumId="67">
    <w:nsid w:val="53299938"/>
    <w:multiLevelType w:val="hybridMultilevel"/>
    <w:lvl w:ilvl="0">
      <w:lvlJc w:val="left"/>
      <w:lvlText w:val="%1."/>
      <w:numFmt w:val="upperLetter"/>
      <w:start w:val="4"/>
    </w:lvl>
  </w:abstractNum>
  <w:abstractNum w:abstractNumId="68">
    <w:nsid w:val="1FBFE8E0"/>
    <w:multiLevelType w:val="hybridMultilevel"/>
    <w:lvl w:ilvl="0">
      <w:lvlJc w:val="left"/>
      <w:lvlText w:val="%1."/>
      <w:numFmt w:val="upperLetter"/>
      <w:start w:val="7"/>
    </w:lvl>
  </w:abstractNum>
  <w:abstractNum w:abstractNumId="69">
    <w:nsid w:val="5092CA79"/>
    <w:multiLevelType w:val="hybridMultilevel"/>
    <w:lvl w:ilvl="0">
      <w:lvlJc w:val="left"/>
      <w:lvlText w:val="%1."/>
      <w:numFmt w:val="upperLetter"/>
      <w:start w:val="1"/>
    </w:lvl>
  </w:abstractNum>
  <w:abstractNum w:abstractNumId="70">
    <w:nsid w:val="1D545C4D"/>
    <w:multiLevelType w:val="hybridMultilevel"/>
    <w:lvl w:ilvl="0">
      <w:lvlJc w:val="left"/>
      <w:lvlText w:val="%1."/>
      <w:numFmt w:val="upperLetter"/>
      <w:start w:val="1"/>
    </w:lvl>
  </w:abstractNum>
  <w:abstractNum w:abstractNumId="71">
    <w:nsid w:val="59ADEA3D"/>
    <w:multiLevelType w:val="hybridMultilevel"/>
    <w:lvl w:ilvl="0">
      <w:lvlJc w:val="left"/>
      <w:lvlText w:val="%1."/>
      <w:numFmt w:val="upperLetter"/>
      <w:start w:val="1"/>
    </w:lvl>
    <w:lvl w:ilvl="1">
      <w:lvlJc w:val="left"/>
      <w:lvlText w:val="(%2)"/>
      <w:numFmt w:val="lowerRoman"/>
      <w:start w:val="1"/>
    </w:lvl>
  </w:abstractNum>
  <w:abstractNum w:abstractNumId="72">
    <w:nsid w:val="288F1A34"/>
    <w:multiLevelType w:val="hybridMultilevel"/>
    <w:lvl w:ilvl="0">
      <w:lvlJc w:val="left"/>
      <w:lvlText w:val="(%1)"/>
      <w:numFmt w:val="lowerRoman"/>
      <w:start w:val="6"/>
    </w:lvl>
  </w:abstractNum>
  <w:abstractNum w:abstractNumId="73">
    <w:nsid w:val="2A155DBC"/>
    <w:multiLevelType w:val="hybridMultilevel"/>
    <w:lvl w:ilvl="0">
      <w:lvlJc w:val="left"/>
      <w:lvlText w:val="%1."/>
      <w:numFmt w:val="upperLetter"/>
      <w:start w:val="3"/>
    </w:lvl>
  </w:abstractNum>
  <w:abstractNum w:abstractNumId="74">
    <w:nsid w:val="1D9F6E5F"/>
    <w:multiLevelType w:val="hybridMultilevel"/>
    <w:lvl w:ilvl="0">
      <w:lvlJc w:val="left"/>
      <w:lvlText w:val="%1."/>
      <w:numFmt w:val="upperLetter"/>
      <w:start w:val="1"/>
    </w:lvl>
  </w:abstractNum>
  <w:abstractNum w:abstractNumId="75">
    <w:nsid w:val="97E1B4E"/>
    <w:multiLevelType w:val="hybridMultilevel"/>
    <w:lvl w:ilvl="0">
      <w:lvlJc w:val="left"/>
      <w:lvlText w:val="%1."/>
      <w:numFmt w:val="upperLetter"/>
      <w:start w:val="3"/>
    </w:lvl>
  </w:abstractNum>
  <w:abstractNum w:abstractNumId="76">
    <w:nsid w:val="51088277"/>
    <w:multiLevelType w:val="hybridMultilevel"/>
    <w:lvl w:ilvl="0">
      <w:lvlJc w:val="left"/>
      <w:lvlText w:val="%1."/>
      <w:numFmt w:val="upperLetter"/>
      <w:start w:val="1"/>
    </w:lvl>
  </w:abstractNum>
  <w:abstractNum w:abstractNumId="77">
    <w:nsid w:val="1CA0C5FA"/>
    <w:multiLevelType w:val="hybridMultilevel"/>
    <w:lvl w:ilvl="0">
      <w:lvlJc w:val="left"/>
      <w:lvlText w:val="%1."/>
      <w:numFmt w:val="upperLetter"/>
      <w:start w:val="1"/>
    </w:lvl>
  </w:abstractNum>
  <w:abstractNum w:abstractNumId="78">
    <w:nsid w:val="53584BCB"/>
    <w:multiLevelType w:val="hybridMultilevel"/>
    <w:lvl w:ilvl="0">
      <w:lvlJc w:val="left"/>
      <w:lvlText w:val="%1."/>
      <w:numFmt w:val="upperLetter"/>
      <w:start w:val="2"/>
    </w:lvl>
  </w:abstractNum>
  <w:abstractNum w:abstractNumId="79">
    <w:nsid w:val="415E286C"/>
    <w:multiLevelType w:val="hybridMultilevel"/>
    <w:lvl w:ilvl="0">
      <w:lvlJc w:val="left"/>
      <w:lvlText w:val="%1."/>
      <w:numFmt w:val="upperLetter"/>
      <w:start w:val="3"/>
    </w:lvl>
    <w:lvl w:ilvl="1">
      <w:lvlJc w:val="left"/>
      <w:lvlText w:val="(%2)"/>
      <w:numFmt w:val="lowerRoman"/>
      <w:start w:val="1"/>
    </w:lvl>
  </w:abstractNum>
  <w:abstractNum w:abstractNumId="80">
    <w:nsid w:val="7C58FD05"/>
    <w:multiLevelType w:val="hybridMultilevel"/>
    <w:lvl w:ilvl="0">
      <w:lvlJc w:val="left"/>
      <w:lvlText w:val="%1."/>
      <w:numFmt w:val="upperLetter"/>
      <w:start w:val="1"/>
    </w:lvl>
  </w:abstractNum>
  <w:abstractNum w:abstractNumId="81">
    <w:nsid w:val="23D86AAC"/>
    <w:multiLevelType w:val="hybridMultilevel"/>
    <w:lvl w:ilvl="0">
      <w:lvlJc w:val="left"/>
      <w:lvlText w:val="%1."/>
      <w:numFmt w:val="upperLetter"/>
      <w:start w:val="2"/>
    </w:lvl>
  </w:abstractNum>
  <w:abstractNum w:abstractNumId="82">
    <w:nsid w:val="45E6D486"/>
    <w:multiLevelType w:val="hybridMultilevel"/>
    <w:lvl w:ilvl="0">
      <w:lvlJc w:val="left"/>
      <w:lvlText w:val="%1."/>
      <w:numFmt w:val="upperLetter"/>
      <w:start w:val="1"/>
    </w:lvl>
  </w:abstractNum>
  <w:abstractNum w:abstractNumId="83">
    <w:nsid w:val="5C10FE21"/>
    <w:multiLevelType w:val="hybridMultilevel"/>
    <w:lvl w:ilvl="0">
      <w:lvlJc w:val="left"/>
      <w:lvlText w:val="%1."/>
      <w:numFmt w:val="upperLetter"/>
      <w:start w:val="4"/>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upperLetter"/>
      <w:start w:val="1"/>
    </w:lvl>
  </w:abstractNum>
  <w:abstractNum w:abstractNumId="86">
    <w:nsid w:val="4BD8591A"/>
    <w:multiLevelType w:val="hybridMultilevel"/>
    <w:lvl w:ilvl="0">
      <w:lvlJc w:val="left"/>
      <w:lvlText w:val="%1."/>
      <w:numFmt w:val="upperLetter"/>
      <w:start w:val="2"/>
    </w:lvl>
  </w:abstractNum>
  <w:abstractNum w:abstractNumId="87">
    <w:nsid w:val="78DF6A55"/>
    <w:multiLevelType w:val="hybridMultilevel"/>
    <w:lvl w:ilvl="0">
      <w:lvlJc w:val="left"/>
      <w:lvlText w:val="%1."/>
      <w:numFmt w:val="upperLetter"/>
      <w:start w:val="3"/>
    </w:lvl>
  </w:abstractNum>
  <w:abstractNum w:abstractNumId="88">
    <w:nsid w:val="39B7AAA2"/>
    <w:multiLevelType w:val="hybridMultilevel"/>
    <w:lvl w:ilvl="0">
      <w:lvlJc w:val="left"/>
      <w:lvlText w:val="%1."/>
      <w:numFmt w:val="upperLetter"/>
      <w:start w:val="1"/>
    </w:lvl>
  </w:abstractNum>
  <w:abstractNum w:abstractNumId="89">
    <w:nsid w:val="2B0D8DBE"/>
    <w:multiLevelType w:val="hybridMultilevel"/>
    <w:lvl w:ilvl="0">
      <w:lvlJc w:val="left"/>
      <w:lvlText w:val="%1."/>
      <w:numFmt w:val="upperLetter"/>
      <w:start w:val="6"/>
    </w:lvl>
  </w:abstractNum>
  <w:abstractNum w:abstractNumId="90">
    <w:nsid w:val="6C80EC70"/>
    <w:multiLevelType w:val="hybridMultilevel"/>
    <w:lvl w:ilvl="0">
      <w:lvlJc w:val="left"/>
      <w:lvlText w:val="%1."/>
      <w:numFmt w:val="upperLetter"/>
      <w:start w:val="1"/>
    </w:lvl>
  </w:abstractNum>
  <w:abstractNum w:abstractNumId="91">
    <w:nsid w:val="379E21B5"/>
    <w:multiLevelType w:val="hybridMultilevel"/>
    <w:lvl w:ilvl="0">
      <w:lvlJc w:val="left"/>
      <w:lvlText w:val="(%1)"/>
      <w:numFmt w:val="lowerRoman"/>
      <w:start w:val="1"/>
    </w:lvl>
  </w:abstractNum>
  <w:abstractNum w:abstractNumId="92">
    <w:nsid w:val="69E373"/>
    <w:multiLevelType w:val="hybridMultilevel"/>
    <w:lvl w:ilvl="0">
      <w:lvlJc w:val="left"/>
      <w:lvlText w:val="%1."/>
      <w:numFmt w:val="upperLetter"/>
      <w:start w:val="2"/>
    </w:lvl>
  </w:abstractNum>
  <w:abstractNum w:abstractNumId="93">
    <w:nsid w:val="2C27173B"/>
    <w:multiLevelType w:val="hybridMultilevel"/>
    <w:lvl w:ilvl="0">
      <w:lvlJc w:val="left"/>
      <w:lvlText w:val="%1."/>
      <w:numFmt w:val="upperLetter"/>
      <w:start w:val="3"/>
    </w:lvl>
    <w:lvl w:ilvl="1">
      <w:lvlJc w:val="left"/>
      <w:lvlText w:val="(%2)"/>
      <w:numFmt w:val="lowerRoman"/>
      <w:start w:val="1"/>
    </w:lvl>
  </w:abstractNum>
  <w:abstractNum w:abstractNumId="94">
    <w:nsid w:val="4C9B0904"/>
    <w:multiLevelType w:val="hybridMultilevel"/>
    <w:lvl w:ilvl="0">
      <w:lvlJc w:val="left"/>
      <w:lvlText w:val="%1."/>
      <w:numFmt w:val="upperLetter"/>
      <w:start w:val="1"/>
    </w:lvl>
  </w:abstractNum>
  <w:abstractNum w:abstractNumId="95">
    <w:nsid w:val="6AA7B75C"/>
    <w:multiLevelType w:val="hybridMultilevel"/>
    <w:lvl w:ilvl="0">
      <w:lvlJc w:val="left"/>
      <w:lvlText w:val="%1."/>
      <w:numFmt w:val="upperLetter"/>
      <w:start w:val="3"/>
    </w:lvl>
  </w:abstractNum>
  <w:abstractNum w:abstractNumId="96">
    <w:nsid w:val="1DF029D3"/>
    <w:multiLevelType w:val="hybridMultilevel"/>
    <w:lvl w:ilvl="0">
      <w:lvlJc w:val="left"/>
      <w:lvlText w:val="%1."/>
      <w:numFmt w:val="upperLetter"/>
      <w:start w:val="1"/>
    </w:lvl>
  </w:abstractNum>
  <w:abstractNum w:abstractNumId="97">
    <w:nsid w:val="5675FF36"/>
    <w:multiLevelType w:val="hybridMultilevel"/>
    <w:lvl w:ilvl="0">
      <w:lvlJc w:val="left"/>
      <w:lvlText w:val="(%1)"/>
      <w:numFmt w:val="lowerRoman"/>
      <w:start w:val="1"/>
    </w:lvl>
  </w:abstractNum>
  <w:abstractNum w:abstractNumId="98">
    <w:nsid w:val="3DD15094"/>
    <w:multiLevelType w:val="hybridMultilevel"/>
    <w:lvl w:ilvl="0">
      <w:lvlJc w:val="left"/>
      <w:lvlText w:val="(%1)"/>
      <w:numFmt w:val="lowerRoman"/>
      <w:start w:val="2"/>
    </w:lvl>
  </w:abstractNum>
  <w:abstractNum w:abstractNumId="99">
    <w:nsid w:val="3DB012B3"/>
    <w:multiLevelType w:val="hybridMultilevel"/>
    <w:lvl w:ilvl="0">
      <w:lvlJc w:val="left"/>
      <w:lvlText w:val="%1."/>
      <w:numFmt w:val="upperLetter"/>
      <w:start w:val="1"/>
    </w:lvl>
  </w:abstractNum>
  <w:abstractNum w:abstractNumId="100">
    <w:nsid w:val="2708C9AF"/>
    <w:multiLevelType w:val="hybridMultilevel"/>
    <w:lvl w:ilvl="0">
      <w:lvlJc w:val="left"/>
      <w:lvlText w:val="%1"/>
      <w:numFmt w:val="lowerRoman"/>
      <w:start w:val="1"/>
    </w:lvl>
    <w:lvl w:ilvl="1">
      <w:lvlJc w:val="left"/>
      <w:lvlText w:val="(%2)"/>
      <w:numFmt w:val="lowerRoman"/>
      <w:start w:val="1"/>
    </w:lvl>
  </w:abstractNum>
  <w:abstractNum w:abstractNumId="101">
    <w:nsid w:val="5B25ACE2"/>
    <w:multiLevelType w:val="hybridMultilevel"/>
    <w:lvl w:ilvl="0">
      <w:lvlJc w:val="left"/>
      <w:lvlText w:val="(%1)"/>
      <w:numFmt w:val="lowerRoman"/>
      <w:start w:val="1"/>
    </w:lvl>
    <w:lvl w:ilvl="1">
      <w:lvlJc w:val="left"/>
      <w:lvlText w:val="(%2)"/>
      <w:numFmt w:val="lowerRoman"/>
      <w:start w:val="2"/>
    </w:lvl>
  </w:abstractNum>
  <w:abstractNum w:abstractNumId="102">
    <w:nsid w:val="175DFCF0"/>
    <w:multiLevelType w:val="hybridMultilevel"/>
    <w:lvl w:ilvl="0">
      <w:lvlJc w:val="left"/>
      <w:lvlText w:val="%1."/>
      <w:numFmt w:val="upperLetter"/>
      <w:start w:val="4"/>
    </w:lvl>
  </w:abstractNum>
  <w:abstractNum w:abstractNumId="103">
    <w:nsid w:val="4F97E3E4"/>
    <w:multiLevelType w:val="hybridMultilevel"/>
    <w:lvl w:ilvl="0">
      <w:lvlJc w:val="left"/>
      <w:lvlText w:val="%1."/>
      <w:numFmt w:val="upperLetter"/>
      <w:start w:val="1"/>
    </w:lvl>
  </w:abstractNum>
  <w:abstractNum w:abstractNumId="104">
    <w:nsid w:val="53B0A9E"/>
    <w:multiLevelType w:val="hybridMultilevel"/>
    <w:lvl w:ilvl="0">
      <w:lvlJc w:val="left"/>
      <w:lvlText w:val="%1."/>
      <w:numFmt w:val="upperLetter"/>
      <w:start w:val="3"/>
    </w:lvl>
  </w:abstractNum>
  <w:abstractNum w:abstractNumId="105">
    <w:nsid w:val="34FD6B4F"/>
    <w:multiLevelType w:val="hybridMultilevel"/>
    <w:lvl w:ilvl="0">
      <w:lvlJc w:val="left"/>
      <w:lvlText w:val="%1."/>
      <w:numFmt w:val="upperLetter"/>
      <w:start w:val="1"/>
    </w:lvl>
  </w:abstractNum>
  <w:abstractNum w:abstractNumId="106">
    <w:nsid w:val="5915FF32"/>
    <w:multiLevelType w:val="hybridMultilevel"/>
    <w:lvl w:ilvl="0">
      <w:lvlJc w:val="left"/>
      <w:lvlText w:val="%1."/>
      <w:numFmt w:val="upperLetter"/>
      <w:start w:val="3"/>
    </w:lvl>
  </w:abstractNum>
  <w:abstractNum w:abstractNumId="107">
    <w:nsid w:val="56438D15"/>
    <w:multiLevelType w:val="hybridMultilevel"/>
    <w:lvl w:ilvl="0">
      <w:lvlJc w:val="left"/>
      <w:lvlText w:val="%1."/>
      <w:numFmt w:val="upperLetter"/>
      <w:start w:val="4"/>
    </w:lvl>
  </w:abstractNum>
  <w:abstractNum w:abstractNumId="108">
    <w:nsid w:val="519E3149"/>
    <w:multiLevelType w:val="hybridMultilevel"/>
    <w:lvl w:ilvl="0">
      <w:lvlJc w:val="left"/>
      <w:lvlText w:val="%1."/>
      <w:numFmt w:val="upperLetter"/>
      <w:start w:val="6"/>
    </w:lvl>
  </w:abstractNum>
  <w:abstractNum w:abstractNumId="109">
    <w:nsid w:val="2C6E4AFD"/>
    <w:multiLevelType w:val="hybridMultilevel"/>
    <w:lvl w:ilvl="0">
      <w:lvlJc w:val="left"/>
      <w:lvlText w:val="%1."/>
      <w:numFmt w:val="upperLetter"/>
      <w:start w:val="7"/>
    </w:lvl>
  </w:abstractNum>
  <w:abstractNum w:abstractNumId="110">
    <w:nsid w:val="17A1B582"/>
    <w:multiLevelType w:val="hybridMultilevel"/>
    <w:lvl w:ilvl="0">
      <w:lvlJc w:val="left"/>
      <w:lvlText w:val="%1."/>
      <w:numFmt w:val="decimal"/>
      <w:start w:val="1"/>
    </w:lvl>
    <w:lvl w:ilvl="1">
      <w:lvlJc w:val="left"/>
      <w:lvlText w:val="(%2)"/>
      <w:numFmt w:val="lowerRoman"/>
      <w:start w:val="1"/>
    </w:lvl>
  </w:abstractNum>
  <w:abstractNum w:abstractNumId="111">
    <w:nsid w:val="4DF72E4E"/>
    <w:multiLevelType w:val="hybridMultilevel"/>
    <w:lvl w:ilvl="0">
      <w:lvlJc w:val="left"/>
      <w:lvlText w:val="(%1)"/>
      <w:numFmt w:val="lowerLetter"/>
      <w:start w:val="3"/>
    </w:lvl>
  </w:abstractNum>
  <w:abstractNum w:abstractNumId="112">
    <w:nsid w:val="5046B5A9"/>
    <w:multiLevelType w:val="hybridMultilevel"/>
    <w:lvl w:ilvl="0">
      <w:lvlJc w:val="left"/>
      <w:lvlText w:val="(%1)"/>
      <w:numFmt w:val="lowerRoman"/>
      <w:start w:val="3"/>
    </w:lvl>
  </w:abstractNum>
  <w:abstractNum w:abstractNumId="113">
    <w:nsid w:val="5D888A08"/>
    <w:multiLevelType w:val="hybridMultilevel"/>
    <w:lvl w:ilvl="0">
      <w:lvlJc w:val="left"/>
      <w:lvlText w:val="%1."/>
      <w:numFmt w:val="decimal"/>
      <w:start w:val="4"/>
    </w:lvl>
  </w:abstractNum>
  <w:abstractNum w:abstractNumId="114">
    <w:nsid w:val="2A082C70"/>
    <w:multiLevelType w:val="hybridMultilevel"/>
    <w:lvl w:ilvl="0">
      <w:lvlJc w:val="left"/>
      <w:lvlText w:val="%1."/>
      <w:numFmt w:val="decimal"/>
      <w:start w:val="6"/>
    </w:lvl>
  </w:abstractNum>
  <w:abstractNum w:abstractNumId="115">
    <w:nsid w:val="5EC6AFD4"/>
    <w:multiLevelType w:val="hybridMultilevel"/>
    <w:lvl w:ilvl="0">
      <w:lvlJc w:val="left"/>
      <w:lvlText w:val="%1."/>
      <w:numFmt w:val="upperLetter"/>
      <w:start w:val="1"/>
    </w:lvl>
  </w:abstractNum>
  <w:abstractNum w:abstractNumId="116">
    <w:nsid w:val="19E21BB2"/>
    <w:multiLevelType w:val="hybridMultilevel"/>
    <w:lvl w:ilvl="0">
      <w:lvlJc w:val="left"/>
      <w:lvlText w:val="(%1)"/>
      <w:numFmt w:val="lowerLetter"/>
      <w:start w:val="1"/>
    </w:lvl>
    <w:lvl w:ilvl="1">
      <w:lvlJc w:val="left"/>
      <w:lvlText w:val="(%2)"/>
      <w:numFmt w:val="lowerLetter"/>
      <w:start w:val="9"/>
    </w:lvl>
  </w:abstractNum>
  <w:abstractNum w:abstractNumId="117">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18">
    <w:nsid w:val="57A61A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9">
    <w:nsid w:val="5399C65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4"/>
    </w:lvl>
  </w:abstractNum>
  <w:abstractNum w:abstractNumId="122">
    <w:nsid w:val="B37E80A"/>
    <w:multiLevelType w:val="hybridMultilevel"/>
    <w:lvl w:ilvl="0">
      <w:lvlJc w:val="left"/>
      <w:lvlText w:val="(%1)"/>
      <w:numFmt w:val="lowerLetter"/>
      <w:start w:val="9"/>
    </w:lvl>
    <w:lvl w:ilvl="1">
      <w:lvlJc w:val="left"/>
      <w:lvlText w:val="(%2)"/>
      <w:numFmt w:val="lowerLetter"/>
      <w:start w:val="5"/>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1"/>
    </w:lvl>
  </w:abstractNum>
  <w:abstractNum w:abstractNumId="125">
    <w:nsid w:val="57D2F10E"/>
    <w:multiLevelType w:val="hybridMultilevel"/>
    <w:lvl w:ilvl="0">
      <w:lvlJc w:val="left"/>
      <w:lvlText w:val="(%1)"/>
      <w:numFmt w:val="lowerLetter"/>
      <w:start w:val="3"/>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4"/>
    </w:lvl>
  </w:abstractNum>
  <w:abstractNum w:abstractNumId="128">
    <w:nsid w:val="2E48F044"/>
    <w:multiLevelType w:val="hybridMultilevel"/>
    <w:lvl w:ilvl="0">
      <w:lvlJc w:val="left"/>
      <w:lvlText w:val="%1."/>
      <w:numFmt w:val="decimal"/>
      <w:start w:val="1"/>
    </w:lvl>
  </w:abstractNum>
  <w:abstractNum w:abstractNumId="129">
    <w:nsid w:val="49D0FEAC"/>
    <w:multiLevelType w:val="hybridMultilevel"/>
    <w:lvl w:ilvl="0">
      <w:lvlJc w:val="left"/>
      <w:lvlText w:val="%1."/>
      <w:numFmt w:val="decimal"/>
      <w:start w:val="2"/>
    </w:lvl>
    <w:lvl w:ilvl="1">
      <w:lvlJc w:val="left"/>
      <w:lvlText w:val="(%2)"/>
      <w:numFmt w:val="lowerLetter"/>
      <w:start w:val="1"/>
    </w:lvl>
  </w:abstractNum>
  <w:abstractNum w:abstractNumId="130">
    <w:nsid w:val="4BEE5A5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31">
    <w:nsid w:val="5551B9F3"/>
    <w:multiLevelType w:val="hybridMultilevel"/>
    <w:lvl w:ilvl="0">
      <w:lvlJc w:val="left"/>
      <w:lvlText w:val="%1"/>
      <w:numFmt w:val="lowerLetter"/>
      <w:start w:val="1"/>
    </w:lvl>
    <w:lvl w:ilvl="1">
      <w:lvlJc w:val="left"/>
      <w:lvlText w:val="(%2)"/>
      <w:numFmt w:val="decimal"/>
      <w:start w:val="3"/>
    </w:lvl>
  </w:abstractNum>
  <w:abstractNum w:abstractNumId="132">
    <w:nsid w:val="24F6AB8E"/>
    <w:multiLevelType w:val="hybridMultilevel"/>
    <w:lvl w:ilvl="0">
      <w:lvlJc w:val="left"/>
      <w:lvlText w:val="(%1)"/>
      <w:numFmt w:val="lowerLetter"/>
      <w:start w:val="2"/>
    </w:lvl>
    <w:lvl w:ilvl="1">
      <w:lvlJc w:val="left"/>
      <w:lvlText w:val="%2"/>
      <w:numFmt w:val="decimal"/>
      <w:start w:val="1"/>
    </w:lvl>
  </w:abstractNum>
  <w:abstractNum w:abstractNumId="133">
    <w:nsid w:val="634C574C"/>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134">
    <w:nsid w:val="24E99DD7"/>
    <w:multiLevelType w:val="hybridMultilevel"/>
    <w:lvl w:ilvl="0">
      <w:lvlJc w:val="left"/>
      <w:lvlText w:val="(%1)"/>
      <w:numFmt w:val="lowerLetter"/>
      <w:start w:val="2"/>
    </w:lvl>
  </w:abstractNum>
  <w:abstractNum w:abstractNumId="135">
    <w:nsid w:val="2A31B62D"/>
    <w:multiLevelType w:val="hybridMultilevel"/>
    <w:lvl w:ilvl="0">
      <w:lvlJc w:val="left"/>
      <w:lvlText w:val="%1"/>
      <w:numFmt w:val="decimal"/>
      <w:start w:val="1"/>
    </w:lvl>
    <w:lvl w:ilvl="1">
      <w:lvlJc w:val="left"/>
      <w:lvlText w:val="(%2)"/>
      <w:numFmt w:val="lowerLetter"/>
      <w:start w:val="5"/>
    </w:lvl>
  </w:abstractNum>
  <w:abstractNum w:abstractNumId="136">
    <w:nsid w:val="1849C29B"/>
    <w:multiLevelType w:val="hybridMultilevel"/>
    <w:lvl w:ilvl="0">
      <w:lvlJc w:val="left"/>
      <w:lvlText w:val="%1."/>
      <w:numFmt w:val="decimal"/>
      <w:start w:val="6"/>
    </w:lvl>
    <w:lvl w:ilvl="1">
      <w:lvlJc w:val="left"/>
      <w:lvlText w:val="%2"/>
      <w:numFmt w:val="lowerLetter"/>
      <w:start w:val="1"/>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decimal"/>
      <w:start w:val="7"/>
    </w:lvl>
    <w:lvl w:ilvl="1">
      <w:lvlJc w:val="left"/>
      <w:lvlText w:val="(%2)"/>
      <w:numFmt w:val="lowerLetter"/>
      <w:start w:val="1"/>
    </w:lvl>
  </w:abstractNum>
  <w:abstractNum w:abstractNumId="139">
    <w:nsid w:val="69E7F3E5"/>
    <w:multiLevelType w:val="hybridMultilevel"/>
    <w:lvl w:ilvl="0">
      <w:lvlJc w:val="left"/>
      <w:lvlText w:val="(%1)"/>
      <w:numFmt w:val="lowerLetter"/>
      <w:start w:val="4"/>
    </w:lvl>
  </w:abstractNum>
  <w:abstractNum w:abstractNumId="140">
    <w:nsid w:val="2A6DE806"/>
    <w:multiLevelType w:val="hybridMultilevel"/>
    <w:lvl w:ilvl="0">
      <w:lvlJc w:val="left"/>
      <w:lvlText w:val="(%1)"/>
      <w:numFmt w:val="lowerLetter"/>
      <w:start w:val="5"/>
    </w:lvl>
  </w:abstractNum>
  <w:abstractNum w:abstractNumId="141">
    <w:nsid w:val="1816F8C4"/>
    <w:multiLevelType w:val="hybridMultilevel"/>
    <w:lvl w:ilvl="0">
      <w:lvlJc w:val="left"/>
      <w:lvlText w:val="(%1)"/>
      <w:numFmt w:val="lowerLetter"/>
      <w:start w:val="8"/>
    </w:lvl>
  </w:abstractNum>
  <w:abstractNum w:abstractNumId="142">
    <w:nsid w:val="37DF2233"/>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2019-12-15T09:16:25Z</dcterms:created>
  <dcterms:modified xsi:type="dcterms:W3CDTF">2019-12-15T09:16:25Z</dcterms:modified>
</cp:coreProperties>
</file>