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154777.xml.htm"/>
      <w:bookmarkStart w:id="1" w:name="kswkform4_17701547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Norman Jeffrey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2795 E COTTONWOOD PARKWAY,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Extra Space Storage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137.97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in payment of the tax liability arising in connection with the settlement of vested restricted stock awards. Restricted stock awards vest 25% annually over four years,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Kunde,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827" TargetMode="External"/><Relationship Id="rId5" Type="http://schemas.openxmlformats.org/officeDocument/2006/relationships/hyperlink" Target="http://www.sec.gov/cgi-bin/browse-edgar?action=getcompany&amp;CIK=00012894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3299</Characters>
  <CharactersWithSpaces>3848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