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rFonts w:ascii="Times New Roman;sans-serif" w:hAnsi="Times New Roman;sans-serif"/>
          <w:b/>
          <w:color w:val="000000"/>
          <w:sz w:val="20"/>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001-32269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EXTRA SPACE STORAGE INC. </w:t>
      </w:r>
    </w:p>
    <w:p>
      <w:pPr>
        <w:pStyle w:val="TextBody"/>
        <w:bidi w:val="0"/>
        <w:spacing w:lineRule="auto" w:line="288" w:before="0" w:after="0"/>
        <w:jc w:val="center"/>
        <w:rPr/>
      </w:pPr>
      <w:r>
        <w:rPr>
          <w:rFonts w:ascii="Times New Roman;sans-serif" w:hAnsi="Times New Roman;sans-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left"/>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20-1076777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2795 East Cottonwood Parkway,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Salt Lake City, Utah 84121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(801) 365-4600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Securities Exchange Act of 1934</w:t>
      </w:r>
    </w:p>
    <w:tbl>
      <w:tblPr>
        <w:tblW w:w="8024" w:type="dxa"/>
        <w:jc w:val="center"/>
        <w:tblInd w:w="0" w:type="dxa"/>
        <w:tblLayout w:type="fixed"/>
        <w:tblCellMar>
          <w:top w:w="28" w:type="dxa"/>
          <w:left w:w="28" w:type="dxa"/>
          <w:bottom w:w="28" w:type="dxa"/>
          <w:right w:w="28" w:type="dxa"/>
        </w:tblCellMar>
      </w:tblPr>
      <w:tblGrid>
        <w:gridCol w:w="986"/>
        <w:gridCol w:w="867"/>
        <w:gridCol w:w="877"/>
        <w:gridCol w:w="489"/>
        <w:gridCol w:w="489"/>
        <w:gridCol w:w="491"/>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p>
    <w:p>
      <w:pPr>
        <w:pStyle w:val="TextBody"/>
        <w:bidi w:val="0"/>
        <w:spacing w:before="0" w:after="0"/>
        <w:ind w:left="0" w:right="0" w:firstLine="495"/>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1945"/>
                <wp:effectExtent l="0" t="0" r="0" b="0"/>
                <wp:wrapNone/>
                <wp:docPr id="1" name="Frame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the registrant’s common stock, par value $0.01 per share, as of August 2, 2023, was 211,276,502.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52caf92c8cf4affafcd966305345f7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62"/>
        <w:gridCol w:w="3132"/>
        <w:gridCol w:w="3137"/>
        <w:gridCol w:w="109"/>
        <w:gridCol w:w="109"/>
        <w:gridCol w:w="156"/>
      </w:tblGrid>
      <w:tr>
        <w:trPr/>
        <w:tc>
          <w:tcPr>
            <w:tcW w:w="3562"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0">
              <w:r>
                <w:rPr>
                  <w:rStyle w:val="InternetLink"/>
                  <w:rFonts w:ascii="Times New Roman;sans-serif" w:hAnsi="Times New Roman;sans-serif"/>
                  <w:b/>
                  <w:color w:val="0000FF"/>
                  <w:sz w:val="20"/>
                  <w:u w:val="single"/>
                </w:rPr>
                <w:t>STATEMENT ON FORWARD-LOOKING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0">
              <w:r>
                <w:rPr>
                  <w:rStyle w:val="InternetLink"/>
                  <w:rFonts w:ascii="Times New Roman;sans-serif" w:hAnsi="Times New Roman;sans-serif"/>
                  <w:b w:val="false"/>
                  <w:color w:val="0000FF"/>
                  <w:sz w:val="20"/>
                  <w:u w:val="single"/>
                </w:rPr>
                <w:t>4</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3">
              <w:r>
                <w:rPr>
                  <w:rStyle w:val="InternetLink"/>
                  <w:rFonts w:ascii="Times New Roman;sans-serif" w:hAnsi="Times New Roman;sans-serif"/>
                  <w:b/>
                  <w:color w:val="0000FF"/>
                  <w:sz w:val="20"/>
                  <w:u w:val="single"/>
                </w:rPr>
                <w:t>PART I.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3">
              <w:r>
                <w:rPr>
                  <w:rStyle w:val="InternetLink"/>
                  <w:rFonts w:ascii="Times New Roman;sans-serif" w:hAnsi="Times New Roman;sans-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6">
              <w:r>
                <w:rPr>
                  <w:rStyle w:val="InternetLink"/>
                  <w:rFonts w:ascii="Times New Roman;sans-serif" w:hAnsi="Times New Roman;sans-serif"/>
                  <w:b/>
                  <w:color w:val="0000FF"/>
                  <w:sz w:val="20"/>
                  <w:u w:val="single"/>
                </w:rPr>
                <w:t>ITEM 1.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6">
              <w:r>
                <w:rPr>
                  <w:rStyle w:val="InternetLink"/>
                  <w:rFonts w:ascii="Times New Roman;sans-serif" w:hAnsi="Times New Roman;sans-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34">
              <w:r>
                <w:rPr>
                  <w:rStyle w:val="InternetLink"/>
                  <w:rFonts w:ascii="Times New Roman;sans-serif" w:hAnsi="Times New Roman;sans-serif"/>
                  <w:b/>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34">
              <w:r>
                <w:rPr>
                  <w:rStyle w:val="InternetLink"/>
                  <w:rFonts w:ascii="Times New Roman;sans-serif" w:hAnsi="Times New Roman;sans-serif"/>
                  <w:b w:val="false"/>
                  <w:color w:val="0000FF"/>
                  <w:sz w:val="20"/>
                  <w:u w:val="single"/>
                </w:rPr>
                <w:t>13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ind w:left="0" w:right="0" w:hanging="810"/>
              <w:jc w:val="left"/>
              <w:rPr/>
            </w:pPr>
            <w:hyperlink w:anchor="i552caf92c8cf4affafcd966305345f7a_94">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94">
              <w:r>
                <w:rPr>
                  <w:rStyle w:val="InternetLink"/>
                  <w:rFonts w:ascii="Times New Roman;sans-serif" w:hAnsi="Times New Roman;sans-serif"/>
                  <w:b w:val="false"/>
                  <w:color w:val="0000FF"/>
                  <w:sz w:val="20"/>
                  <w:u w:val="single"/>
                </w:rPr>
                <w:t>31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27">
              <w:r>
                <w:rPr>
                  <w:rStyle w:val="InternetLink"/>
                  <w:rFonts w:ascii="Times New Roman;sans-serif" w:hAnsi="Times New Roman;sans-serif"/>
                  <w:b/>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27">
              <w:r>
                <w:rPr>
                  <w:rStyle w:val="InternetLink"/>
                  <w:rFonts w:ascii="Times New Roman;sans-serif" w:hAnsi="Times New Roman;sans-serif"/>
                  <w:b w:val="false"/>
                  <w:color w:val="0000FF"/>
                  <w:sz w:val="20"/>
                  <w:u w:val="singl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30">
              <w:r>
                <w:rPr>
                  <w:rStyle w:val="InternetLink"/>
                  <w:rFonts w:ascii="Times New Roman;sans-serif" w:hAnsi="Times New Roman;sans-serif"/>
                  <w:b/>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30">
              <w:r>
                <w:rPr>
                  <w:rStyle w:val="InternetLink"/>
                  <w:rFonts w:ascii="Times New Roman;sans-serif" w:hAnsi="Times New Roman;sans-serif"/>
                  <w:b w:val="false"/>
                  <w:color w:val="0000FF"/>
                  <w:sz w:val="20"/>
                  <w:u w:val="singl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33">
              <w:r>
                <w:rPr>
                  <w:rStyle w:val="InternetLink"/>
                  <w:rFonts w:ascii="Times New Roman;sans-serif" w:hAnsi="Times New Roman;sans-serif"/>
                  <w:b/>
                  <w:color w:val="0000FF"/>
                  <w:sz w:val="20"/>
                  <w:u w:val="single"/>
                </w:rPr>
                <w:t>PART II.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33">
              <w:r>
                <w:rPr>
                  <w:rStyle w:val="InternetLink"/>
                  <w:rFonts w:ascii="Times New Roman;sans-serif" w:hAnsi="Times New Roman;sans-serif"/>
                  <w:b w:val="false"/>
                  <w:color w:val="0000FF"/>
                  <w:sz w:val="20"/>
                  <w:u w:val="single"/>
                </w:rPr>
                <w:t>42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36">
              <w:r>
                <w:rPr>
                  <w:rStyle w:val="InternetLink"/>
                  <w:rFonts w:ascii="Times New Roman;sans-serif" w:hAnsi="Times New Roman;sans-serif"/>
                  <w:b/>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36">
              <w:r>
                <w:rPr>
                  <w:rStyle w:val="InternetLink"/>
                  <w:rFonts w:ascii="Times New Roman;sans-serif" w:hAnsi="Times New Roman;sans-serif"/>
                  <w:b w:val="false"/>
                  <w:color w:val="0000FF"/>
                  <w:sz w:val="20"/>
                  <w:u w:val="single"/>
                </w:rPr>
                <w:t>42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39">
              <w:r>
                <w:rPr>
                  <w:rStyle w:val="InternetLink"/>
                  <w:rFonts w:ascii="Times New Roman;sans-serif" w:hAnsi="Times New Roman;sans-serif"/>
                  <w:b/>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39">
              <w:r>
                <w:rPr>
                  <w:rStyle w:val="InternetLink"/>
                  <w:rFonts w:ascii="Times New Roman;sans-serif" w:hAnsi="Times New Roman;sans-serif"/>
                  <w:b w:val="false"/>
                  <w:color w:val="0000FF"/>
                  <w:sz w:val="20"/>
                  <w:u w:val="single"/>
                </w:rPr>
                <w:t>42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42">
              <w:r>
                <w:rPr>
                  <w:rStyle w:val="InternetLink"/>
                  <w:rFonts w:ascii="Times New Roman;sans-serif" w:hAnsi="Times New Roman;sans-serif"/>
                  <w:b/>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42">
              <w:r>
                <w:rPr>
                  <w:rStyle w:val="InternetLink"/>
                  <w:rFonts w:ascii="Times New Roman;sans-serif" w:hAnsi="Times New Roman;sans-serif"/>
                  <w:b w:val="false"/>
                  <w:color w:val="0000FF"/>
                  <w:sz w:val="20"/>
                  <w:u w:val="single"/>
                </w:rPr>
                <w:t>42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45">
              <w:r>
                <w:rPr>
                  <w:rStyle w:val="InternetLink"/>
                  <w:rFonts w:ascii="Times New Roman;sans-serif" w:hAnsi="Times New Roman;sans-serif"/>
                  <w:b/>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45">
              <w:r>
                <w:rPr>
                  <w:rStyle w:val="InternetLink"/>
                  <w:rFonts w:ascii="Times New Roman;sans-serif" w:hAnsi="Times New Roman;sans-serif"/>
                  <w:b w:val="false"/>
                  <w:color w:val="0000FF"/>
                  <w:sz w:val="20"/>
                  <w:u w:val="single"/>
                </w:rPr>
                <w:t>43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48">
              <w:r>
                <w:rPr>
                  <w:rStyle w:val="InternetLink"/>
                  <w:rFonts w:ascii="Times New Roman;sans-serif" w:hAnsi="Times New Roman;sans-serif"/>
                  <w:b/>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48">
              <w:r>
                <w:rPr>
                  <w:rStyle w:val="InternetLink"/>
                  <w:rFonts w:ascii="Times New Roman;sans-serif" w:hAnsi="Times New Roman;sans-serif"/>
                  <w:b w:val="false"/>
                  <w:color w:val="0000FF"/>
                  <w:sz w:val="20"/>
                  <w:u w:val="single"/>
                </w:rPr>
                <w:t>43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51">
              <w:r>
                <w:rPr>
                  <w:rStyle w:val="InternetLink"/>
                  <w:rFonts w:ascii="Times New Roman;sans-serif" w:hAnsi="Times New Roman;sans-serif"/>
                  <w:b/>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51">
              <w:r>
                <w:rPr>
                  <w:rStyle w:val="InternetLink"/>
                  <w:rFonts w:ascii="Times New Roman;sans-serif" w:hAnsi="Times New Roman;sans-serif"/>
                  <w:b w:val="false"/>
                  <w:color w:val="0000FF"/>
                  <w:sz w:val="20"/>
                  <w:u w:val="single"/>
                </w:rPr>
                <w:t>43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54">
              <w:r>
                <w:rPr>
                  <w:rStyle w:val="InternetLink"/>
                  <w:rFonts w:ascii="Times New Roman;sans-serif" w:hAnsi="Times New Roman;sans-serif"/>
                  <w:b/>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54">
              <w:r>
                <w:rPr>
                  <w:rStyle w:val="InternetLink"/>
                  <w:rFonts w:ascii="Times New Roman;sans-serif" w:hAnsi="Times New Roman;sans-serif"/>
                  <w:b w:val="false"/>
                  <w:color w:val="0000FF"/>
                  <w:sz w:val="20"/>
                  <w:u w:val="single"/>
                </w:rPr>
                <w:t>44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2caf92c8cf4affafcd966305345f7a_157">
              <w:r>
                <w:rPr>
                  <w:rStyle w:val="InternetLink"/>
                  <w:rFonts w:ascii="Times New Roman;sans-serif" w:hAnsi="Times New Roman;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caf92c8cf4affafcd966305345f7a_157">
              <w:r>
                <w:rPr>
                  <w:rStyle w:val="InternetLink"/>
                  <w:rFonts w:ascii="Times New Roman;sans-serif" w:hAnsi="Times New Roman;sans-serif"/>
                  <w:b w:val="false"/>
                  <w:color w:val="0000FF"/>
                  <w:sz w:val="20"/>
                  <w:u w:val="single"/>
                </w:rPr>
                <w:t>46</w:t>
              </w:r>
            </w:hyperlink>
          </w:p>
        </w:tc>
      </w:tr>
    </w:tbl>
    <w:p>
      <w:pPr>
        <w:pStyle w:val="TextBody"/>
        <w:bidi w:val="0"/>
        <w:spacing w:before="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STATEMENT ON FORWARD-LOOKING INFORMATION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changes in general economic conditions, the real estate industry and the markets in which we operate;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failure to realize the expected benefits of the recent acquisition of Life Storage, Inc. (“Life Storage”);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risk that Life Storage’s business will not be integrated successfully or that such integration may be more difficult, time-consuming or costly than expected, including our ability to retain and hire key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uncertainty of expected future financial performance and results of the combined company following completion of the Life Storage merger;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failure to close pending acquisitions and developments on expected terms, or at all;</w:t>
      </w:r>
    </w:p>
    <w:p>
      <w:pPr>
        <w:pStyle w:val="TextBody"/>
        <w:bidi w:val="0"/>
        <w:spacing w:lineRule="auto" w:line="268" w:before="60" w:after="283"/>
        <w:ind w:left="0" w:right="0" w:hanging="360"/>
        <w:jc w:val="left"/>
        <w:rPr/>
      </w:pPr>
      <w:r>
        <w:rPr>
          <w:color w:val="000000"/>
        </w:rPr>
        <w:t>•</w:t>
      </w:r>
      <w:r>
        <w:rPr>
          <w:rFonts w:ascii="Times New Roman;sans-serif" w:hAnsi="Times New Roman;sans-serif"/>
          <w:b w:val="false"/>
          <w:color w:val="000000"/>
          <w:sz w:val="20"/>
        </w:rPr>
        <w:t>the effect of competition from new and existing stores or other storage alternatives, including increased or unanticipated competition for our or Life Storage’s properties, which could cause rents and occupancy rates to decline;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liability for uninsured losses and environmental contamination;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disruptions in credit and financial markets and resulting difficulties in raising capital or obtaining credit at reasonable rates or at all, which could impede our ability to grow;</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reliance on information technologies, which are vulnerable to, among other things, attack from computer viruses and malware, hacking, cyberattacks and other unauthorized access or misuse, any of which could adversely affect our business and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increased interest rates;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reductions in asset valuations and related impairment charges;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lack of sole decision-making authority with respect to our joint venture investments;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recover losses under our insurance policies;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effect of recent or future changes to U.S. tax laws;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failure to maintain our REIT status for U.S. federal income tax purposes;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economic uncertainty due to the impact of natural disasters, war or terrorism, which could adversely affect our business plan.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are based on our beliefs, assumptions and expectations of our future performance, taking into account all information currently available to us. These beliefs, assumptions and expectations are subject to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disclaim any duty or obligation to update or revise any forward-looking statements set forth in this report to reflect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00"/>
        <w:gridCol w:w="2090"/>
        <w:gridCol w:w="2099"/>
        <w:gridCol w:w="211"/>
        <w:gridCol w:w="1081"/>
        <w:gridCol w:w="109"/>
        <w:gridCol w:w="109"/>
        <w:gridCol w:w="109"/>
        <w:gridCol w:w="109"/>
        <w:gridCol w:w="216"/>
        <w:gridCol w:w="1112"/>
        <w:gridCol w:w="160"/>
      </w:tblGrid>
      <w:tr>
        <w:trPr/>
        <w:tc>
          <w:tcPr>
            <w:tcW w:w="280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9,997,978 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 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debt securities and notes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12,167,458 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Noncontrolling Interests and Equity:</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term loans,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senior notes,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lines of credit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in unconsolidated real estate ventures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8,089,184 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and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 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50,000,000 shares authorized, no shares issued or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500,000,000 shares authorized, 135,058,897 and 133,921,020 shares issued and outstanding at June 30, 2023 and December 31, 2022,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3,345,332 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Extra Space Storage Inc.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3,259,597 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Noncontrolling interest represented by Preferred Operating Partnership units, net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Operating Partnership, net and other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noncontrolling interests and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4,078,274 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noncontrolling interests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12,167,458 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60"/>
        <w:gridCol w:w="1060"/>
        <w:gridCol w:w="1063"/>
        <w:gridCol w:w="231"/>
        <w:gridCol w:w="836"/>
        <w:gridCol w:w="115"/>
        <w:gridCol w:w="115"/>
        <w:gridCol w:w="115"/>
        <w:gridCol w:w="115"/>
        <w:gridCol w:w="231"/>
        <w:gridCol w:w="836"/>
        <w:gridCol w:w="115"/>
        <w:gridCol w:w="109"/>
        <w:gridCol w:w="109"/>
        <w:gridCol w:w="109"/>
        <w:gridCol w:w="221"/>
        <w:gridCol w:w="830"/>
        <w:gridCol w:w="112"/>
        <w:gridCol w:w="112"/>
        <w:gridCol w:w="112"/>
        <w:gridCol w:w="112"/>
        <w:gridCol w:w="221"/>
        <w:gridCol w:w="830"/>
        <w:gridCol w:w="112"/>
        <w:gridCol w:w="109"/>
        <w:gridCol w:w="109"/>
        <w:gridCol w:w="109"/>
        <w:gridCol w:w="109"/>
        <w:gridCol w:w="109"/>
        <w:gridCol w:w="109"/>
        <w:gridCol w:w="109"/>
        <w:gridCol w:w="161"/>
      </w:tblGrid>
      <w:tr>
        <w:trPr/>
        <w:tc>
          <w:tcPr>
            <w:tcW w:w="14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rental</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874,709 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787,852 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 fees and other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1,014,436 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918,550 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Tenant reinsurance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Transaction related costs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238,047 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477,555 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421,824 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real estate transactions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536,881 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510,975 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(166,471)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equity in earnings and dividend income from unconsolidated real estate entities and income tax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410,925 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and dividend income from unconsolidated real estate entities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424,190 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465,551 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allocated to Preferred Operating Partnership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allocated to Operating Partnership and other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202,410 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435,709 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w:t>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134,832,232 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134,192,540 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134,672,672 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134,186,426 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143,529,817 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142,737,909 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143,337,522 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141,600,206 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per common share</w:t>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77"/>
        <w:gridCol w:w="1290"/>
        <w:gridCol w:w="1305"/>
        <w:gridCol w:w="222"/>
        <w:gridCol w:w="836"/>
        <w:gridCol w:w="123"/>
        <w:gridCol w:w="123"/>
        <w:gridCol w:w="123"/>
        <w:gridCol w:w="123"/>
        <w:gridCol w:w="222"/>
        <w:gridCol w:w="836"/>
        <w:gridCol w:w="123"/>
        <w:gridCol w:w="109"/>
        <w:gridCol w:w="109"/>
        <w:gridCol w:w="109"/>
        <w:gridCol w:w="210"/>
        <w:gridCol w:w="791"/>
        <w:gridCol w:w="117"/>
        <w:gridCol w:w="117"/>
        <w:gridCol w:w="117"/>
        <w:gridCol w:w="117"/>
        <w:gridCol w:w="210"/>
        <w:gridCol w:w="791"/>
        <w:gridCol w:w="117"/>
        <w:gridCol w:w="109"/>
        <w:gridCol w:w="109"/>
        <w:gridCol w:w="109"/>
        <w:gridCol w:w="161"/>
      </w:tblGrid>
      <w:tr>
        <w:trPr/>
        <w:tc>
          <w:tcPr>
            <w:tcW w:w="147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247,834 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465,551 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Change in fair value of interest rate swaps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227,911 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267,947 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422,279 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537,313 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Less: comprehensive income attributable to noncontrolling interests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common stockholders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214,394 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251,228 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396,981 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503,810 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Noncontrolling Interests and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thousands, except share data)</w:t>
      </w:r>
    </w:p>
    <w:p>
      <w:pPr>
        <w:pStyle w:val="TextBody"/>
        <w:bidi w:val="0"/>
        <w:spacing w:before="0" w:after="0"/>
        <w:jc w:val="center"/>
        <w:rPr/>
      </w:pPr>
      <w:r>
        <w:rPr/>
      </w:r>
    </w:p>
    <w:tbl>
      <w:tblPr>
        <w:tblW w:w="13979" w:type="dxa"/>
        <w:jc w:val="center"/>
        <w:tblInd w:w="0" w:type="dxa"/>
        <w:tblLayout w:type="fixed"/>
        <w:tblCellMar>
          <w:top w:w="28" w:type="dxa"/>
          <w:left w:w="28" w:type="dxa"/>
          <w:bottom w:w="28" w:type="dxa"/>
          <w:right w:w="28" w:type="dxa"/>
        </w:tblCellMar>
      </w:tblPr>
      <w:tblGrid>
        <w:gridCol w:w="693"/>
        <w:gridCol w:w="253"/>
        <w:gridCol w:w="255"/>
        <w:gridCol w:w="109"/>
        <w:gridCol w:w="109"/>
        <w:gridCol w:w="10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533"/>
        <w:gridCol w:w="533"/>
        <w:gridCol w:w="196"/>
        <w:gridCol w:w="109"/>
        <w:gridCol w:w="109"/>
        <w:gridCol w:w="109"/>
        <w:gridCol w:w="196"/>
        <w:gridCol w:w="57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7"/>
        <w:gridCol w:w="893"/>
        <w:gridCol w:w="156"/>
      </w:tblGrid>
      <w:tr>
        <w:trPr/>
        <w:tc>
          <w:tcPr>
            <w:tcW w:w="6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222,940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554,015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135,007,280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3,376,458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35,081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(159,556)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4,032,701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upon net settlement of 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grants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in consolidated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Operating Partnership units held by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on common stock at $1.62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222,940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553,610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135,058,897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3,383,303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47,065</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(175,941)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4,035,407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261,502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556,095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133,921,020</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3,345,332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48,798</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4,078,274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upon net settlement of 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grants 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A Units in the Operating Partnership for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851,698 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D Units in the Operating Partnership for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in 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Operating Partnership units held by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on common stock at $3.24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222,940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553,610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135,058,897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3,383,303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47,065</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(175,941)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4,035,407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Noncontrolling Interests and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amounts in thousands, except share data)</w:t>
      </w:r>
    </w:p>
    <w:p>
      <w:pPr>
        <w:pStyle w:val="TextBody"/>
        <w:bidi w:val="0"/>
        <w:spacing w:before="0" w:after="0"/>
        <w:jc w:val="center"/>
        <w:rPr/>
      </w:pPr>
      <w:r>
        <w:rPr/>
      </w:r>
    </w:p>
    <w:tbl>
      <w:tblPr>
        <w:tblW w:w="13814" w:type="dxa"/>
        <w:jc w:val="center"/>
        <w:tblInd w:w="0" w:type="dxa"/>
        <w:tblLayout w:type="fixed"/>
        <w:tblCellMar>
          <w:top w:w="28" w:type="dxa"/>
          <w:left w:w="28" w:type="dxa"/>
          <w:bottom w:w="28" w:type="dxa"/>
          <w:right w:w="28" w:type="dxa"/>
        </w:tblCellMar>
      </w:tblPr>
      <w:tblGrid>
        <w:gridCol w:w="692"/>
        <w:gridCol w:w="239"/>
        <w:gridCol w:w="240"/>
        <w:gridCol w:w="109"/>
        <w:gridCol w:w="109"/>
        <w:gridCol w:w="109"/>
        <w:gridCol w:w="196"/>
        <w:gridCol w:w="751"/>
        <w:gridCol w:w="109"/>
        <w:gridCol w:w="109"/>
        <w:gridCol w:w="109"/>
        <w:gridCol w:w="109"/>
        <w:gridCol w:w="196"/>
        <w:gridCol w:w="751"/>
        <w:gridCol w:w="109"/>
        <w:gridCol w:w="109"/>
        <w:gridCol w:w="109"/>
        <w:gridCol w:w="109"/>
        <w:gridCol w:w="196"/>
        <w:gridCol w:w="436"/>
        <w:gridCol w:w="109"/>
        <w:gridCol w:w="109"/>
        <w:gridCol w:w="109"/>
        <w:gridCol w:w="109"/>
        <w:gridCol w:w="533"/>
        <w:gridCol w:w="533"/>
        <w:gridCol w:w="196"/>
        <w:gridCol w:w="109"/>
        <w:gridCol w:w="109"/>
        <w:gridCol w:w="109"/>
        <w:gridCol w:w="196"/>
        <w:gridCol w:w="57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7"/>
        <w:gridCol w:w="893"/>
        <w:gridCol w:w="156"/>
      </w:tblGrid>
      <w:tr>
        <w:trPr/>
        <w:tc>
          <w:tcPr>
            <w:tcW w:w="6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256,051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411,581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134,251,076</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3,329,608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6,457</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(127,193)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3,878,164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B Units in the Operating Partnership for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Operating Partnership units in conjunction with 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D Units in the Operating Partnership in conjunction with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(381,786)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Operating Partnership units held by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 at $1.50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261,231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429,572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133,900,184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3,334,317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25,555</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(159,091)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3,893,240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259,110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410,053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133,922,305</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3,285,948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(42,546)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(128,245)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3,785,976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grants 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Operating Partnership units for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Preferred B Units in the Operating Partnership for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Operating Partnership units in conjunction with 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D units in the Operating Partnership in conjunction with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conjunction with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net of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(381,786)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Operating Partnership units held by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on common stock at $3.00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261,231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429,572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133,900,184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3,334,317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25,555</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(159,091)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3,893,240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11"/>
        <w:gridCol w:w="1613"/>
        <w:gridCol w:w="1625"/>
        <w:gridCol w:w="212"/>
        <w:gridCol w:w="797"/>
        <w:gridCol w:w="118"/>
        <w:gridCol w:w="118"/>
        <w:gridCol w:w="118"/>
        <w:gridCol w:w="118"/>
        <w:gridCol w:w="212"/>
        <w:gridCol w:w="797"/>
        <w:gridCol w:w="11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9"/>
      </w:tblGrid>
      <w:tr>
        <w:trPr/>
        <w:tc>
          <w:tcPr>
            <w:tcW w:w="191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related to stock-based awards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of interest income added to principal of debt securities and notes receivable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real estate transactions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real estate ventures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640,387 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real estate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business combination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and redevelopment of real estate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real estate assets and investments in real estate ventures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unconsolidated real estate entities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in unconsolidated real estate ventures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and purchase of notes receivable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received from notes receivable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notes receivable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equipment and fixtures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(357,586)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(570,028)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notes payable and revolving lines of credit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2,479,592 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1,948,657 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notes payable and revolving lines of credit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(3,246,378)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(1,915,531)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public bonds,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Operating Partnership units held by noncontrolling interests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Units for cash</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on common stock</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(438,783)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(316,763)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(76,387)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the period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the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including restricted cash at the beginning of the period:</w:t>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97,735 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76,194 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28"/>
        <w:gridCol w:w="1635"/>
        <w:gridCol w:w="1641"/>
        <w:gridCol w:w="216"/>
        <w:gridCol w:w="812"/>
        <w:gridCol w:w="119"/>
        <w:gridCol w:w="119"/>
        <w:gridCol w:w="119"/>
        <w:gridCol w:w="119"/>
        <w:gridCol w:w="216"/>
        <w:gridCol w:w="712"/>
        <w:gridCol w:w="11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1"/>
      </w:tblGrid>
      <w:tr>
        <w:trPr/>
        <w:tc>
          <w:tcPr>
            <w:tcW w:w="1928"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including restricted cash at the end of the period:</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schedule of cash flow information</w:t>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schedule of noncash investing and financing activities: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Operating Partnership units held by noncontrolling interests for common stock</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Operating Partnership</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and paid-in capital</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Operating Partnership Note Receivable Payoff</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 Unit Redemption - Cash Proceeds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establishment of operating lease right of use assets and lease liabilities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assets - operating lease right-of-use assets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real estate assets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assets, net</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equity issued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Liabilities Assumed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unconsolidated real estate ventures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construction costs and capital expenditures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real estate assets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Operating Partnership units for common stock</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Operating Partnership units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OP and Preferred OP units in conjunction with business combination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OP units issued</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 units issued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Extra Space Storage Inc. (the “Company”) is a fully integrated, self-administered and self-managed real estate investment trust (“REIT”), formed as a Maryland corporation on April 30, 2004, to own, operate, manage, acquire, develop and redevelop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which meets the definition of a variable interest entity and is consolidated. This structure is commonly referred to as an umbrella partnership REIT, or UPREIT.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stores by acquiring wholly-owned stores or by acquiring an equity interest in real estate entities. At June 30, 2023, the Company had direct and indirect equity interests in 1,460 stores. In addition, the Company managed 978 stores for third parties, bringing the total number of stores which it owns and/or manages to 2,438. These stores are located in 41 states and Washington, D.C. The Company also offers tenant reinsurance at its owned and managed stores that insures the value of goods in the storage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BASIS OF PRESENTATION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six months ended June 30, 2023 are not necessarily indicative of results that may be expected for the year ending December 31, 2023. The condensed consolidated balance sheet as of December 31, 2022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2022, as filed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jc w:val="left"/>
        <w:rPr/>
      </w:pPr>
      <w:r>
        <w:rPr/>
      </w:r>
    </w:p>
    <w:p>
      <w:pPr>
        <w:pStyle w:val="TextBody"/>
        <w:bidi w:val="0"/>
        <w:spacing w:lineRule="auto" w:line="276" w:before="0" w:after="0"/>
        <w:ind w:left="0" w:right="0" w:firstLine="495"/>
        <w:jc w:val="left"/>
        <w:rPr/>
      </w:pPr>
      <w:r>
        <w:rPr>
          <w:rFonts w:ascii="Times New Roman;sans-serif" w:hAnsi="Times New Roman;sans-serif"/>
          <w:b w:val="false"/>
          <w:color w:val="000000"/>
          <w:sz w:val="20"/>
        </w:rPr>
        <w:t>In March 2020, the Financial Accounting Standards Board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color w:val="000000"/>
        </w:rPr>
        <w:t xml:space="preserve"> </w:t>
      </w:r>
      <w:r>
        <w:rPr>
          <w:rFonts w:ascii="Times New Roman;sans-serif" w:hAnsi="Times New Roman;sans-serif"/>
          <w:b w:val="false"/>
          <w:color w:val="000000"/>
          <w:sz w:val="20"/>
        </w:rPr>
        <w:t>(“ASU 2020-04”). ASU 2020-04 provides temporary optional guidance that provides transition relief 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 2020-04 is effective upon issuance, and the provisions generally can be applied prospectively as of January 1, 2020 through December 31, 2024. As of June 30, 2023, the Company has converted all of its LIBOR-indexed debt and derivatives to SOFR-based indexes (effective with the respective instrument’s next reset date for certain instruments). For all derivatives in hedge accounting relationships, the elective relief in Topic 848 that allows for the continuation of hedge accounting throughout the transition process was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FAIR VALUE DISCLOSURES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June 30, 2023,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assets and liabilities measured at fair value on a recurring basis as of June 30, 2023, aggregated by the level in the fair value hierarchy within which those measurements fall. </w:t>
      </w:r>
    </w:p>
    <w:tbl>
      <w:tblPr>
        <w:tblW w:w="10205" w:type="dxa"/>
        <w:jc w:val="center"/>
        <w:tblInd w:w="0" w:type="dxa"/>
        <w:tblLayout w:type="fixed"/>
        <w:tblCellMar>
          <w:top w:w="28" w:type="dxa"/>
          <w:left w:w="28" w:type="dxa"/>
          <w:bottom w:w="28" w:type="dxa"/>
          <w:right w:w="28" w:type="dxa"/>
        </w:tblCellMar>
      </w:tblPr>
      <w:tblGrid>
        <w:gridCol w:w="909"/>
        <w:gridCol w:w="799"/>
        <w:gridCol w:w="802"/>
        <w:gridCol w:w="109"/>
        <w:gridCol w:w="109"/>
        <w:gridCol w:w="109"/>
        <w:gridCol w:w="109"/>
        <w:gridCol w:w="709"/>
        <w:gridCol w:w="1357"/>
        <w:gridCol w:w="363"/>
        <w:gridCol w:w="118"/>
        <w:gridCol w:w="118"/>
        <w:gridCol w:w="118"/>
        <w:gridCol w:w="422"/>
        <w:gridCol w:w="1449"/>
        <w:gridCol w:w="218"/>
        <w:gridCol w:w="118"/>
        <w:gridCol w:w="118"/>
        <w:gridCol w:w="118"/>
        <w:gridCol w:w="554"/>
        <w:gridCol w:w="1066"/>
        <w:gridCol w:w="413"/>
      </w:tblGrid>
      <w:tr>
        <w:trPr/>
        <w:tc>
          <w:tcPr>
            <w:tcW w:w="9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Reporting Date Using</w:t>
            </w:r>
          </w:p>
        </w:tc>
      </w:tr>
      <w:tr>
        <w:trPr/>
        <w:tc>
          <w:tcPr>
            <w:tcW w:w="2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2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Cash flow hedge swap agreements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Cash flow hedge swap agreements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significant assets or liabilities that are re-measured on a recurring basis using significant unobservable inputs as of June 30, 2023 or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Measured at Fair Value on a Nonrecurring Basis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goodwill for impairment at least annually and whenever events, circumstances, and other related factors indicate that the fair value of the related reporting unit may be less than the carrying value. If the fair value of the reporting unit is determined to exceed the aggregate carrying amount, no impairment charge is recorded. Otherwise, an impairment charge is recorded to the extent the carrying amount of the goodwill exceeds the amount that would be allocated to goodwill if the reporting unit were acquired for estimated fair value.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June 30, 2023, the Company had no operating stores classified as held for sale which are included in real estate assets, net.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annually whether there are any indicators that the value of the Company’s investments in unconsolidated real estate ventures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 For acquisitions that meet the definition of a business, the Company estimates the fair value of the identifiable assets and liabilities of the acquired entity on the acquisition date. Goodwill is measured as the excess of consideration transferred over the net of the acquisition date fair values of the identifiable assets acquired and liabilities assumed. Acquisition-related expenses arising from the transaction are expensed as incurred. The Company includes the results of operations of the businesses that it acquires beginning on the acquisition 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restricted cash, receivables, other financial instruments included in other assets, accounts payable and accrued expenses, variable-rate notes payable, investments in debt securities and notes receivable, lines of credit and other liabilities reflected in the condensed consolidated balance sheets at June 30, 2023 and December 31, 2022 approximate fair value. Restricted cash is comprised of funds deposited with financial institutions located throughout the United States primarily relating to earnest money deposits on potential acquisitions.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fixed-rate assets and liabilities were as follows for the periods indicated:</w:t>
      </w:r>
    </w:p>
    <w:tbl>
      <w:tblPr>
        <w:tblW w:w="10205" w:type="dxa"/>
        <w:jc w:val="center"/>
        <w:tblInd w:w="0" w:type="dxa"/>
        <w:tblLayout w:type="fixed"/>
        <w:tblCellMar>
          <w:top w:w="28" w:type="dxa"/>
          <w:left w:w="28" w:type="dxa"/>
          <w:bottom w:w="28" w:type="dxa"/>
          <w:right w:w="28" w:type="dxa"/>
        </w:tblCellMar>
      </w:tblPr>
      <w:tblGrid>
        <w:gridCol w:w="1446"/>
        <w:gridCol w:w="1272"/>
        <w:gridCol w:w="127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4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Carrying </w:t>
              <w:br/>
              <w:t>Value</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Preferred and Common Operating Partnership unit 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notes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shd w:fill="FFFFFF" w:val="clear"/>
        </w:rPr>
        <w:t>4.     </w:t>
      </w:r>
      <w:r>
        <w:rPr>
          <w:rFonts w:ascii="Times New Roman;sans-serif" w:hAnsi="Times New Roman;sans-serif"/>
          <w:b/>
          <w:color w:val="000000"/>
          <w:sz w:val="20"/>
        </w:rPr>
        <w:t>REAL ESTATE ASSETS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real estate assets are summarized as follows:</w:t>
      </w:r>
    </w:p>
    <w:tbl>
      <w:tblPr>
        <w:tblW w:w="7427" w:type="dxa"/>
        <w:jc w:val="left"/>
        <w:tblInd w:w="0" w:type="dxa"/>
        <w:tblLayout w:type="fixed"/>
        <w:tblCellMar>
          <w:top w:w="28" w:type="dxa"/>
          <w:left w:w="28" w:type="dxa"/>
          <w:bottom w:w="28" w:type="dxa"/>
          <w:right w:w="28" w:type="dxa"/>
        </w:tblCellMar>
      </w:tblPr>
      <w:tblGrid>
        <w:gridCol w:w="1488"/>
        <w:gridCol w:w="1305"/>
        <w:gridCol w:w="1317"/>
        <w:gridCol w:w="211"/>
        <w:gridCol w:w="1081"/>
        <w:gridCol w:w="109"/>
        <w:gridCol w:w="109"/>
        <w:gridCol w:w="109"/>
        <w:gridCol w:w="109"/>
        <w:gridCol w:w="250"/>
        <w:gridCol w:w="1157"/>
        <w:gridCol w:w="182"/>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2,356,746 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improvements and other intangibles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9,425,468 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finance lease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tenant relationships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rights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12,258,835 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12,084,191 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(2,138,524)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real estate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9,945,667 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under development/redevelopment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9,997,978 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shd w:fill="FFFFFF" w:val="clear"/>
        </w:rPr>
        <w:t>5.     OTHER</w:t>
      </w:r>
      <w:r>
        <w:rPr>
          <w:color w:val="000000"/>
        </w:rPr>
        <w:t xml:space="preserve"> </w:t>
      </w:r>
      <w:r>
        <w:rPr>
          <w:rFonts w:ascii="Times New Roman;sans-serif" w:hAnsi="Times New Roman;sans-serif"/>
          <w:b/>
          <w:color w:val="000000"/>
          <w:sz w:val="20"/>
        </w:rPr>
        <w:t>ASSETS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other assets are summarized as follows:</w:t>
      </w:r>
    </w:p>
    <w:tbl>
      <w:tblPr>
        <w:tblW w:w="6579" w:type="dxa"/>
        <w:jc w:val="left"/>
        <w:tblInd w:w="0" w:type="dxa"/>
        <w:tblLayout w:type="fixed"/>
        <w:tblCellMar>
          <w:top w:w="28" w:type="dxa"/>
          <w:left w:w="28" w:type="dxa"/>
          <w:bottom w:w="28" w:type="dxa"/>
          <w:right w:w="28" w:type="dxa"/>
        </w:tblCellMar>
      </w:tblPr>
      <w:tblGrid>
        <w:gridCol w:w="1269"/>
        <w:gridCol w:w="1114"/>
        <w:gridCol w:w="1126"/>
        <w:gridCol w:w="212"/>
        <w:gridCol w:w="833"/>
        <w:gridCol w:w="109"/>
        <w:gridCol w:w="109"/>
        <w:gridCol w:w="109"/>
        <w:gridCol w:w="109"/>
        <w:gridCol w:w="281"/>
        <w:gridCol w:w="1103"/>
        <w:gridCol w:w="205"/>
      </w:tblGrid>
      <w:tr>
        <w:trPr/>
        <w:tc>
          <w:tcPr>
            <w:tcW w:w="126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deposits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fixtures,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interest rate swaps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line of credit financing costs,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414,426 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EARNINGS PER COMMON SHARE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June 30, 2023 and 2022 was $150.45 and $185.25,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number of Preferred Operating Partnership units as if converted into potential common shares, that were excluded from the computation of earnings per share as their effect would have been anti-dilutive.</w:t>
      </w:r>
    </w:p>
    <w:tbl>
      <w:tblPr>
        <w:tblW w:w="10205" w:type="dxa"/>
        <w:jc w:val="center"/>
        <w:tblInd w:w="0" w:type="dxa"/>
        <w:tblLayout w:type="fixed"/>
        <w:tblCellMar>
          <w:top w:w="28" w:type="dxa"/>
          <w:left w:w="28" w:type="dxa"/>
          <w:bottom w:w="28" w:type="dxa"/>
          <w:right w:w="28" w:type="dxa"/>
        </w:tblCellMar>
      </w:tblPr>
      <w:tblGrid>
        <w:gridCol w:w="323"/>
        <w:gridCol w:w="285"/>
        <w:gridCol w:w="286"/>
        <w:gridCol w:w="638"/>
        <w:gridCol w:w="591"/>
        <w:gridCol w:w="564"/>
        <w:gridCol w:w="223"/>
        <w:gridCol w:w="223"/>
        <w:gridCol w:w="223"/>
        <w:gridCol w:w="638"/>
        <w:gridCol w:w="591"/>
        <w:gridCol w:w="564"/>
        <w:gridCol w:w="109"/>
        <w:gridCol w:w="109"/>
        <w:gridCol w:w="109"/>
        <w:gridCol w:w="836"/>
        <w:gridCol w:w="468"/>
        <w:gridCol w:w="468"/>
        <w:gridCol w:w="211"/>
        <w:gridCol w:w="211"/>
        <w:gridCol w:w="211"/>
        <w:gridCol w:w="896"/>
        <w:gridCol w:w="468"/>
        <w:gridCol w:w="468"/>
        <w:gridCol w:w="109"/>
        <w:gridCol w:w="109"/>
        <w:gridCol w:w="109"/>
        <w:gridCol w:w="165"/>
      </w:tblGrid>
      <w:tr>
        <w:trPr/>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Equivalent Shares (if converted)</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Equivalent Shares (if converted)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Equivalent Shares (if converted)</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Equivalent Shares (if converted)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 Units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223,118 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183,807 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218,259 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183,342 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D Units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1,074,933 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223,118 </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183,807 </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218,259 </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1,258,275 </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25, 2023, the remaining Series A Units were redeemed (see Note 13 below). For the purposes of computing the diluted impact on earnings per share of the potential exchange of Series A Units for common shares upon redemption, where the Company had the option to redeem in cash or shares and where the Company had stated the positive intent and ability to settle at least $101,700 of the instrument in cash (or net settle a portion of the Series A Units against the related outstanding note receivable), only the amount of the instrument in excess of $101,700 was considered in the calculation of shares contingently issuable for the purposes of computing diluted earnings per share as allowed by ASC 260-10-45-46. Accordingly, the number of shares included in the computation for diluted earnings per share related to the Series A Units was equal to the number of Series A Units outstanding, with no additional shares included related to the fixed $101,700 amount.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earnings per common share is as follows for the periods presented: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02"/>
        <w:gridCol w:w="1248"/>
        <w:gridCol w:w="1252"/>
        <w:gridCol w:w="231"/>
        <w:gridCol w:w="840"/>
        <w:gridCol w:w="116"/>
        <w:gridCol w:w="116"/>
        <w:gridCol w:w="116"/>
        <w:gridCol w:w="116"/>
        <w:gridCol w:w="231"/>
        <w:gridCol w:w="840"/>
        <w:gridCol w:w="116"/>
        <w:gridCol w:w="109"/>
        <w:gridCol w:w="109"/>
        <w:gridCol w:w="109"/>
        <w:gridCol w:w="221"/>
        <w:gridCol w:w="830"/>
        <w:gridCol w:w="113"/>
        <w:gridCol w:w="113"/>
        <w:gridCol w:w="113"/>
        <w:gridCol w:w="113"/>
        <w:gridCol w:w="221"/>
        <w:gridCol w:w="830"/>
        <w:gridCol w:w="113"/>
        <w:gridCol w:w="109"/>
        <w:gridCol w:w="109"/>
        <w:gridCol w:w="109"/>
        <w:gridCol w:w="160"/>
      </w:tblGrid>
      <w:tr>
        <w:trPr/>
        <w:tc>
          <w:tcPr>
            <w:tcW w:w="150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435,709 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and dividends allocated to participating securities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for basic computations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435,108 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and dividends allocated to participating securities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noncontrolling interest - Preferred Operating Partnership Units and Operating Partnership Units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component of income allocated to noncontrolling interest - Preferred Operating Partnership (Series A Units)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for diluted computations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246,446 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423,283 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458,942 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Average number of common shares outstanding - basic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134,832,232 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134,192,540 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134,672,672 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134,186,426 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 Units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7,214,649 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6,545,104 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7,214,649 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6,533,010 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A Units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875,480 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875,480 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D Units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1,257,366 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1,119,641 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1,233,178 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awards included for treasury stock method</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related to dilutive stock options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common shares outstanding - diluted</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143,529,817 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142,737,909 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143,337,522 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141,600,206 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7.    ACQUISITIONS AND DISPOSITIONS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ans-serif" w:hAnsi="Times New Roman;sans-serif"/>
          <w:b w:val="false"/>
          <w:i/>
          <w:color w:val="000000"/>
          <w:sz w:val="20"/>
        </w:rPr>
      </w:pPr>
      <w:r>
        <w:rPr>
          <w:rFonts w:ascii="Times New Roman;sans-serif" w:hAnsi="Times New Roman;sans-serif"/>
          <w:b w:val="false"/>
          <w:i/>
          <w:color w:val="000000"/>
          <w:sz w:val="20"/>
        </w:rPr>
        <w:t>Store Acquisitions</w:t>
      </w:r>
    </w:p>
    <w:p>
      <w:pPr>
        <w:pStyle w:val="TextBody"/>
        <w:bidi w:val="0"/>
        <w:spacing w:before="0" w:after="0"/>
        <w:ind w:left="0" w:right="0" w:hanging="27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The following table shows the Company’s acquisitions of stores for the three and six months ended June 30, 2023 and 2022. The table excludes purchases of raw land and improvements made to existing assets. All store acquisitions are considered asset acquisitions under ASU 2017-01, "</w:t>
      </w:r>
      <w:r>
        <w:rPr>
          <w:rFonts w:ascii="Times New Roman;sans-serif" w:hAnsi="Times New Roman;sans-serif"/>
          <w:b w:val="false"/>
          <w:i/>
          <w:color w:val="000000"/>
          <w:sz w:val="20"/>
        </w:rPr>
        <w:t>Business Combinations (Topic 805): Clarifying the Definition of a Business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41"/>
        <w:gridCol w:w="212"/>
        <w:gridCol w:w="214"/>
        <w:gridCol w:w="284"/>
        <w:gridCol w:w="284"/>
        <w:gridCol w:w="286"/>
        <w:gridCol w:w="109"/>
        <w:gridCol w:w="109"/>
        <w:gridCol w:w="109"/>
        <w:gridCol w:w="196"/>
        <w:gridCol w:w="751"/>
        <w:gridCol w:w="109"/>
        <w:gridCol w:w="109"/>
        <w:gridCol w:w="109"/>
        <w:gridCol w:w="109"/>
        <w:gridCol w:w="109"/>
        <w:gridCol w:w="244"/>
        <w:gridCol w:w="713"/>
        <w:gridCol w:w="136"/>
        <w:gridCol w:w="363"/>
        <w:gridCol w:w="809"/>
        <w:gridCol w:w="203"/>
        <w:gridCol w:w="279"/>
        <w:gridCol w:w="813"/>
        <w:gridCol w:w="155"/>
        <w:gridCol w:w="232"/>
        <w:gridCol w:w="785"/>
        <w:gridCol w:w="129"/>
        <w:gridCol w:w="496"/>
        <w:gridCol w:w="109"/>
        <w:gridCol w:w="109"/>
        <w:gridCol w:w="109"/>
        <w:gridCol w:w="208"/>
        <w:gridCol w:w="799"/>
        <w:gridCol w:w="174"/>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1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08" w:type="dxa"/>
            <w:gridSpan w:val="6"/>
            <w:tcBorders/>
          </w:tcPr>
          <w:p>
            <w:pPr>
              <w:pStyle w:val="TableContents"/>
              <w:bidi w:val="0"/>
              <w:spacing w:before="0" w:after="283"/>
              <w:jc w:val="left"/>
              <w:rPr>
                <w:sz w:val="4"/>
                <w:szCs w:val="4"/>
              </w:rPr>
            </w:pPr>
            <w:r>
              <w:rPr>
                <w:sz w:val="4"/>
                <w:szCs w:val="4"/>
              </w:rPr>
            </w:r>
          </w:p>
        </w:tc>
      </w:tr>
      <w:tr>
        <w:trPr/>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 Liability</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Investments in Real Estate Ventures</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Liabilities/ (Assets) Assumed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Issued</w:t>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assets</w:t>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Q2 2023</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2023</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2023</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45,999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46,031</w:t>
            </w: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Q2 2022</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2022</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2022</w:t>
            </w:r>
          </w:p>
        </w:tc>
        <w:tc>
          <w:tcPr>
            <w:tcW w:w="8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406,843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6,823</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747</w:t>
            </w: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1,085</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40,965</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456,463</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66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Investments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On June 1, 2022 the Company completed the acquisition of Bargold Storage Systems, LLC ("Bargold") for a purchase price of approximately $179.3 million. Bargold leases space in apartment buildings, primarily in New York City and its boroughs, builds out the space as storage units, and subleases the units to tenants. As of the date of the acquisition, Bargold had approximately 17,000 storage units with an approximate occupancy of 97%. This acquisition is considered a business combination under ASU 2017-01, "</w:t>
      </w:r>
      <w:r>
        <w:rPr>
          <w:rFonts w:ascii="Times New Roman;sans-serif" w:hAnsi="Times New Roman;sans-serif"/>
          <w:b w:val="false"/>
          <w:i/>
          <w:color w:val="000000"/>
          <w:sz w:val="20"/>
        </w:rPr>
        <w:t>Business Combinations (Topic 805): Clarifying the Definition of a Business</w:t>
      </w:r>
      <w:r>
        <w:rPr>
          <w:rFonts w:ascii="Times New Roman;sans-serif" w:hAnsi="Times New Roman;sans-serif"/>
          <w:b w:val="false"/>
          <w:color w:val="000000"/>
          <w:sz w:val="2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values of the assets acquired and liabilities assumed at the acquisition date. </w:t>
      </w:r>
    </w:p>
    <w:p>
      <w:pPr>
        <w:pStyle w:val="TextBody"/>
        <w:bidi w:val="0"/>
        <w:spacing w:before="0" w:after="0"/>
        <w:ind w:left="0" w:right="0" w:firstLine="495"/>
        <w:jc w:val="center"/>
        <w:rPr/>
      </w:pPr>
      <w:r>
        <w:rPr/>
      </w:r>
    </w:p>
    <w:tbl>
      <w:tblPr>
        <w:tblW w:w="5421" w:type="dxa"/>
        <w:jc w:val="center"/>
        <w:tblInd w:w="0" w:type="dxa"/>
        <w:tblLayout w:type="fixed"/>
        <w:tblCellMar>
          <w:top w:w="28" w:type="dxa"/>
          <w:left w:w="28" w:type="dxa"/>
          <w:bottom w:w="28" w:type="dxa"/>
          <w:right w:w="28" w:type="dxa"/>
        </w:tblCellMar>
      </w:tblPr>
      <w:tblGrid>
        <w:gridCol w:w="1532"/>
        <w:gridCol w:w="1345"/>
        <w:gridCol w:w="1353"/>
        <w:gridCol w:w="211"/>
        <w:gridCol w:w="82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payables and accrued liabilities assumed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Nets asset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revenues and earnings related to Bargold since the acquisition date of June 1, 2022, which are included in the Company's consolidated statement of operations for the year ended December 31, 2022:</w:t>
      </w:r>
    </w:p>
    <w:p>
      <w:pPr>
        <w:pStyle w:val="TextBody"/>
        <w:bidi w:val="0"/>
        <w:spacing w:before="0" w:after="0"/>
        <w:ind w:left="0" w:right="0" w:firstLine="495"/>
        <w:jc w:val="left"/>
        <w:rPr/>
      </w:pPr>
      <w:r>
        <w:rPr/>
      </w:r>
    </w:p>
    <w:tbl>
      <w:tblPr>
        <w:tblW w:w="3350" w:type="dxa"/>
        <w:jc w:val="center"/>
        <w:tblInd w:w="0" w:type="dxa"/>
        <w:tblLayout w:type="fixed"/>
        <w:tblCellMar>
          <w:top w:w="28" w:type="dxa"/>
          <w:left w:w="28" w:type="dxa"/>
          <w:bottom w:w="28" w:type="dxa"/>
          <w:right w:w="28" w:type="dxa"/>
        </w:tblCellMar>
      </w:tblPr>
      <w:tblGrid>
        <w:gridCol w:w="857"/>
        <w:gridCol w:w="754"/>
        <w:gridCol w:w="758"/>
        <w:gridCol w:w="211"/>
        <w:gridCol w:w="61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Pro Forma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acquired Bargold. The following pro forma financial information is based on the combined historical financial statements of the Company and Bargold, however, only includes revenue and presents the Company's results as if the acquisition had occurred on January 1, 2021. Net income was excluded as it was impracticable to report expenses due to the lack of historical accrual basis accounting.</w:t>
      </w:r>
    </w:p>
    <w:p>
      <w:pPr>
        <w:pStyle w:val="TextBody"/>
        <w:bidi w:val="0"/>
        <w:spacing w:before="0" w:after="0"/>
        <w:ind w:left="0" w:right="0" w:firstLine="495"/>
        <w:jc w:val="left"/>
        <w:rPr/>
      </w:pPr>
      <w:r>
        <w:rPr/>
      </w:r>
    </w:p>
    <w:tbl>
      <w:tblPr>
        <w:tblW w:w="8559" w:type="dxa"/>
        <w:jc w:val="center"/>
        <w:tblInd w:w="0" w:type="dxa"/>
        <w:tblLayout w:type="fixed"/>
        <w:tblCellMar>
          <w:top w:w="28" w:type="dxa"/>
          <w:left w:w="28" w:type="dxa"/>
          <w:bottom w:w="28" w:type="dxa"/>
          <w:right w:w="28" w:type="dxa"/>
        </w:tblCellMar>
      </w:tblPr>
      <w:tblGrid>
        <w:gridCol w:w="477"/>
        <w:gridCol w:w="420"/>
        <w:gridCol w:w="422"/>
        <w:gridCol w:w="559"/>
        <w:gridCol w:w="2587"/>
        <w:gridCol w:w="288"/>
        <w:gridCol w:w="109"/>
        <w:gridCol w:w="109"/>
        <w:gridCol w:w="109"/>
        <w:gridCol w:w="547"/>
        <w:gridCol w:w="2533"/>
        <w:gridCol w:w="399"/>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1,930,816 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1,592,021 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INVESTMENTS IN UNCONSOLIDATED REAL ESTATE ENTITIES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 and cash distributions in unconsolidated real estate ventures represent the Company's interest in preferred stock of SmartStop Self Storage REIT, Inc. ("SmartStop") and Strategic Storage Trust VI, Inc. ("Strategic Storage"), an indirect subsidiary of SmartStop Self Storage REIT, Inc.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investments in unconsolidated real estate ventures and cash distributions in unconsolidated real estate ventures consist of the following:</w:t>
      </w:r>
    </w:p>
    <w:tbl>
      <w:tblPr>
        <w:tblW w:w="10205" w:type="dxa"/>
        <w:jc w:val="left"/>
        <w:tblInd w:w="0" w:type="dxa"/>
        <w:tblLayout w:type="fixed"/>
        <w:tblCellMar>
          <w:top w:w="28" w:type="dxa"/>
          <w:left w:w="28" w:type="dxa"/>
          <w:bottom w:w="28" w:type="dxa"/>
          <w:right w:w="28" w:type="dxa"/>
        </w:tblCellMar>
      </w:tblPr>
      <w:tblGrid>
        <w:gridCol w:w="1502"/>
        <w:gridCol w:w="985"/>
        <w:gridCol w:w="994"/>
        <w:gridCol w:w="323"/>
        <w:gridCol w:w="323"/>
        <w:gridCol w:w="324"/>
        <w:gridCol w:w="109"/>
        <w:gridCol w:w="109"/>
        <w:gridCol w:w="109"/>
        <w:gridCol w:w="394"/>
        <w:gridCol w:w="394"/>
        <w:gridCol w:w="396"/>
        <w:gridCol w:w="109"/>
        <w:gridCol w:w="109"/>
        <w:gridCol w:w="109"/>
        <w:gridCol w:w="306"/>
        <w:gridCol w:w="306"/>
        <w:gridCol w:w="307"/>
        <w:gridCol w:w="109"/>
        <w:gridCol w:w="109"/>
        <w:gridCol w:w="109"/>
        <w:gridCol w:w="211"/>
        <w:gridCol w:w="826"/>
        <w:gridCol w:w="109"/>
        <w:gridCol w:w="109"/>
        <w:gridCol w:w="109"/>
        <w:gridCol w:w="109"/>
        <w:gridCol w:w="211"/>
        <w:gridCol w:w="826"/>
        <w:gridCol w:w="160"/>
      </w:tblGrid>
      <w:tr>
        <w:trPr/>
        <w:tc>
          <w:tcPr>
            <w:tcW w:w="150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Ownership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Excess Profit % </w:t>
            </w:r>
            <w:r>
              <w:rPr>
                <w:rFonts w:ascii="Times New Roman;sans-serif" w:hAnsi="Times New Roman;sans-serif"/>
                <w:b/>
                <w:color w:val="000000"/>
                <w:sz w:val="10"/>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PRISA Self Storage LLC </w:t>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Portfolio II JV LLC </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Portfolio IV JV LLC</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Portfolio I LLC </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 II EXR JV LLC</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ESS-CA TIVS JV LP</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VRS Self Storage, LLC </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ARA-EXR JV LLC</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ESS-NYFL JV LP</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Northern Properties Six LLC</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Alan Jathoo JV LLC</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Bristol Investments LLC</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 BGO Atlanta GA JV LLC</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 BGO Storage JV I LLC</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Portfolio V JV LLC</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 EXR Self Storage, LLC</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Portfolio III JV LLC</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unconsolidated real estate ventures</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SmartStop Self Storage REIT, Inc. Preferred Stock </w:t>
            </w:r>
            <w:r>
              <w:rPr>
                <w:rFonts w:ascii="Times New Roman;sans-serif" w:hAnsi="Times New Roman;sans-serif"/>
                <w:b w:val="false"/>
                <w:color w:val="000000"/>
                <w:sz w:val="13"/>
              </w:rPr>
              <w:t>(2)</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Strategic Storage Trust VI, Inc. Preferred Stock </w:t>
            </w:r>
            <w:r>
              <w:rPr>
                <w:rFonts w:ascii="Times New Roman;sans-serif" w:hAnsi="Times New Roman;sans-serif"/>
                <w:b w:val="false"/>
                <w:color w:val="000000"/>
                <w:sz w:val="13"/>
              </w:rPr>
              <w:t>(3)</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Investments in and Cash distributions in unconsolidated real estate entities</w:t>
            </w:r>
          </w:p>
        </w:tc>
        <w:tc>
          <w:tcPr>
            <w:tcW w:w="9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515,060 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pro-rata equity ownership share and maximum potential promoted interest.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In October 2019, the Company invested $200,000 in shares of convertible preferred stock of SmartStop Self Storage REIT, Inc. ("SmartStop") with a dividend rate of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In May 2023, the Company invested $150,000 in shares of convertible preferred stock of Strategic Storage Trust VI, Inc. ("Strategic Storage") with a dividend rate of 8.35% per annum, subject to increase after five years. The preferred shares are generally not redeemable for three years, except in the case of a change of control or initial listing of Strategic Storage Trust VI, Inc.. Dividend income from this investment is included on the equity in earnings and dividend income from unconsolidated real estate entities line on the Company's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contributed a total of $20,686 of cash to its joint ventures, for its pro-rata portion of the purchase price of five operating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INVESTMENTS IN DEBT SECURITIES AND NOTES RECEIVABLE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tbl>
      <w:tblPr>
        <w:tblW w:w="6580" w:type="dxa"/>
        <w:jc w:val="left"/>
        <w:tblInd w:w="0" w:type="dxa"/>
        <w:tblLayout w:type="fixed"/>
        <w:tblCellMar>
          <w:top w:w="28" w:type="dxa"/>
          <w:left w:w="28" w:type="dxa"/>
          <w:bottom w:w="28" w:type="dxa"/>
          <w:right w:w="28" w:type="dxa"/>
        </w:tblCellMar>
      </w:tblPr>
      <w:tblGrid>
        <w:gridCol w:w="1271"/>
        <w:gridCol w:w="1116"/>
        <w:gridCol w:w="1123"/>
        <w:gridCol w:w="212"/>
        <w:gridCol w:w="833"/>
        <w:gridCol w:w="109"/>
        <w:gridCol w:w="109"/>
        <w:gridCol w:w="109"/>
        <w:gridCol w:w="109"/>
        <w:gridCol w:w="281"/>
        <w:gridCol w:w="1103"/>
        <w:gridCol w:w="205"/>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 NexPoint Preferred Stock</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Bridge Loans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Interest Receivable </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858,049 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 invested $300,000 in the preferred stock of JCAP in connection with the acquisition of JCAP by affiliates of NexPoint Advisors, L.P. This investment consisted of 200,000 Series A Preferred Shares valued at a total of $200,000, and 100,000 Series B Preferred Shares valued at a total of $100,000. In December 2022, a modification was completed that exchanged the Series A and Series B Preferred Shares for 300,000 Series D Preferred Shares, valued at a total of $300,000. The Series D Preferred Shares are mandatorily redeemable after six years from the modification in December 2022, with two one-year extension options. NexPoint may redeem the Series D Preferred Shares at any time, subject to certain prepayment penalties. The Company accounts for the JCAP Series D Preferred Shares as a held to maturity debt security at amortized cost. The Series D Preferred Shares have initial dividend rates of 8.5%. If the investment is not retired after six years, the preferred dividends increase annually.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bridge loan financing to third-party self-storage operators. These notes receivable consist of mortgage loans receivable, which are collateralized by self-storage properties and unsecured mezzanine loans receivable. These notes receivable typically have a term of three years with two one-year extensions, and have variable interest rates. The Company intends to sell a portion of the mortgage receivables. During the six months ended June 30, 2023 the Company sold a total principal amount of $60,696 of its mortgage bridge loans receivable to third parties for a total of $60,696 in cash and closed on $104,120 in new bridge loans.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bridge loans typically have a loan to value ratio between 70% and 80%. None of the debt securities or notes receivable are in past-due or nonaccrual status and the allowance for potential credit losses is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the Operating Partnership executed a public bond issuance by selling $450.0 million principal amount of 5.500% Senior Notes due 2030 (the "Notes Due 2030"). Interest on the Notes Due 2030 is paid semi-annually in arrears on January 1 and July 1 of each year. The Notes Due 2030 will mature on July 1, 2030, and the Operating Partnership may redeem the Notes Due 2030 at its option and sole discretion at any time prior to May 1, 2030 for cash equal to the outstanding principal amount plus the present value of the remaining scheduled interest payments, plus any accrued but unpaid interest.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Operating Partnership executed a public bond issuance by selling $500.0 million principal amount of 5.700% Senior Notes due 2028 (the "Notes Due 2028"). Interest on the Notes Due 2028 is paid semi-annually in arrears on April 1 and October 1 of each year. The Notes Due 2028 will mature on April 1, 2028, and the Operating Partnership may redeem the Notes Due 2028 at its option and sole discretion at any time prior to March 1, 2028 for cash equal to the outstanding principal amount plus the present value of the remaining scheduled interest payments, plus any accrued but unpaid interest.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the Operating Partnership executed a public bond issuance by selling $400.0 million principal amount of 3.900% Senior Notes due 2029 (the "Notes Due 2029"). Interest on the Notes Due 2029 is paid semi-annually in arrears on April 1 and October 1 of each year. The Notes Due 2029 will mature on April 1, 2029, and the Operating Partnership may redeem the Notes Due 2029 at its option and sole discretion at any time prior to February 1, 2029 for cash equal to the outstanding principal amount plus the present value of the remaining scheduled interest payments, plus any accrued but unpaid interest.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Operating Partnership executed a public bond issuance by selling $600.0 million principal amount of 2.350% Senior Notes due 2032 (the "Notes Due 2032"). Interest on the Notes Due 2032 is paid semi-annually in arrears on March 15 and September 15 of each year. The Notes Due 2032 will mature on March 15, 2032, and the Operating Partnership may redeem the Notes Due 2032 at its option and sole discretion at any time prior to December 15, 2031 for cash equal to the outstanding principal amount plus the present value of the remaining scheduled interest payments, plus any accrued but unpaid interest.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the Operating Partnership executed its initial public bond issuance by selling $450.0 million principal amount of 2.550% Senior Notes due 2031 (the "Notes Due 2031"). Interest on the Notes Due 2031 is paid semi-annually in arrears on June 1 and December 1 of each year. The Notes Due 2031 will mature on June 1, 2031, and the Operating Partnership may redeem the Notes Due 2031 at its option and sole discretion at any time prior to March 1, 2031 for cash equal to the outstanding principal amount plus the present value of the remaining scheduled interest payments, plus any accrued but unpaid interest.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may redeem the Notes Due 2028, the Notes Due 2029, the Notes Due 2030, the Notes Due 2031 and/or the Notes Due 2032 (collectively, the "Notes") in whole at any time or in part from time to time, at the Operating Partnership’s option and sole discretion, at a redemption price equal to the greater of (i) 100% of the principal amount of the notes being redeemed and (ii) a make-whole premium calculated in accordance with the indenture governing the notes, plus, in each case, accrued and unpaid interest thereon to, but not including, the applicable redemption date. Notwithstanding the foregoing, on or after the par call date, the redemption price will be equal to 100% of the principal amount of the notes being redeemed, plus accrued and unpaid interest thereon to, but not including, the applicable redemption date. The par call date on the Notes Due 2028 is one month prior to the maturity. The par call date on the Notes Due 2029 and the Notes Due 2030 is two months prior to the maturity. The par call date on the Notes Due 2031 and the Notes Due 2032 is three months prior to their maturity dates.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events are considered events of default, which may result in the accelerated maturity of the Notes, including, among other things, a default for 30 days in the payment of any installment of interest under the notes or a default in the payment of the principal amount or redemption price due with respect to the notes, when the same become due and payable.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unsecured, and are fully and unconditionally guaranteed by the Company, ESS Holdings Business Trust I, and ESS Holdings Business Trust II (the "Guarantors," and together with the Operating Partnership, the "Obligated Group"), on a joint and several basis. The guarantee of the Notes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term debt are summarized as follows:</w:t>
      </w:r>
    </w:p>
    <w:tbl>
      <w:tblPr>
        <w:tblW w:w="10205" w:type="dxa"/>
        <w:jc w:val="left"/>
        <w:tblInd w:w="0" w:type="dxa"/>
        <w:tblLayout w:type="fixed"/>
        <w:tblCellMar>
          <w:top w:w="28" w:type="dxa"/>
          <w:left w:w="28" w:type="dxa"/>
          <w:bottom w:w="28" w:type="dxa"/>
          <w:right w:w="28" w:type="dxa"/>
        </w:tblCellMar>
      </w:tblPr>
      <w:tblGrid>
        <w:gridCol w:w="835"/>
        <w:gridCol w:w="650"/>
        <w:gridCol w:w="611"/>
        <w:gridCol w:w="196"/>
        <w:gridCol w:w="871"/>
        <w:gridCol w:w="109"/>
        <w:gridCol w:w="109"/>
        <w:gridCol w:w="109"/>
        <w:gridCol w:w="109"/>
        <w:gridCol w:w="232"/>
        <w:gridCol w:w="1034"/>
        <w:gridCol w:w="129"/>
        <w:gridCol w:w="109"/>
        <w:gridCol w:w="109"/>
        <w:gridCol w:w="109"/>
        <w:gridCol w:w="323"/>
        <w:gridCol w:w="305"/>
        <w:gridCol w:w="307"/>
        <w:gridCol w:w="109"/>
        <w:gridCol w:w="109"/>
        <w:gridCol w:w="109"/>
        <w:gridCol w:w="415"/>
        <w:gridCol w:w="415"/>
        <w:gridCol w:w="416"/>
        <w:gridCol w:w="109"/>
        <w:gridCol w:w="109"/>
        <w:gridCol w:w="109"/>
        <w:gridCol w:w="109"/>
        <w:gridCol w:w="109"/>
        <w:gridCol w:w="581"/>
        <w:gridCol w:w="514"/>
        <w:gridCol w:w="736"/>
      </w:tblGrid>
      <w:tr>
        <w:trPr/>
        <w:tc>
          <w:tcPr>
            <w:tcW w:w="8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Term Debt</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Variable Rate</w:t>
            </w:r>
            <w:r>
              <w:rPr>
                <w:color w:val="000000"/>
              </w:rPr>
              <w:t xml:space="preserve"> </w:t>
            </w:r>
            <w:r>
              <w:rPr>
                <w:rFonts w:ascii="Times New Roman;sans-serif" w:hAnsi="Times New Roman;sans-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Dates</w:t>
            </w:r>
          </w:p>
        </w:tc>
      </w:tr>
      <w:tr>
        <w:trPr/>
        <w:tc>
          <w:tcPr>
            <w:tcW w:w="2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Secured fixed-rate </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2.67% - 4.56%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2025 - February 2030</w:t>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Secured variable-rate </w:t>
            </w:r>
            <w:r>
              <w:rPr>
                <w:rFonts w:ascii="Times New Roman;sans-serif" w:hAnsi="Times New Roman;sans-serif"/>
                <w:b w:val="false"/>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772,604 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6.14% - 6.59%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2023 - September 2030</w:t>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fixed-rate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4,240,376 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2.35% - 5.70%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2025 - March 2032</w:t>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variable-rate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884,624 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6.14% - 6.19%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2024 - January 2028</w:t>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6,419,424 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r>
      <w:tr>
        <w:trPr/>
        <w:tc>
          <w:tcPr>
            <w:tcW w:w="2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7,217,488 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6,386,462 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7" w:type="dxa"/>
            <w:gridSpan w:val="2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The loans are collateralized by mortgages on real estate assets and the assignment of rents.</w:t>
            </w:r>
          </w:p>
        </w:tc>
        <w:tc>
          <w:tcPr>
            <w:tcW w:w="2158" w:type="dxa"/>
            <w:gridSpan w:val="6"/>
            <w:tcBorders/>
          </w:tcPr>
          <w:p>
            <w:pPr>
              <w:pStyle w:val="TableContents"/>
              <w:bidi w:val="0"/>
              <w:spacing w:before="0" w:after="283"/>
              <w:jc w:val="left"/>
              <w:rPr>
                <w:sz w:val="4"/>
                <w:szCs w:val="4"/>
              </w:rPr>
            </w:pPr>
            <w:r>
              <w:rPr>
                <w:sz w:val="4"/>
                <w:szCs w:val="4"/>
              </w:rPr>
            </w:r>
          </w:p>
        </w:tc>
      </w:tr>
      <w:tr>
        <w:trPr/>
        <w:tc>
          <w:tcPr>
            <w:tcW w:w="8047"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Basis rates include 30-day USD LIBOR, Adjusted Term SOFR and Adjusted Daily Simple SOFR.</w:t>
            </w:r>
          </w:p>
        </w:tc>
        <w:tc>
          <w:tcPr>
            <w:tcW w:w="2158"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maturities of term debt, excluding available extensions, at June 30, 2023:</w:t>
      </w:r>
    </w:p>
    <w:tbl>
      <w:tblPr>
        <w:tblW w:w="2287" w:type="dxa"/>
        <w:jc w:val="left"/>
        <w:tblInd w:w="0" w:type="dxa"/>
        <w:tblLayout w:type="fixed"/>
        <w:tblCellMar>
          <w:top w:w="28" w:type="dxa"/>
          <w:left w:w="28" w:type="dxa"/>
          <w:bottom w:w="28" w:type="dxa"/>
          <w:right w:w="28" w:type="dxa"/>
        </w:tblCellMar>
      </w:tblPr>
      <w:tblGrid>
        <w:gridCol w:w="342"/>
        <w:gridCol w:w="300"/>
        <w:gridCol w:w="304"/>
        <w:gridCol w:w="211"/>
        <w:gridCol w:w="97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4,218,198 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7,272,388 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22, 2023, the Company entered into the Third Amended and Restated Credit Agreement (the “Credit Agreement”), which increased the commitment of the revolving credit facility to $1,940.0 million and extended maturity to June 2027. In connection with entering into the Credit Agreement, the Company paid off Tranche 5 and added the Tranche 8 term loan, maturing June 2024, which allowed the Company to draw up to $1,000.0 million in connection with the Life Storage merger. Tranche 8 was undrawn as of June 30, 2023, but was fully drawn on July 20, 2023, in connection with the closing of the merger with Life Storage, Inc. (“Life Storage”).</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terms of the Credit Agreement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tbl>
      <w:tblPr>
        <w:tblW w:w="8361" w:type="dxa"/>
        <w:jc w:val="left"/>
        <w:tblInd w:w="0" w:type="dxa"/>
        <w:tblLayout w:type="fixed"/>
        <w:tblCellMar>
          <w:top w:w="28" w:type="dxa"/>
          <w:left w:w="28" w:type="dxa"/>
          <w:bottom w:w="28" w:type="dxa"/>
          <w:right w:w="28" w:type="dxa"/>
        </w:tblCellMar>
      </w:tblPr>
      <w:tblGrid>
        <w:gridCol w:w="1817"/>
        <w:gridCol w:w="1593"/>
        <w:gridCol w:w="1604"/>
        <w:gridCol w:w="112"/>
        <w:gridCol w:w="112"/>
        <w:gridCol w:w="112"/>
        <w:gridCol w:w="217"/>
        <w:gridCol w:w="1011"/>
        <w:gridCol w:w="112"/>
        <w:gridCol w:w="109"/>
        <w:gridCol w:w="109"/>
        <w:gridCol w:w="109"/>
        <w:gridCol w:w="393"/>
        <w:gridCol w:w="393"/>
        <w:gridCol w:w="558"/>
      </w:tblGrid>
      <w:tr>
        <w:trPr/>
        <w:tc>
          <w:tcPr>
            <w:tcW w:w="181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2027</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Tranche 1 Term Loan Facility </w:t>
            </w:r>
            <w:r>
              <w:rPr>
                <w:rFonts w:ascii="Times New Roman;sans-serif" w:hAnsi="Times New Roman;sans-serif"/>
                <w:b w:val="false"/>
                <w:color w:val="000000"/>
                <w:sz w:val="13"/>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2027</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Tranche 2 Term Loan Facility </w:t>
            </w:r>
            <w:r>
              <w:rPr>
                <w:rFonts w:ascii="Times New Roman;sans-serif" w:hAnsi="Times New Roman;sans-serif"/>
                <w:b w:val="false"/>
                <w:color w:val="000000"/>
                <w:sz w:val="13"/>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Tranche 3 Term Loan Facility </w:t>
            </w:r>
            <w:r>
              <w:rPr>
                <w:rFonts w:ascii="Times New Roman;sans-serif" w:hAnsi="Times New Roman;sans-serif"/>
                <w:b w:val="false"/>
                <w:color w:val="000000"/>
                <w:sz w:val="13"/>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Tranche 4 Term Loan Facility </w:t>
            </w:r>
            <w:r>
              <w:rPr>
                <w:rFonts w:ascii="Times New Roman;sans-serif" w:hAnsi="Times New Roman;sans-serif"/>
                <w:b w:val="false"/>
                <w:color w:val="000000"/>
                <w:sz w:val="13"/>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2026</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Tranche 5 Term Loan Facility </w:t>
            </w:r>
            <w:r>
              <w:rPr>
                <w:rFonts w:ascii="Times New Roman;sans-serif" w:hAnsi="Times New Roman;sans-serif"/>
                <w:b w:val="false"/>
                <w:color w:val="000000"/>
                <w:sz w:val="13"/>
              </w:rPr>
              <w:t>(2)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Tranche 6 Term Loan Facility </w:t>
            </w:r>
            <w:r>
              <w:rPr>
                <w:rFonts w:ascii="Times New Roman;sans-serif" w:hAnsi="Times New Roman;sans-serif"/>
                <w:b w:val="false"/>
                <w:color w:val="000000"/>
                <w:sz w:val="13"/>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2028</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Tranche 7 Term Loan Facility </w:t>
            </w:r>
            <w:r>
              <w:rPr>
                <w:rFonts w:ascii="Times New Roman;sans-serif" w:hAnsi="Times New Roman;sans-serif"/>
                <w:b w:val="false"/>
                <w:color w:val="000000"/>
                <w:sz w:val="13"/>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July 2029</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Tranche 8 Term Loan Facility </w:t>
            </w:r>
            <w:r>
              <w:rPr>
                <w:rFonts w:ascii="Times New Roman;sans-serif" w:hAnsi="Times New Roman;sans-serif"/>
                <w:b w:val="false"/>
                <w:color w:val="000000"/>
                <w:sz w:val="13"/>
              </w:rPr>
              <w:t>(3)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2024</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4,865,000 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Term loan amounts have been fully drawn as of June 30, 2023.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 The </w:t>
            </w:r>
            <w:r>
              <w:rPr>
                <w:rFonts w:ascii="Times New Roman;sans-serif" w:hAnsi="Times New Roman;sans-serif"/>
                <w:b w:val="false"/>
                <w:color w:val="000000"/>
                <w:sz w:val="18"/>
              </w:rPr>
              <w:t>Tranche 5 Term Loan was paid off prior to maturity as part of the June 2023 recast.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1"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The Tranche 8 Term Loan was undrawn as of June 30, 2023, but was fully drawn on July 20, 2023.</w:t>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Credit Agreement, the Company may request an extension of the term of the revolving credit facility for up to two additional periods of six months each, and the term of the Tranche 8 Term Loan Facility for one year, after satisfying certain conditions.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amounts outstanding under the revolving credit facility bore interest at floating rates, at the Company’s option, equal to either (i) Adjusted Term or Daily Simple SOFR plus the Applicable Margin or (ii) the applicable base rate which is the applicable margin plus the highest of (a) 0.0%, (b) the federal funds rate plus 0.50%, (c) U.S. Bank’s prime rate or (d) the SOFR rate plus 1.00%. Per the Credit Agreement, the applicable SOFR rate margin and applicable base rate margin are based on the Company’s achieved debt rating, with the SOFR rate margin ranging from 0.7% to 2.2% per annum and the applicable base rate margin ranging from 0.00% to 1.20% per annum.</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is guaranteed by the Company and is not secured by any assets of the Company. The Company's unsecured debt is subject to certain financial covenants. As of June 30, 2023, the Company was in compliance with all of its financial covenants.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2022, the Company completed an accordion transaction in its credit facility, which added a $175.0 million unsecured debt tranche maturing January 2028 and a $425.0 million unsecured debt tranche maturing July 2029. As of June 30, 2023, the interest rates for the tranches are Adjusted Term SOFR/Adjusted Daily Simple SOFR ("ASOFR") + 0.95% and ASOFR + 1.25%,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lines of credit are guaranteed by the Company. The following table presents information on the Company’s lines of credit, the proceeds of which are used to repay debt and for general corporate purposes, for the periods indicated:</w:t>
      </w:r>
    </w:p>
    <w:tbl>
      <w:tblPr>
        <w:tblW w:w="10205" w:type="dxa"/>
        <w:jc w:val="left"/>
        <w:tblInd w:w="0" w:type="dxa"/>
        <w:tblLayout w:type="fixed"/>
        <w:tblCellMar>
          <w:top w:w="28" w:type="dxa"/>
          <w:left w:w="28" w:type="dxa"/>
          <w:bottom w:w="28" w:type="dxa"/>
          <w:right w:w="28" w:type="dxa"/>
        </w:tblCellMar>
      </w:tblPr>
      <w:tblGrid>
        <w:gridCol w:w="719"/>
        <w:gridCol w:w="631"/>
        <w:gridCol w:w="635"/>
        <w:gridCol w:w="278"/>
        <w:gridCol w:w="1088"/>
        <w:gridCol w:w="142"/>
        <w:gridCol w:w="128"/>
        <w:gridCol w:w="128"/>
        <w:gridCol w:w="128"/>
        <w:gridCol w:w="249"/>
        <w:gridCol w:w="1153"/>
        <w:gridCol w:w="128"/>
        <w:gridCol w:w="128"/>
        <w:gridCol w:w="128"/>
        <w:gridCol w:w="128"/>
        <w:gridCol w:w="385"/>
        <w:gridCol w:w="385"/>
        <w:gridCol w:w="387"/>
        <w:gridCol w:w="128"/>
        <w:gridCol w:w="128"/>
        <w:gridCol w:w="128"/>
        <w:gridCol w:w="128"/>
        <w:gridCol w:w="128"/>
        <w:gridCol w:w="360"/>
        <w:gridCol w:w="360"/>
        <w:gridCol w:w="362"/>
        <w:gridCol w:w="109"/>
        <w:gridCol w:w="109"/>
        <w:gridCol w:w="109"/>
        <w:gridCol w:w="413"/>
        <w:gridCol w:w="322"/>
        <w:gridCol w:w="473"/>
      </w:tblGrid>
      <w:tr>
        <w:trPr/>
        <w:tc>
          <w:tcPr>
            <w:tcW w:w="7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Revolving Lines of Credit</w:t>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Drawn</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Capacity</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Basis Rate </w:t>
            </w:r>
            <w:r>
              <w:rPr>
                <w:rFonts w:ascii="Times New Roman;sans-serif" w:hAnsi="Times New Roman;sans-serif"/>
                <w:b/>
                <w:color w:val="000000"/>
                <w:sz w:val="13"/>
              </w:rPr>
              <w:t>(1)</w:t>
            </w:r>
          </w:p>
        </w:tc>
      </w:tr>
      <w:tr>
        <w:trPr/>
        <w:tc>
          <w:tcPr>
            <w:tcW w:w="1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Credit Line 1 </w:t>
            </w:r>
            <w:r>
              <w:rPr>
                <w:rFonts w:ascii="Times New Roman;sans-serif" w:hAnsi="Times New Roman;sans-serif"/>
                <w:b w:val="false"/>
                <w:color w:val="000000"/>
                <w:sz w:val="13"/>
              </w:rPr>
              <w:t>(2)</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plus 1.35%</w:t>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Credit Line 2 </w:t>
            </w:r>
            <w:r>
              <w:rPr>
                <w:rFonts w:ascii="Times New Roman;sans-serif" w:hAnsi="Times New Roman;sans-serif"/>
                <w:b w:val="false"/>
                <w:color w:val="000000"/>
                <w:sz w:val="13"/>
              </w:rPr>
              <w:t>(3)(4)</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1,940,000 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ASOFR plus 0.95%</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275,250 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2,080,000 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Term SOFR or Daily Simple SOFR</w:t>
            </w:r>
          </w:p>
        </w:tc>
        <w:tc>
          <w:tcPr>
            <w:tcW w:w="1535" w:type="dxa"/>
            <w:gridSpan w:val="6"/>
            <w:tcBorders/>
          </w:tcPr>
          <w:p>
            <w:pPr>
              <w:pStyle w:val="TableContents"/>
              <w:bidi w:val="0"/>
              <w:spacing w:before="0" w:after="283"/>
              <w:jc w:val="left"/>
              <w:rPr>
                <w:sz w:val="4"/>
                <w:szCs w:val="4"/>
              </w:rPr>
            </w:pPr>
            <w:r>
              <w:rPr>
                <w:sz w:val="4"/>
                <w:szCs w:val="4"/>
              </w:rPr>
            </w:r>
          </w:p>
        </w:tc>
      </w:tr>
      <w:tr>
        <w:trPr/>
        <w:tc>
          <w:tcPr>
            <w:tcW w:w="8670"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Secured by mortgages on certain real estate assets. On January 13, 2023 the maturity date was extended to July 1, 2026 with one extension of one year available.</w:t>
            </w:r>
          </w:p>
        </w:tc>
        <w:tc>
          <w:tcPr>
            <w:tcW w:w="1535" w:type="dxa"/>
            <w:gridSpan w:val="6"/>
            <w:tcBorders/>
          </w:tcPr>
          <w:p>
            <w:pPr>
              <w:pStyle w:val="TableContents"/>
              <w:bidi w:val="0"/>
              <w:spacing w:before="0" w:after="283"/>
              <w:jc w:val="left"/>
              <w:rPr>
                <w:sz w:val="4"/>
                <w:szCs w:val="4"/>
              </w:rPr>
            </w:pPr>
            <w:r>
              <w:rPr>
                <w:sz w:val="4"/>
                <w:szCs w:val="4"/>
              </w:rPr>
            </w:r>
          </w:p>
        </w:tc>
      </w:tr>
      <w:tr>
        <w:trPr/>
        <w:tc>
          <w:tcPr>
            <w:tcW w:w="8670"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Unsecured. On June 22, 2023, the maturity was extended to June 22, 2027 with two six-month extensions available.</w:t>
            </w:r>
          </w:p>
        </w:tc>
        <w:tc>
          <w:tcPr>
            <w:tcW w:w="1535" w:type="dxa"/>
            <w:gridSpan w:val="6"/>
            <w:tcBorders/>
          </w:tcPr>
          <w:p>
            <w:pPr>
              <w:pStyle w:val="TableContents"/>
              <w:bidi w:val="0"/>
              <w:spacing w:before="0" w:after="283"/>
              <w:jc w:val="left"/>
              <w:rPr>
                <w:sz w:val="4"/>
                <w:szCs w:val="4"/>
              </w:rPr>
            </w:pPr>
            <w:r>
              <w:rPr>
                <w:sz w:val="4"/>
                <w:szCs w:val="4"/>
              </w:rPr>
            </w:r>
          </w:p>
        </w:tc>
      </w:tr>
      <w:tr>
        <w:trPr/>
        <w:tc>
          <w:tcPr>
            <w:tcW w:w="8670"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 Basis Rate as of June 30, 2023. Rate is subject to change based on our investment grade rating.</w:t>
            </w:r>
          </w:p>
        </w:tc>
        <w:tc>
          <w:tcPr>
            <w:tcW w:w="1535"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percentage of fixed-rate debt to total debt was 73.4%. The weighted average interest rates of the Company’s fixed and variable-rate debt were 3.8% and 6.4%, respectively. The combined weighted average interest rate was 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DERIVATIVES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 Hedges of Interest Rate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six months ended June 30, 2023 and 2022, such derivatives were used to hedge the variable cash flows associated with existing variable-rate debt. In the coming 12 months, the Company estimates that $34,219 will be reclassified as an increase to interest income.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17 derivative financial instruments which had a total combined notional amount of $1,666,265 as of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Values of Derivative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 of the Company’s derivative financial instruments as well as their classification on the condensed consolidated balance sheets:</w:t>
      </w:r>
    </w:p>
    <w:tbl>
      <w:tblPr>
        <w:tblW w:w="6746" w:type="dxa"/>
        <w:jc w:val="left"/>
        <w:tblInd w:w="0" w:type="dxa"/>
        <w:tblLayout w:type="fixed"/>
        <w:tblCellMar>
          <w:top w:w="28" w:type="dxa"/>
          <w:left w:w="28" w:type="dxa"/>
          <w:bottom w:w="28" w:type="dxa"/>
          <w:right w:w="28" w:type="dxa"/>
        </w:tblCellMar>
      </w:tblPr>
      <w:tblGrid>
        <w:gridCol w:w="1359"/>
        <w:gridCol w:w="1192"/>
        <w:gridCol w:w="1199"/>
        <w:gridCol w:w="228"/>
        <w:gridCol w:w="779"/>
        <w:gridCol w:w="117"/>
        <w:gridCol w:w="109"/>
        <w:gridCol w:w="109"/>
        <w:gridCol w:w="109"/>
        <w:gridCol w:w="300"/>
        <w:gridCol w:w="1026"/>
        <w:gridCol w:w="219"/>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 / Liability Derivatives</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 of Derivative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effect of the Company’s derivative financial instruments on the condensed consolidated statements of operations for the periods presented. No tax effect has been presented as the derivative instruments are held by the Company:</w:t>
      </w:r>
    </w:p>
    <w:tbl>
      <w:tblPr>
        <w:tblW w:w="10205" w:type="dxa"/>
        <w:jc w:val="left"/>
        <w:tblInd w:w="0" w:type="dxa"/>
        <w:tblLayout w:type="fixed"/>
        <w:tblCellMar>
          <w:top w:w="28" w:type="dxa"/>
          <w:left w:w="28" w:type="dxa"/>
          <w:bottom w:w="28" w:type="dxa"/>
          <w:right w:w="28" w:type="dxa"/>
        </w:tblCellMar>
      </w:tblPr>
      <w:tblGrid>
        <w:gridCol w:w="443"/>
        <w:gridCol w:w="389"/>
        <w:gridCol w:w="393"/>
        <w:gridCol w:w="279"/>
        <w:gridCol w:w="957"/>
        <w:gridCol w:w="144"/>
        <w:gridCol w:w="144"/>
        <w:gridCol w:w="144"/>
        <w:gridCol w:w="144"/>
        <w:gridCol w:w="279"/>
        <w:gridCol w:w="957"/>
        <w:gridCol w:w="144"/>
        <w:gridCol w:w="109"/>
        <w:gridCol w:w="109"/>
        <w:gridCol w:w="109"/>
        <w:gridCol w:w="624"/>
        <w:gridCol w:w="624"/>
        <w:gridCol w:w="626"/>
        <w:gridCol w:w="109"/>
        <w:gridCol w:w="109"/>
        <w:gridCol w:w="109"/>
        <w:gridCol w:w="286"/>
        <w:gridCol w:w="979"/>
        <w:gridCol w:w="148"/>
        <w:gridCol w:w="148"/>
        <w:gridCol w:w="148"/>
        <w:gridCol w:w="148"/>
        <w:gridCol w:w="286"/>
        <w:gridCol w:w="897"/>
        <w:gridCol w:w="220"/>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recognized in OCI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amounts reclassified from OCI into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reclassified from OCI for the Three Months Ended June 30,</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Type</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Agreements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44"/>
        <w:gridCol w:w="390"/>
        <w:gridCol w:w="394"/>
        <w:gridCol w:w="275"/>
        <w:gridCol w:w="942"/>
        <w:gridCol w:w="142"/>
        <w:gridCol w:w="142"/>
        <w:gridCol w:w="142"/>
        <w:gridCol w:w="142"/>
        <w:gridCol w:w="275"/>
        <w:gridCol w:w="942"/>
        <w:gridCol w:w="142"/>
        <w:gridCol w:w="109"/>
        <w:gridCol w:w="109"/>
        <w:gridCol w:w="109"/>
        <w:gridCol w:w="629"/>
        <w:gridCol w:w="629"/>
        <w:gridCol w:w="632"/>
        <w:gridCol w:w="109"/>
        <w:gridCol w:w="109"/>
        <w:gridCol w:w="109"/>
        <w:gridCol w:w="277"/>
        <w:gridCol w:w="946"/>
        <w:gridCol w:w="143"/>
        <w:gridCol w:w="143"/>
        <w:gridCol w:w="143"/>
        <w:gridCol w:w="143"/>
        <w:gridCol w:w="277"/>
        <w:gridCol w:w="1004"/>
        <w:gridCol w:w="213"/>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recognized in OCI 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amounts reclassified from OCI into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reclassified from OCI for the Six Months Ended June 30,</w:t>
            </w:r>
          </w:p>
        </w:tc>
      </w:tr>
      <w:tr>
        <w:trPr/>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Type</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Agreements</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Credit-risk-related Contingent Features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did not have any net liability positions in the fair value of derivatives.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7, 2022, the Company issued 186,766 shares of its common stock to acquire two stores for $40,965.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resulting in net proceeds of $66,617.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15, 2020, the Company's board of directors authorized a new share repurchase program allowing for the repurchase of shares with an aggregate value up to $400,000. During 2022, a total of $63,008 was paid to repurchase 381,786 shares. During the six months ended June 30, 2023, no shares were repurchased. As of June 30, 2023, the Company had remaining authorization to repurchase shares with an aggregate value up to $336,992.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NONCONTROLLING INTEREST REPRESENTED BY PREFERRED OPERATING PARTNERSHIP UNITS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Classification of Noncontrolling Interests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December 31, 2022,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pStyle w:val="TextBody"/>
        <w:bidi w:val="0"/>
        <w:spacing w:before="0" w:after="0"/>
        <w:jc w:val="center"/>
        <w:rPr/>
      </w:pPr>
      <w:r>
        <w:rPr/>
      </w:r>
    </w:p>
    <w:tbl>
      <w:tblPr>
        <w:tblW w:w="4276" w:type="dxa"/>
        <w:jc w:val="center"/>
        <w:tblInd w:w="0" w:type="dxa"/>
        <w:tblLayout w:type="fixed"/>
        <w:tblCellMar>
          <w:top w:w="28" w:type="dxa"/>
          <w:left w:w="28" w:type="dxa"/>
          <w:bottom w:w="28" w:type="dxa"/>
          <w:right w:w="28" w:type="dxa"/>
        </w:tblCellMar>
      </w:tblPr>
      <w:tblGrid>
        <w:gridCol w:w="455"/>
        <w:gridCol w:w="400"/>
        <w:gridCol w:w="404"/>
        <w:gridCol w:w="211"/>
        <w:gridCol w:w="826"/>
        <w:gridCol w:w="109"/>
        <w:gridCol w:w="109"/>
        <w:gridCol w:w="109"/>
        <w:gridCol w:w="109"/>
        <w:gridCol w:w="273"/>
        <w:gridCol w:w="1072"/>
        <w:gridCol w:w="1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Units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Units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261,502 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A Participating Redeemable Preferred Units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A Units. The Series A Units have priority over all other partnership interests of the Operating Partnership with respect to distributions and liquidation.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Series A Units were issued in June 2007. Series A Units in the amount of $101,700 bore a fixed priority return of 2.3% and originally had a fixed liquidation value of $115,000. The remaining balance participated in distributions with, and had a liquidation value equal to that of the OP Units. The Series A Units were redeemable at the option of the holder, which redemption obligation could have been satisfied, at the Company’s option, in cash or shares of its common stock. As a result of a redemption of 114,500 Series A Units in October 2014, the remaining fixed liquidation value was reduced to $101,700, which represented 875,480 Series A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25, 2007, the Operating Partnership loaned the holder of the Series A Units $100,000. The loan bore interest at 2.1%. The loan was secured by the borrower’s Series A Units, which are shown on the balance sheet net of the $100,000 loan as of December 31, 2022 because the borrower under the loan was also the holder of the Series A Units.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25, 2023, the redemption obligation for all outstanding Series A Units was satisfied, at the Company’s option, in $5,000 cash, 851,698 shares of its common stock, which was net of the noncash settlement of the $100,000 loan. As a result of this redemption, no Series A Units were outstanding as of June 30, 2023.</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B Redeemable Preferred Units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Units were issued in 2013 and 2014. The Series B Units have a liquidation value of $25.00 per unit for a fixed liquidation value of $33,568 which represents 1,342,727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10, 2022, 45,000 Series B Units were redeemed for $1,125 in cash.</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C Redeemable Preferred Units</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there were no outstanding Series C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D Redeemable Preferred Units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Series D Units have a liquidation value of $25.00</w:t>
      </w:r>
      <w:r>
        <w:rPr>
          <w:color w:val="FF0000"/>
        </w:rPr>
        <w:t xml:space="preserve"> </w:t>
      </w:r>
      <w:r>
        <w:rPr>
          <w:rFonts w:ascii="Times New Roman;sans-serif" w:hAnsi="Times New Roman;sans-serif"/>
          <w:b w:val="false"/>
          <w:color w:val="000000"/>
          <w:sz w:val="20"/>
        </w:rPr>
        <w:t>per unit, for a fixed liquidation value of $189,372, which represents 7,566,828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 2023, 890,594 Series D units were redeemed for 154,307 shares of 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D Units have been issued at various times from 2014 to 2022. On June 1, 2022, the Operating Partnership issued a total of 240,000 Series D units valued at $6,000 in connection with the acquisition of Bargold.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NONCONTROLLING INTEREST IN OPERATING PARTNERSHIP AND OTHER NONCONTROLLING INTERESTS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 in Operating Partnership</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in its stores is held through the Operating Partnership. Between its general partner and limited partner interests, the Company held a 94.0% ownership interest in the Operating Partnership as of June 30, 2023. The remaining ownership interests in the Operating Partnership (including Preferred OP Units) of 6.0% are held by certain former owners of assets acquired by the Operating Partnership. As of June 30, 2023 and December 31, 2022,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June 30, 2023, the ten-day average closing price of the Company's common stock was $145.79 and there were 7,214,649 OP Units outstanding. Assuming that all of the OP Unit holders exercised their right to redeem all of their OP Units on June 30, 2023 and the Company elected to pay the OP Unit holders cash, the Company would have paid $1,051,824 in cash consideration to redeem the units.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OP Unit activity is summarized as follows for the periods presented:</w:t>
      </w:r>
    </w:p>
    <w:tbl>
      <w:tblPr>
        <w:tblW w:w="9117" w:type="dxa"/>
        <w:jc w:val="left"/>
        <w:tblInd w:w="0" w:type="dxa"/>
        <w:tblLayout w:type="fixed"/>
        <w:tblCellMar>
          <w:top w:w="28" w:type="dxa"/>
          <w:left w:w="28" w:type="dxa"/>
          <w:bottom w:w="28" w:type="dxa"/>
          <w:right w:w="28" w:type="dxa"/>
        </w:tblCellMar>
      </w:tblPr>
      <w:tblGrid>
        <w:gridCol w:w="2259"/>
        <w:gridCol w:w="1986"/>
        <w:gridCol w:w="1995"/>
        <w:gridCol w:w="298"/>
        <w:gridCol w:w="575"/>
        <w:gridCol w:w="154"/>
        <w:gridCol w:w="154"/>
        <w:gridCol w:w="154"/>
        <w:gridCol w:w="154"/>
        <w:gridCol w:w="298"/>
        <w:gridCol w:w="872"/>
        <w:gridCol w:w="218"/>
      </w:tblGrid>
      <w:tr>
        <w:trPr/>
        <w:tc>
          <w:tcPr>
            <w:tcW w:w="225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redeemed for cash</w:t>
            </w:r>
          </w:p>
        </w:tc>
        <w:tc>
          <w:tcPr>
            <w:tcW w:w="8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 Units redeemed</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issued in conjunction with business combination and acquisitions</w:t>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91,743 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Noncontrolling Interests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noncontrolling interests represent the ownership interests of third parties in seven consolidated joint ventures as of June 30, 2023. One joint venture owns one operating store and the other six joint ventures each have a property under development. The voting interest of each third-party owner is between 2.0% and 31.0%.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The Company’s segments are comprised of two reportable segments: (1) self-storage operations and (2) tenant reinsurance. NOI for the Company's self-storage operations represents total property revenue less direct property operating expenses. NOI for the Company's tenant reinsurance segment represents tenant reinsurance revenues less tenant reinsurance expense.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self-storage operations activities include rental operations of wholly-owned stores and self-storage units acquired in the Bargold transaction.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tbl>
      <w:tblPr>
        <w:tblW w:w="10205" w:type="dxa"/>
        <w:jc w:val="center"/>
        <w:tblInd w:w="0" w:type="dxa"/>
        <w:tblLayout w:type="fixed"/>
        <w:tblCellMar>
          <w:top w:w="28" w:type="dxa"/>
          <w:left w:w="28" w:type="dxa"/>
          <w:bottom w:w="28" w:type="dxa"/>
          <w:right w:w="28" w:type="dxa"/>
        </w:tblCellMar>
      </w:tblPr>
      <w:tblGrid>
        <w:gridCol w:w="1521"/>
        <w:gridCol w:w="1280"/>
        <w:gridCol w:w="1288"/>
        <w:gridCol w:w="255"/>
        <w:gridCol w:w="1000"/>
        <w:gridCol w:w="131"/>
        <w:gridCol w:w="255"/>
        <w:gridCol w:w="1000"/>
        <w:gridCol w:w="131"/>
        <w:gridCol w:w="109"/>
        <w:gridCol w:w="109"/>
        <w:gridCol w:w="109"/>
        <w:gridCol w:w="243"/>
        <w:gridCol w:w="952"/>
        <w:gridCol w:w="125"/>
        <w:gridCol w:w="243"/>
        <w:gridCol w:w="952"/>
        <w:gridCol w:w="125"/>
        <w:gridCol w:w="109"/>
        <w:gridCol w:w="109"/>
        <w:gridCol w:w="159"/>
      </w:tblGrid>
      <w:tr>
        <w:trPr/>
        <w:tc>
          <w:tcPr>
            <w:tcW w:w="152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revenues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operating expenses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222,373 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income:</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net operating income: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365,061 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components of net income:</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 fees and other income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costs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(157,576)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real estate transactions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and dividend income from unconsolidated real estate entities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215,312 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247,834 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424,190 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465,551 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bidi w:val="0"/>
        <w:spacing w:lineRule="auto" w:line="288" w:before="0" w:after="0"/>
        <w:jc w:val="left"/>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was under agreement to acquire 11 stores at a total purchase price of $125,245. Four stores are scheduled to close in 2023 and seven stores are scheduled to close in 2024. Additionally, the Company is under agreement to acquire three stores with joint venture partners, for a total investment of $9,864. Two stores are scheduled to close in 2023 and one store is scheduled to close in 2024.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before="0" w:after="0"/>
        <w:jc w:val="left"/>
        <w:rPr/>
      </w:pPr>
      <w:r>
        <w:rPr/>
      </w:r>
    </w:p>
    <w:p>
      <w:pPr>
        <w:pStyle w:val="TextBody"/>
        <w:bidi w:val="0"/>
        <w:spacing w:lineRule="auto" w:line="25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20, 2023, the Company closed its merger with Life Storage, Inc. in an all-stock transaction (the "Life Storage Merger"). Under the terms of the Life Storage Merger, Life Storage stockholders and holders of units of the Life Storage operating partnership received 0.895 of a share of common stock (or OP Unit, as applicable) of the Company for each issued and outstanding share (or partnership unit) of Life Storage they owned for an estimated total consideration of $11,600,000, based on the Company's closing share price on July 19, 2023. At closing, the Company retired $1,200,000 in balances on Life Storage's line of credit which included $375,000 which Life Storage used to pay off its private placement notes in connection with the closing. The Company also paid off and/or defeased $32,000 in secured loans. On July 25, 2023, the Company completed an obligor exchange of Life Storage's various Senior Notes totaling $2,400,000. Remaining Life Storage senior note balances which were not exchanged total $48,900 and no longer have any financial reporting requirements or covenants. Following the merger, the combined company owned and/or managed over 3,500 locations and over 264.0 million net rentable square feet.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LANGUAGE</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The following discussion and analysis should be read in conjunction with our unaudited </w:t>
      </w:r>
      <w:r>
        <w:rPr>
          <w:color w:val="000000"/>
        </w:rPr>
        <w:t>“</w:t>
      </w:r>
      <w:r>
        <w:rPr>
          <w:rFonts w:ascii="Times New Roman;sans-serif" w:hAnsi="Times New Roman;sans-serif"/>
          <w:b w:val="false"/>
          <w:i/>
          <w:color w:val="000000"/>
          <w:sz w:val="20"/>
        </w:rPr>
        <w:t>Condensed Consolidated Financial Statements”</w:t>
      </w:r>
      <w:r>
        <w:rPr>
          <w:color w:val="000000"/>
        </w:rPr>
        <w:t xml:space="preserve"> </w:t>
      </w:r>
      <w:r>
        <w:rPr>
          <w:rFonts w:ascii="Times New Roman;sans-serif" w:hAnsi="Times New Roman;sans-serif"/>
          <w:b w:val="false"/>
          <w:color w:val="000000"/>
          <w:sz w:val="20"/>
        </w:rPr>
        <w:t>and the “</w:t>
      </w:r>
      <w:r>
        <w:rPr>
          <w:rFonts w:ascii="Times New Roman;sans-serif" w:hAnsi="Times New Roman;sans-serif"/>
          <w:b w:val="false"/>
          <w:i/>
          <w:color w:val="000000"/>
          <w:sz w:val="20"/>
        </w:rPr>
        <w:t>Notes to Condensed Consolidated Financial Statements (unaudited)”</w:t>
      </w:r>
      <w:r>
        <w:rPr>
          <w:color w:val="000000"/>
        </w:rPr>
        <w:t xml:space="preserve"> </w:t>
      </w:r>
      <w:r>
        <w:rPr>
          <w:rFonts w:ascii="Times New Roman;sans-serif" w:hAnsi="Times New Roman;sans-serif"/>
          <w:b w:val="false"/>
          <w:color w:val="000000"/>
          <w:sz w:val="20"/>
        </w:rPr>
        <w:t xml:space="preserve">appearing elsewhere in this report and the </w:t>
      </w:r>
      <w:r>
        <w:rPr>
          <w:color w:val="000000"/>
        </w:rPr>
        <w:t>“</w:t>
      </w:r>
      <w:r>
        <w:rPr>
          <w:rFonts w:ascii="Times New Roman;sans-serif" w:hAnsi="Times New Roman;sans-serif"/>
          <w:b w:val="false"/>
          <w:i/>
          <w:color w:val="000000"/>
          <w:sz w:val="20"/>
        </w:rPr>
        <w:t>Consolidated Financial Statements,” “Notes to Consolidated Financial Statements”</w:t>
      </w:r>
      <w:r>
        <w:rPr>
          <w:color w:val="000000"/>
        </w:rPr>
        <w:t xml:space="preserv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contained in our Form 10-K for the year ended December 31, 2022. We make statements in this section that are forward-looking statements within the meaning of the federal securities laws. For a complete discussion of forward-looking statements, see the section in this Form 10-Q entitled “</w:t>
      </w:r>
      <w:r>
        <w:rPr>
          <w:rFonts w:ascii="Times New Roman;sans-serif" w:hAnsi="Times New Roman;sans-serif"/>
          <w:b w:val="false"/>
          <w:i/>
          <w:color w:val="000000"/>
          <w:sz w:val="20"/>
        </w:rPr>
        <w:t>Statement on Forward-Looking Information</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2022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stores are generally situated in highly visible locations clustered around large population centers. These areas typically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20, 2023, we merged with Life Storage, Inc. (“Life Storage”) in an all-stock transaction. Under the terms of the merger, Life Storage stockholders and holders of units of the Life Storage operating partnership received 0.895 of an Extra Space common share (or Extra Space OP Unit, as applicable) for each Life Storage share (or Life Storage partnership unit) they owned for total consideration of $11.6 billion. Following the merger, we owned and/or managed over 3,500 locations and over 264.0 million net rentable square feet.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PROPERTIES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owned or had ownership interests in 1,460 operating stores. Of these stores, 1,136 are wholly-owned, one in a consolidated joint venture and 323 are in unconsolidated joint ventures. In addition, we managed an additional 978 stores for third parties bringing the total number of stores which we own and/or manage to 2,438. These stores are located in 41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approximately 1,440,000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June 30, 2023, the average length of stay was approximately 16.7 months.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average annual rent per square foot for our existing customers at stabilized stores, net of discounts and bad debt, was $21.08 for the three months ended June 30, 2023, compared to $20.38 for the three months ended June 30, 2022. Average annual rent per square foot for new leases was $17.71 for the three months ended June 30, 2023, compared to $19.74 for the three months ended June 30, 2022. The average discounts, as a percentage of rental revenues, at all stabilized properties during these periods were 2.6% and 3.3%,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regarding net rentable square feet and the number of stores by state.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24"/>
        <w:gridCol w:w="372"/>
        <w:gridCol w:w="382"/>
        <w:gridCol w:w="323"/>
        <w:gridCol w:w="293"/>
        <w:gridCol w:w="294"/>
        <w:gridCol w:w="686"/>
        <w:gridCol w:w="334"/>
        <w:gridCol w:w="329"/>
        <w:gridCol w:w="314"/>
        <w:gridCol w:w="314"/>
        <w:gridCol w:w="230"/>
        <w:gridCol w:w="670"/>
        <w:gridCol w:w="349"/>
        <w:gridCol w:w="281"/>
        <w:gridCol w:w="285"/>
        <w:gridCol w:w="285"/>
        <w:gridCol w:w="286"/>
        <w:gridCol w:w="681"/>
        <w:gridCol w:w="337"/>
        <w:gridCol w:w="334"/>
        <w:gridCol w:w="316"/>
        <w:gridCol w:w="285"/>
        <w:gridCol w:w="286"/>
        <w:gridCol w:w="618"/>
        <w:gridCol w:w="459"/>
        <w:gridCol w:w="438"/>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REIT Owned</w:t>
            </w:r>
          </w:p>
        </w:tc>
        <w:tc>
          <w:tcPr>
            <w:tcW w:w="21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Joint Venture Owned</w:t>
            </w:r>
          </w:p>
        </w:tc>
        <w:tc>
          <w:tcPr>
            <w:tcW w:w="22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w:t>
            </w:r>
          </w:p>
        </w:tc>
        <w:tc>
          <w:tcPr>
            <w:tcW w:w="24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Property Count</w:t>
            </w:r>
            <w:r>
              <w:rPr>
                <w:rFonts w:ascii="Times New Roman;sans-serif" w:hAnsi="Times New Roman;sans-serif"/>
                <w:b/>
                <w:color w:val="000000"/>
                <w:sz w:val="12"/>
              </w:rPr>
              <w:t>(1)</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r>
      <w:tr>
        <w:trPr/>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Alabama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679,649 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150,809 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414,558 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1,245,016 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Arizona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1,782,264 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838,049 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1,941,832 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4,562,145 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13,731,151 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3,595,468 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9,987,493 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27,314,112 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Colorado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1,149,321 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663,467 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1,877,909 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3,690,697 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Connecticut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538,516 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575,866 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565,352 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1,679,734 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228,606 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372,221 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Florida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8,810,535 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3,863,695 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9,429,320 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22,103,550 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Georgia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5,270,803 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1,215,230 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1,882,740 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8,368,773 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Hawaii</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941,713 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159,174 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1,100,887 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Idaho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145,045 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276,414 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Illinois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3,766,202 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2,542,236 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7,049,956 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3,911,998 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1,681,541 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5,651,326 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Kansas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50,219 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108,921 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229,403 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388,543 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Kentucky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959,512 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51,770 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1,011,289 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2,022,571 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387,009 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1,013,377 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1,400,386 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572,516 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572,516 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Maryland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2,940,475 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898,167 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3,137,284 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6,975,926 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3,007,110 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614,889 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1,873,553 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5,495,552 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Michigan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670,531 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309,133 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751,917 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1,731,581 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Minnesota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585,109 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304,344 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1,009,116 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1,898,569 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Mississippi</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234,266 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146,138 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380,404 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Missouri</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985,731 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1,535,507 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Nebraska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278,106 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278,106 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Nevada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1,039,720 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473,756 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933,193 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2,446,669 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Hampshire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134,764 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84,693 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515,835 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735,292 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Jersey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5,213,130 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1,228,879 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3,091,484 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9,533,493 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Mexico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717,809 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683,210 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1,081,169 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2,482,188 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2,049,490 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1,512,505 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2,420,093 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5,982,088 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Carolina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1,770,821 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401,280 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1,738,074 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3,910,175 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1,468,239 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325,394 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1,096,202 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2,889,835 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Oklahoma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61,588 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1,548,373 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1,609,961 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Oregon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549,715 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737,298 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1,352,258 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1,597,995 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680,246 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2,917,965 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5,196,206 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137,802 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420,300 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558,102 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Carolina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1,721,101 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707,978 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2,519,377 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4,948,456 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Tennessee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1,855,267 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880,463 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1,226,956 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3,962,686 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9,156,853 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2,370,219 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7,730,522 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19,257,594 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733,305 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2,034,918 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2,768,223 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4,272,270 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703,762 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1,812,938 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6,788,970 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681,056 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1,153,617 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1,834,673 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 DC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100,203 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103,558 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311,082 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514,843 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Wisconsin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1,072,344 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1,443,767 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83,238,906 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24,845,089 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76,225,976 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184,309,971 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Excludes 17,000 units related to the Bargold transaction. See Note 7 in the Notes to the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and six months ended June 30, 2023 and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Results for the three and six months ended June 30, 2023 included the operations of 1,460 stores (1,136 wholly-owned, one in a consolidated joint venture, and 323 in joint ventures accounted for using the equity method) compared to the results for the three and six months ended June 30, 2022, which included the operations of 1,313 stores (1,009 wholly-owned, zero in consolidated joint ventures, and 304 in joint ventures accounted for using the equity method).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revenues earned for the periods indicated:</w:t>
      </w:r>
    </w:p>
    <w:tbl>
      <w:tblPr>
        <w:tblW w:w="11545" w:type="dxa"/>
        <w:jc w:val="left"/>
        <w:tblInd w:w="0" w:type="dxa"/>
        <w:tblLayout w:type="fixed"/>
        <w:tblCellMar>
          <w:top w:w="28" w:type="dxa"/>
          <w:left w:w="28" w:type="dxa"/>
          <w:bottom w:w="28" w:type="dxa"/>
          <w:right w:w="28" w:type="dxa"/>
        </w:tblCellMar>
      </w:tblPr>
      <w:tblGrid>
        <w:gridCol w:w="602"/>
        <w:gridCol w:w="291"/>
        <w:gridCol w:w="293"/>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0"/>
        <w:gridCol w:w="200"/>
        <w:gridCol w:w="471"/>
        <w:gridCol w:w="109"/>
        <w:gridCol w:w="109"/>
        <w:gridCol w:w="109"/>
        <w:gridCol w:w="196"/>
        <w:gridCol w:w="871"/>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532"/>
      </w:tblGrid>
      <w:tr>
        <w:trPr/>
        <w:tc>
          <w:tcPr>
            <w:tcW w:w="6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rental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and 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Property Rental—</w:t>
      </w:r>
      <w:r>
        <w:rPr>
          <w:rFonts w:ascii="Times New Roman;sans-serif" w:hAnsi="Times New Roman;sans-serif"/>
          <w:b w:val="false"/>
          <w:color w:val="000000"/>
          <w:sz w:val="20"/>
        </w:rPr>
        <w:t>The increase in property rental revenues for the three and six months ended June 30, 2023 was primarily the result of an increase of $18,189 and $39,298 associated with acquisitions completed in 2023 and 2022. We acquired four wholly-owned stores during the six months ended June 30, 2023 and a total of 153 stores during the year ended December 31, 2022. Property rental revenues also increased by $9,802 and $36,494 at our stabilized stores related primarily to higher average rates to existing customers.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Tenant Reinsurance—</w:t>
      </w:r>
      <w:r>
        <w:rPr>
          <w:rFonts w:ascii="Times New Roman;sans-serif" w:hAnsi="Times New Roman;sans-serif"/>
          <w:b w:val="false"/>
          <w:color w:val="000000"/>
          <w:sz w:val="20"/>
        </w:rPr>
        <w:t>The increase in tenant reinsurance revenues was due primarily to an increase in the number of stores operated. We operated 2,438 stores at June 30, 2023 compared to 2,177 stores at June 30, 2022.</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Management Fees and Other Income—</w:t>
      </w:r>
      <w:r>
        <w:rPr>
          <w:rFonts w:ascii="Times New Roman;sans-serif" w:hAnsi="Times New Roman;sans-serif"/>
          <w:b w:val="false"/>
          <w:color w:val="000000"/>
          <w:sz w:val="20"/>
        </w:rPr>
        <w:t xml:space="preserve">Management fees and other income primarily represent the fees collected for our management of stores owned by third parties and unconsolidated joint ventures and other transaction fee income. The increase for the three and six months ended June 30, 2023 was due to both an increase in the number of stores managed and an increase in the overall revenue of stores under management when compared to the same period last year. As of June 30, 2023, we managed 1,302 stores for joint ventures and third parties, compared to 1,168 stores as of June 30,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expenses for the periods indicated:</w:t>
      </w:r>
    </w:p>
    <w:tbl>
      <w:tblPr>
        <w:tblW w:w="11791" w:type="dxa"/>
        <w:jc w:val="center"/>
        <w:tblInd w:w="0" w:type="dxa"/>
        <w:tblLayout w:type="fixed"/>
        <w:tblCellMar>
          <w:top w:w="28" w:type="dxa"/>
          <w:left w:w="28" w:type="dxa"/>
          <w:bottom w:w="28" w:type="dxa"/>
          <w:right w:w="28" w:type="dxa"/>
        </w:tblCellMar>
      </w:tblPr>
      <w:tblGrid>
        <w:gridCol w:w="668"/>
        <w:gridCol w:w="310"/>
        <w:gridCol w:w="313"/>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85"/>
        <w:gridCol w:w="286"/>
        <w:gridCol w:w="47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85"/>
        <w:gridCol w:w="286"/>
        <w:gridCol w:w="532"/>
      </w:tblGrid>
      <w:tr>
        <w:trPr/>
        <w:tc>
          <w:tcPr>
            <w:tcW w:w="6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Tenant reinsurance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Property Operations—</w:t>
      </w:r>
      <w:r>
        <w:rPr>
          <w:rFonts w:ascii="Times New Roman;sans-serif" w:hAnsi="Times New Roman;sans-serif"/>
          <w:b w:val="false"/>
          <w:color w:val="000000"/>
          <w:sz w:val="20"/>
        </w:rPr>
        <w:t xml:space="preserve">The increase in property operations expense during the three and six months ended June 30, 2023 consists primarily of an increase of $5,634 and $12,639 related to acquisitions completed in 2023 and 2022. We acquired four wholly-owned stores during the six months ended June 30, 2023 and a total of 153 stores during the year ended December 31, 2022. Additionally, for the three and six months ended June 30, 2023 there was an increase of $3,691 and $8,085 at our stabilized stores primarily due to payroll, marketing, credit card processing fees, utilities and insurance, partially offset by repairs and maintenance.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Tenant Reinsurance—</w:t>
      </w:r>
      <w:r>
        <w:rPr>
          <w:rFonts w:ascii="Times New Roman;sans-serif" w:hAnsi="Times New Roman;sans-serif"/>
          <w:b w:val="false"/>
          <w:color w:val="000000"/>
          <w:sz w:val="20"/>
        </w:rPr>
        <w:t>Tenant reinsurance expense represents the costs that are incurred to provide tenant reinsurance. These increases are primarily related to an increase in stores, along with an increase in claim service and administration charges. We operated 2,438 stores at June 30, 2023 compared to 2,177 stores at June 30, 2022.</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pPr>
      <w:r>
        <w:rPr>
          <w:rFonts w:ascii="Times New Roman;sans-serif" w:hAnsi="Times New Roman;sans-serif"/>
          <w:b/>
          <w:color w:val="000000"/>
          <w:sz w:val="20"/>
        </w:rPr>
        <w:t>General and Administrative—</w:t>
      </w:r>
      <w:r>
        <w:rPr>
          <w:rFonts w:ascii="Times New Roman;sans-serif" w:hAnsi="Times New Roman;sans-serif"/>
          <w:b w:val="false"/>
          <w:color w:val="000000"/>
          <w:sz w:val="20"/>
        </w:rPr>
        <w:t>General and administrative expenses primarily include all expenses not directly related to our stores, including corporate payroll, office expense, office rent, travel and professional fees. We did not observe any material trends in specific travel or other expenses apart from inflationary pressures and from the increase due to the management of additional stores. Also, during the three and six months ended June 30, 2023 increases relate in part to the acquisition of Bargold in June 2022 and 106 stores added with the acquisition of acquisition of multiple entities doing business as Storage Express in September 2022 compared to the same period last year.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Depreciation and Amortization—</w:t>
      </w:r>
      <w:r>
        <w:rPr>
          <w:rFonts w:ascii="Times New Roman;sans-serif" w:hAnsi="Times New Roman;sans-serif"/>
          <w:b w:val="false"/>
          <w:color w:val="000000"/>
          <w:sz w:val="20"/>
        </w:rPr>
        <w:t xml:space="preserve">Depreciation and amortization expense increased as a result of the acquisition of new stores. We acquired four wholly-owned stores during the six months ended June 30, 2023 and a total of 153 stores during the year ended December 31,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Revenues and 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other revenues and expenses for the periods indicated:</w:t>
      </w:r>
    </w:p>
    <w:tbl>
      <w:tblPr>
        <w:tblW w:w="11491" w:type="dxa"/>
        <w:jc w:val="center"/>
        <w:tblInd w:w="0" w:type="dxa"/>
        <w:tblLayout w:type="fixed"/>
        <w:tblCellMar>
          <w:top w:w="28" w:type="dxa"/>
          <w:left w:w="28" w:type="dxa"/>
          <w:bottom w:w="28" w:type="dxa"/>
          <w:right w:w="28" w:type="dxa"/>
        </w:tblCellMar>
      </w:tblPr>
      <w:tblGrid>
        <w:gridCol w:w="573"/>
        <w:gridCol w:w="306"/>
        <w:gridCol w:w="307"/>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278"/>
        <w:gridCol w:w="278"/>
        <w:gridCol w:w="471"/>
        <w:gridCol w:w="109"/>
        <w:gridCol w:w="109"/>
        <w:gridCol w:w="109"/>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285"/>
        <w:gridCol w:w="286"/>
        <w:gridCol w:w="532"/>
      </w:tblGrid>
      <w:tr>
        <w:trPr/>
        <w:tc>
          <w:tcPr>
            <w:tcW w:w="57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real estate transactions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and dividend income from unconsolidated real estate entities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revenues &amp; expenses,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261.5 </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Gain on Real Estate Transactions—</w:t>
      </w:r>
      <w:r>
        <w:rPr>
          <w:rFonts w:ascii="Times New Roman;sans-serif" w:hAnsi="Times New Roman;sans-serif"/>
          <w:b w:val="false"/>
          <w:color w:val="000000"/>
          <w:sz w:val="20"/>
        </w:rPr>
        <w:t>During the three months ended June 30, 2022, we sold two stores. We recognized a total gain of $14,249 related to the sale of these assets.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Interest Expense—</w:t>
      </w:r>
      <w:r>
        <w:rPr>
          <w:rFonts w:ascii="Times New Roman;sans-serif" w:hAnsi="Times New Roman;sans-serif"/>
          <w:b w:val="false"/>
          <w:color w:val="000000"/>
          <w:sz w:val="20"/>
        </w:rPr>
        <w:t xml:space="preserve">The increase in interest expense during the three and six months ended June 30, 2023 was primarily the result of a higher weighted average interest rate and debt balance compared to the same period in the prior year. The weighted average interest rate of the total of fixed- and variable-rate debt was 4.5% at June 30, 2023, compared to 3.1% at June 30, 2022.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Interest Income—</w:t>
      </w:r>
      <w:r>
        <w:rPr>
          <w:rFonts w:ascii="Times New Roman;sans-serif" w:hAnsi="Times New Roman;sans-serif"/>
          <w:b w:val="false"/>
          <w:color w:val="000000"/>
          <w:sz w:val="20"/>
        </w:rPr>
        <w:t xml:space="preserve">Interest income represents interest earned on bridge loans, notes receivable and debt securities and income earned on notes receivable from Common and Preferred Operating Partnership unit holders. The increase in interest income during the three and six months ended June 30, 2023 was primarily the result of an increase in amount of bridge loans held combined with an increase in interest rates. The balance of bridge loans was $540,355 as of June 30, 2023, compared to $349,056 as of June 30, 2022.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Equity in Earnings and Dividend Income from Unconsolidated Real Estate Entities—</w:t>
      </w:r>
      <w:r>
        <w:rPr>
          <w:rFonts w:ascii="Times New Roman;sans-serif" w:hAnsi="Times New Roman;sans-serif"/>
          <w:b w:val="false"/>
          <w:color w:val="000000"/>
          <w:sz w:val="20"/>
        </w:rPr>
        <w:t xml:space="preserve">Equity in earnings of unconsolidated real estate entities 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or profits. Dividend income represents dividends from our investment in preferred stock of SmartStop and Strategic Storage.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color w:val="000000"/>
          <w:sz w:val="20"/>
        </w:rPr>
        <w:t>Income Tax Expense</w:t>
      </w:r>
      <w:r>
        <w:rPr>
          <w:color w:val="000000"/>
        </w:rPr>
        <w:t>—</w:t>
      </w:r>
      <w:r>
        <w:rPr>
          <w:rFonts w:ascii="Times New Roman;sans-serif" w:hAnsi="Times New Roman;sans-serif"/>
          <w:b w:val="false"/>
          <w:color w:val="000000"/>
          <w:sz w:val="20"/>
        </w:rPr>
        <w:t>The increase in income tax expense for the three and six months ended June 30, 2023 was primarily the result of an increase in book income and a decrease in permanent tax deductions related to stock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FFO for the periods indicated:</w:t>
      </w:r>
    </w:p>
    <w:tbl>
      <w:tblPr>
        <w:tblW w:w="10205" w:type="dxa"/>
        <w:jc w:val="center"/>
        <w:tblInd w:w="0" w:type="dxa"/>
        <w:tblLayout w:type="fixed"/>
        <w:tblCellMar>
          <w:top w:w="28" w:type="dxa"/>
          <w:left w:w="28" w:type="dxa"/>
          <w:bottom w:w="28" w:type="dxa"/>
          <w:right w:w="28" w:type="dxa"/>
        </w:tblCellMar>
      </w:tblPr>
      <w:tblGrid>
        <w:gridCol w:w="1670"/>
        <w:gridCol w:w="1382"/>
        <w:gridCol w:w="1389"/>
        <w:gridCol w:w="221"/>
        <w:gridCol w:w="868"/>
        <w:gridCol w:w="114"/>
        <w:gridCol w:w="114"/>
        <w:gridCol w:w="114"/>
        <w:gridCol w:w="114"/>
        <w:gridCol w:w="221"/>
        <w:gridCol w:w="868"/>
        <w:gridCol w:w="114"/>
        <w:gridCol w:w="109"/>
        <w:gridCol w:w="109"/>
        <w:gridCol w:w="109"/>
        <w:gridCol w:w="212"/>
        <w:gridCol w:w="832"/>
        <w:gridCol w:w="109"/>
        <w:gridCol w:w="109"/>
        <w:gridCol w:w="109"/>
        <w:gridCol w:w="109"/>
        <w:gridCol w:w="212"/>
        <w:gridCol w:w="832"/>
        <w:gridCol w:w="165"/>
      </w:tblGrid>
      <w:tr>
        <w:trPr/>
        <w:tc>
          <w:tcPr>
            <w:tcW w:w="167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44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435,709 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joint venture real estate depreciation and amortization</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on Series A Preferred Operating Partnership units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allocated to Operating Partnership noncontrolling interests </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 attributable to common stockholders and unit holders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296,028 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303,589 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590,045 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SAME-STORE RESULTS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same-store pool for the periods presented consists of 914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portfolio. </w:t>
      </w:r>
    </w:p>
    <w:tbl>
      <w:tblPr>
        <w:tblW w:w="10205" w:type="dxa"/>
        <w:jc w:val="center"/>
        <w:tblInd w:w="0" w:type="dxa"/>
        <w:tblLayout w:type="fixed"/>
        <w:tblCellMar>
          <w:top w:w="28" w:type="dxa"/>
          <w:left w:w="28" w:type="dxa"/>
          <w:bottom w:w="28" w:type="dxa"/>
          <w:right w:w="28" w:type="dxa"/>
        </w:tblCellMar>
      </w:tblPr>
      <w:tblGrid>
        <w:gridCol w:w="816"/>
        <w:gridCol w:w="625"/>
        <w:gridCol w:w="628"/>
        <w:gridCol w:w="216"/>
        <w:gridCol w:w="847"/>
        <w:gridCol w:w="111"/>
        <w:gridCol w:w="111"/>
        <w:gridCol w:w="111"/>
        <w:gridCol w:w="111"/>
        <w:gridCol w:w="216"/>
        <w:gridCol w:w="847"/>
        <w:gridCol w:w="111"/>
        <w:gridCol w:w="109"/>
        <w:gridCol w:w="109"/>
        <w:gridCol w:w="109"/>
        <w:gridCol w:w="255"/>
        <w:gridCol w:w="256"/>
        <w:gridCol w:w="367"/>
        <w:gridCol w:w="109"/>
        <w:gridCol w:w="109"/>
        <w:gridCol w:w="109"/>
        <w:gridCol w:w="211"/>
        <w:gridCol w:w="829"/>
        <w:gridCol w:w="109"/>
        <w:gridCol w:w="109"/>
        <w:gridCol w:w="109"/>
        <w:gridCol w:w="109"/>
        <w:gridCol w:w="211"/>
        <w:gridCol w:w="829"/>
        <w:gridCol w:w="109"/>
        <w:gridCol w:w="109"/>
        <w:gridCol w:w="109"/>
        <w:gridCol w:w="109"/>
        <w:gridCol w:w="270"/>
        <w:gridCol w:w="272"/>
        <w:gridCol w:w="429"/>
      </w:tblGrid>
      <w:tr>
        <w:trPr/>
        <w:tc>
          <w:tcPr>
            <w:tcW w:w="8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rental revenues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rental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same-store rental revenues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operating expenses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expense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expense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Repairs and maintenance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same-store operating expenses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net operating income</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square foot occupancy as of quarter end</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 included in same-store</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Same-store revenues for the three and six months ended June 30, 2023 increased compared to the same period in 2022 due to higher average rates to existing customers and higher other operating income partially offset by lower occupancy.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same-store net operating income to net income as presented on our condensed consolidated statements of operations for the periods indicated:</w:t>
      </w:r>
    </w:p>
    <w:tbl>
      <w:tblPr>
        <w:tblW w:w="10205" w:type="dxa"/>
        <w:jc w:val="left"/>
        <w:tblInd w:w="0" w:type="dxa"/>
        <w:tblLayout w:type="fixed"/>
        <w:tblCellMar>
          <w:top w:w="28" w:type="dxa"/>
          <w:left w:w="28" w:type="dxa"/>
          <w:bottom w:w="28" w:type="dxa"/>
          <w:right w:w="28" w:type="dxa"/>
        </w:tblCellMar>
      </w:tblPr>
      <w:tblGrid>
        <w:gridCol w:w="1774"/>
        <w:gridCol w:w="1332"/>
        <w:gridCol w:w="1335"/>
        <w:gridCol w:w="221"/>
        <w:gridCol w:w="868"/>
        <w:gridCol w:w="114"/>
        <w:gridCol w:w="114"/>
        <w:gridCol w:w="114"/>
        <w:gridCol w:w="114"/>
        <w:gridCol w:w="221"/>
        <w:gridCol w:w="868"/>
        <w:gridCol w:w="114"/>
        <w:gridCol w:w="109"/>
        <w:gridCol w:w="109"/>
        <w:gridCol w:w="109"/>
        <w:gridCol w:w="212"/>
        <w:gridCol w:w="832"/>
        <w:gridCol w:w="109"/>
        <w:gridCol w:w="109"/>
        <w:gridCol w:w="109"/>
        <w:gridCol w:w="109"/>
        <w:gridCol w:w="212"/>
        <w:gridCol w:w="832"/>
        <w:gridCol w:w="165"/>
      </w:tblGrid>
      <w:tr>
        <w:trPr/>
        <w:tc>
          <w:tcPr>
            <w:tcW w:w="177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r>
      <w:tr>
        <w:trPr/>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465,551 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related costs </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other income and interest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tenant insurance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same-store rental revenue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same-store operating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same-store net operating income</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298,079 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558,161 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rental revenues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operating expenses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net operating income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298,079 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290,656 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558,161 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for the six months ended June 30, 2023 decreased when compared to the same period in the prior year.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tbl>
      <w:tblPr>
        <w:tblW w:w="9273" w:type="dxa"/>
        <w:jc w:val="left"/>
        <w:tblInd w:w="0" w:type="dxa"/>
        <w:tblLayout w:type="fixed"/>
        <w:tblCellMar>
          <w:top w:w="28" w:type="dxa"/>
          <w:left w:w="28" w:type="dxa"/>
          <w:bottom w:w="28" w:type="dxa"/>
          <w:right w:w="28" w:type="dxa"/>
        </w:tblCellMar>
      </w:tblPr>
      <w:tblGrid>
        <w:gridCol w:w="2302"/>
        <w:gridCol w:w="2026"/>
        <w:gridCol w:w="2032"/>
        <w:gridCol w:w="213"/>
        <w:gridCol w:w="837"/>
        <w:gridCol w:w="110"/>
        <w:gridCol w:w="110"/>
        <w:gridCol w:w="110"/>
        <w:gridCol w:w="110"/>
        <w:gridCol w:w="213"/>
        <w:gridCol w:w="837"/>
        <w:gridCol w:w="110"/>
        <w:gridCol w:w="109"/>
        <w:gridCol w:w="154"/>
      </w:tblGrid>
      <w:tr>
        <w:trPr/>
        <w:tc>
          <w:tcPr>
            <w:tcW w:w="230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net cash flow included:</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real estate transactions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development of real estate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business combination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 assets and investments in real estate ventures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real estate entities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and purchase of notes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notes receivable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from notes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and revolving lines of credit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1,948,657 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notes payable and revolving lines of credit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(3,246,378)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(1,915,531)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public bonds,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generate positive cash flow from operations in 2023,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$50,644 available in cash and cash equivalents. Our cash and cash equivalents are held in accounts managed by third party financial institutions and consist of invested cash and cash in our operating accounts. During 2023 and 2022, we experienced no loss or lack of access to our cash or cash equivalents; however, there can be no assurance that access to our cash and cash equivalents will not be impacted by adverse conditions in the financial markets.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$7,547,638 face value of debt, resulting in a debt to total enterprise value ratio of 26.1%. As of June 30, 2023, the ratio of total fixed-rate debt and other instruments to total debt was 73.4% ($5,540,970 total fixed-rate debt including $2,006,668 on which we have interest rate swaps that have been included as fixed-rate debt). The weighted average interest rate of the total of fixed- and variable-rate debt at June 30, 2023 was 4.5%. Certain of our real estate assets are pledged as collateral for our debt. We are subject to certain restrictive covenants relating to our outstanding debt. We were in compliance with all financial covenants at June 30, 2023.</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hold a BBB/Stable rating from S&amp;P, which has been upgraded to BBB+/Stable in July 2023, and a Baa2 rating from Moody's Investors Service. We intend to manage our balance sheet to maintain these ratings. Certain of our real estate assets are pledged as collateral for our debt. As of June 30, 2023, we had a total of 909 unencumbered stores as defined by our public bonds. Our unencumbered asset value was calculated as $17,521,761 and our total asset value was calculated as $22,702,422 according to the calculations as defined by our public bonds.</w:t>
      </w:r>
    </w:p>
    <w:p>
      <w:pPr>
        <w:pStyle w:val="TextBody"/>
        <w:bidi w:val="0"/>
        <w:spacing w:before="0" w:after="0"/>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refers to the risk of loss from adverse changes in market prices and interest rates. Our future income, cash flows and fair values of financial instruments are dependent upon prevailing market interest rates.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risk is highly sensitive to many factors, including governmental monetary and tax policies, domestic and international economic and political considerations and other factors beyond our control.</w:t>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approximately $7.5 billion in total face value of debt, of which approximately $2.0 billion was subject to variable interest rates (excluding debt with interest rate swaps). If SOFR were to increase or decrease by 100 basis points, the increase or decrease in interest expense on the variable-rate debt would increase or decrease future earnings and cash flows by approximately $20.1 million annually.</w:t>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(1)Disclosure Controls and Procedures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5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“Part I. Item 1A. Risk Factors” in our Annual Report on Form 10-K for the year ended December 31, 2022, which could materially affect our business, financial condition and results of operations. Other than as set forth below, there have been no material changes to the risk factors described in the “Risk Factors” section in our Annual Report on Form 10-K for the year ended December 31, 2022, and the risk factors described in the “Risk Factors” section in our Quarterly Report on Form 10-Q for the period ended March 31, 2023. The risks described below and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pStyle w:val="TextBody"/>
        <w:bidi w:val="0"/>
        <w:spacing w:before="0" w:after="0"/>
        <w:ind w:left="0" w:right="0" w:firstLine="495"/>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integrate the operations of Life Storage successfully with ours and realize the anticipated synergies and other benefits of the merger or do so within the anticipated time frame.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Until the completion of the merger, Life Storage and Extra Space operated as independent public companies with respective independent operating partnerships. We expect to benefit from the elimination of duplicative costs associated with supporting a public company platform and the leveraging of state-of-the-art technology and systems. However, we will be required to devote significant management attention and resources to integrating the operations of Life Storage with our own. Potential difficulties we may encounter in the integration process include the following: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inability to successfully combine the operations of Life Storage, including the integration of employees, customer records and maintaining cybersecurity protections, in a manner that permits us to achieve the cost savings anticipated to result from the merger, which would result in the anticipated benefits of the merger not being realized in the time frame currently anticipated or at all;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inability to dispose of former Life Storage assets or operations that we may desire to dispose of;</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complexities associated with managing the combined businesses out of different locations and integrating personnel from the two companies;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failure to retain our key employees or the key employees of Life Storage;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potential unknown liabilities and unforeseen increased expenses, delays or regulatory conditions associated with the merger;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performance shortfalls as a result of the diversion of management’s attention caused by completing the merger and integrating the companies’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all these reasons, you should be aware that it is possible that the integration process could result in the distraction of our management, the disruption of our ongoing business or inconsistencies in our operations, services, standards, controls, procedures and policies, any of which could adversely affect our ability to maintain relationships with customers, vendors and employees or to achieve the anticipated benefits of the merger, or could otherwise adversely affect our business and financial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hanging="144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144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none of our officers or directors adopted or terminated any contract, instruction or written plan for the purchase or sale of our securities that was intended to satisfy the affirmative defense conditions of Rule 10b5-1(c) or any “non 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ind w:left="0" w:right="0" w:hanging="63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247"/>
        <w:gridCol w:w="2070"/>
        <w:gridCol w:w="2078"/>
        <w:gridCol w:w="227"/>
        <w:gridCol w:w="179"/>
        <w:gridCol w:w="141"/>
        <w:gridCol w:w="258"/>
        <w:gridCol w:w="182"/>
        <w:gridCol w:w="182"/>
        <w:gridCol w:w="227"/>
        <w:gridCol w:w="227"/>
        <w:gridCol w:w="237"/>
        <w:gridCol w:w="267"/>
        <w:gridCol w:w="267"/>
        <w:gridCol w:w="38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Description</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
              <w:r>
                <w:rPr>
                  <w:rStyle w:val="InternetLink"/>
                  <w:rFonts w:ascii="Times New Roman;sans-serif" w:hAnsi="Times New Roman;sans-serif"/>
                  <w:b w:val="false"/>
                  <w:color w:val="0000FF"/>
                  <w:sz w:val="20"/>
                  <w:u w:val="single"/>
                </w:rPr>
                <w:t>Agreement and Plan of Merger, dated as of April 2, 2023, by and among Extra Space Storage Inc., Extra Space Storage LP, Eros Merger Sub, LLC, Eros OP Merger Sub, LLC, Life Storage, Inc. and Life Storage LP.</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
              <w:r>
                <w:rPr>
                  <w:rStyle w:val="InternetLink"/>
                  <w:rFonts w:ascii="Times New Roman;sans-serif" w:hAnsi="Times New Roman;sans-serif"/>
                  <w:b w:val="false"/>
                  <w:color w:val="0000FF"/>
                  <w:sz w:val="20"/>
                  <w:u w:val="single"/>
                </w:rPr>
                <w:t>Amendment to Agreement and Plan of Merger, dated as of May 18, 2023, by and among Extra Space Storage Inc., Extra Space Storage LP, Eros Merger Sub, LLC, Eros OP Merger Sub, LLC, Life Storage, Inc. and Life Storage LP.</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19,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4">
              <w:r>
                <w:rPr>
                  <w:rStyle w:val="InternetLink"/>
                  <w:rFonts w:ascii="Times New Roman;sans-serif" w:hAnsi="Times New Roman;sans-serif"/>
                  <w:b w:val="false"/>
                  <w:color w:val="0000FF"/>
                  <w:sz w:val="20"/>
                  <w:u w:val="single"/>
                </w:rPr>
                <w:t>Fifth Supplemental Indenture, dated as of June 16,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June 16,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5">
              <w:r>
                <w:rPr>
                  <w:rStyle w:val="InternetLink"/>
                  <w:rFonts w:ascii="Times New Roman;sans-serif" w:hAnsi="Times New Roman;sans-serif"/>
                  <w:b w:val="false"/>
                  <w:color w:val="0000FF"/>
                  <w:sz w:val="20"/>
                  <w:u w:val="single"/>
                </w:rPr>
                <w:t>Base Indenture, dated as of June 20, 2016, among Life Storage, Inc., Life Storage LP and Wells Fargo Bank, National Association (incorporated by reference to Exhibit 4.2 to the Current Report on Form 10-K filed by Life Storage Inc. on February 24, 2023).</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6">
              <w:r>
                <w:rPr>
                  <w:rStyle w:val="InternetLink"/>
                  <w:rFonts w:ascii="Times New Roman;sans-serif" w:hAnsi="Times New Roman;sans-serif"/>
                  <w:b w:val="false"/>
                  <w:color w:val="0000FF"/>
                  <w:sz w:val="20"/>
                  <w:u w:val="single"/>
                </w:rPr>
                <w:t>Sixth Supplemental Indenture, dated as of July 25, 2023, among Life Storage LP, as issuer, Life Storage LLC, as parent guarantor, and Computershare Trust Company, N.A., as trustee.</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7">
              <w:r>
                <w:rPr>
                  <w:rStyle w:val="InternetLink"/>
                  <w:rFonts w:ascii="Times New Roman;sans-serif" w:hAnsi="Times New Roman;sans-serif"/>
                  <w:b w:val="false"/>
                  <w:color w:val="0000FF"/>
                  <w:sz w:val="20"/>
                  <w:u w:val="single"/>
                </w:rPr>
                <w:t>Sixth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8">
              <w:r>
                <w:rPr>
                  <w:rStyle w:val="InternetLink"/>
                  <w:rFonts w:ascii="Times New Roman;sans-serif" w:hAnsi="Times New Roman;sans-serif"/>
                  <w:b w:val="false"/>
                  <w:color w:val="0000FF"/>
                  <w:sz w:val="20"/>
                  <w:u w:val="single"/>
                </w:rPr>
                <w:t>Seventh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9">
              <w:r>
                <w:rPr>
                  <w:rStyle w:val="InternetLink"/>
                  <w:rFonts w:ascii="Times New Roman;sans-serif" w:hAnsi="Times New Roman;sans-serif"/>
                  <w:b w:val="false"/>
                  <w:color w:val="0000FF"/>
                  <w:sz w:val="20"/>
                  <w:u w:val="single"/>
                </w:rPr>
                <w:t>Eighth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0">
              <w:r>
                <w:rPr>
                  <w:rStyle w:val="InternetLink"/>
                  <w:rFonts w:ascii="Times New Roman;sans-serif" w:hAnsi="Times New Roman;sans-serif"/>
                  <w:b w:val="false"/>
                  <w:color w:val="0000FF"/>
                  <w:sz w:val="20"/>
                  <w:u w:val="single"/>
                </w:rPr>
                <w:t>Ninth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1">
              <w:r>
                <w:rPr>
                  <w:rStyle w:val="InternetLink"/>
                  <w:rFonts w:ascii="Times New Roman;sans-serif" w:hAnsi="Times New Roman;sans-serif"/>
                  <w:b w:val="false"/>
                  <w:color w:val="0000FF"/>
                  <w:sz w:val="20"/>
                  <w:u w:val="single"/>
                </w:rPr>
                <w:t>Tenth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2202310qex221.htm">
              <w:r>
                <w:rPr>
                  <w:rStyle w:val="InternetLink"/>
                  <w:rFonts w:ascii="Times New Roman;sans-serif" w:hAnsi="Times New Roman;sans-serif"/>
                  <w:b w:val="false"/>
                  <w:color w:val="0000FF"/>
                  <w:sz w:val="20"/>
                  <w:u w:val="single"/>
                </w:rPr>
                <w:t>Issuer and Guarantors of Guaranteed Securities</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81"/>
        <w:gridCol w:w="2628"/>
        <w:gridCol w:w="2634"/>
        <w:gridCol w:w="109"/>
        <w:gridCol w:w="109"/>
        <w:gridCol w:w="109"/>
        <w:gridCol w:w="109"/>
        <w:gridCol w:w="109"/>
        <w:gridCol w:w="109"/>
        <w:gridCol w:w="109"/>
        <w:gridCol w:w="109"/>
        <w:gridCol w:w="109"/>
        <w:gridCol w:w="109"/>
        <w:gridCol w:w="109"/>
        <w:gridCol w:w="15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2202310q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2202310q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2202310qex321.htm">
              <w:r>
                <w:rPr>
                  <w:rStyle w:val="InternetLink"/>
                  <w:rFonts w:ascii="Times New Roman;sans-serif" w:hAnsi="Times New Roman;sans-serif"/>
                  <w:b w:val="false"/>
                  <w:color w:val="0000FF"/>
                  <w:sz w:val="20"/>
                  <w:u w:val="single"/>
                </w:rPr>
                <w:t>Certifications of the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Extra Space Storage Inc.’s Quarterly Report on Form 10-Q for the quarter ended March 31, 2023,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ind w:left="0" w:right="0" w:hanging="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67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16"/>
        <w:gridCol w:w="1316"/>
        <w:gridCol w:w="186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b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Issuer and Guarantors of Guaranteed Securities </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entities are included in the Obligated Group, as defined in the Annual Report on Form 10-K of Extra Space Storage Inc. to which this document is being filed as an exhibit, for the 3.900% Senior Notes due 2029, the 2.550% Senior Notes due 2031, the 2.350% Senior Notes due 2032 and the 5.700% Senior Notes due 2028 (collectively, the "Notes"). The guarantors have fully and unconditionally guaranteed the Notes on a joint and several basis. </w:t>
      </w:r>
    </w:p>
    <w:tbl>
      <w:tblPr>
        <w:tblW w:w="8144" w:type="dxa"/>
        <w:jc w:val="left"/>
        <w:tblInd w:w="0" w:type="dxa"/>
        <w:tblLayout w:type="fixed"/>
        <w:tblCellMar>
          <w:top w:w="28" w:type="dxa"/>
          <w:left w:w="28" w:type="dxa"/>
          <w:bottom w:w="28" w:type="dxa"/>
          <w:right w:w="28" w:type="dxa"/>
        </w:tblCellMar>
      </w:tblPr>
      <w:tblGrid>
        <w:gridCol w:w="956"/>
        <w:gridCol w:w="839"/>
        <w:gridCol w:w="844"/>
        <w:gridCol w:w="829"/>
        <w:gridCol w:w="829"/>
        <w:gridCol w:w="832"/>
        <w:gridCol w:w="883"/>
        <w:gridCol w:w="883"/>
        <w:gridCol w:w="1249"/>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Issuer or Guarantor</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 Issuer or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 or Organization</w:t>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LP</w:t>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Holdings Business Trust I</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Massachusetts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Holdings Business Trust II</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Joseph D. Margolis,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Extra Space Storage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43" w:type="dxa"/>
        <w:jc w:val="center"/>
        <w:tblInd w:w="0" w:type="dxa"/>
        <w:tblLayout w:type="fixed"/>
        <w:tblCellMar>
          <w:top w:w="28" w:type="dxa"/>
          <w:left w:w="28" w:type="dxa"/>
          <w:bottom w:w="28" w:type="dxa"/>
          <w:right w:w="28" w:type="dxa"/>
        </w:tblCellMar>
      </w:tblPr>
      <w:tblGrid>
        <w:gridCol w:w="667"/>
        <w:gridCol w:w="587"/>
        <w:gridCol w:w="590"/>
        <w:gridCol w:w="208"/>
        <w:gridCol w:w="208"/>
        <w:gridCol w:w="213"/>
        <w:gridCol w:w="605"/>
        <w:gridCol w:w="605"/>
        <w:gridCol w:w="8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 Scott Stubbs,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Extra Space Storage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912" w:type="dxa"/>
        <w:jc w:val="center"/>
        <w:tblInd w:w="0" w:type="dxa"/>
        <w:tblLayout w:type="fixed"/>
        <w:tblCellMar>
          <w:top w:w="28" w:type="dxa"/>
          <w:left w:w="28" w:type="dxa"/>
          <w:bottom w:w="28" w:type="dxa"/>
          <w:right w:w="28" w:type="dxa"/>
        </w:tblCellMar>
      </w:tblPr>
      <w:tblGrid>
        <w:gridCol w:w="667"/>
        <w:gridCol w:w="587"/>
        <w:gridCol w:w="590"/>
        <w:gridCol w:w="208"/>
        <w:gridCol w:w="208"/>
        <w:gridCol w:w="213"/>
        <w:gridCol w:w="1295"/>
        <w:gridCol w:w="1295"/>
        <w:gridCol w:w="184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tbl>
      <w:tblPr>
        <w:tblW w:w="3041"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tbl>
      <w:tblPr>
        <w:tblW w:w="541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295"/>
        <w:gridCol w:w="1295"/>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9490/000119312523089776/d487333dex21.htm" TargetMode="External"/><Relationship Id="rId3" Type="http://schemas.openxmlformats.org/officeDocument/2006/relationships/hyperlink" Target="https://www.sec.gov/Archives/edgar/data/1289490/000119312523149320/d486997dex21.htm" TargetMode="External"/><Relationship Id="rId4" Type="http://schemas.openxmlformats.org/officeDocument/2006/relationships/hyperlink" Target="https://www.sec.gov/Archives/edgar/data/1289490/000119312523168983/d523023dex42.htm" TargetMode="External"/><Relationship Id="rId5" Type="http://schemas.openxmlformats.org/officeDocument/2006/relationships/hyperlink" Target="https://www.sec.gov/Archives/edgar/data/944314/000119312516626433/d212449dex41.htm" TargetMode="External"/><Relationship Id="rId6" Type="http://schemas.openxmlformats.org/officeDocument/2006/relationships/hyperlink" Target="https://www.sec.gov/Archives/edgar/data/1289490/000119312523193502/d541032dex42.htm" TargetMode="External"/><Relationship Id="rId7" Type="http://schemas.openxmlformats.org/officeDocument/2006/relationships/hyperlink" Target="https://www.sec.gov/Archives/edgar/data/1289490/000119312523193502/d541032dex44.htm" TargetMode="External"/><Relationship Id="rId8" Type="http://schemas.openxmlformats.org/officeDocument/2006/relationships/hyperlink" Target="https://www.sec.gov/Archives/edgar/data/1289490/000119312523193502/d541032dex45.htm" TargetMode="External"/><Relationship Id="rId9" Type="http://schemas.openxmlformats.org/officeDocument/2006/relationships/hyperlink" Target="https://www.sec.gov/Archives/edgar/data/1289490/000119312523193502/d541032dex46.htm" TargetMode="External"/><Relationship Id="rId10" Type="http://schemas.openxmlformats.org/officeDocument/2006/relationships/hyperlink" Target="https://www.sec.gov/Archives/edgar/data/1289490/000119312523193502/d541032dex47.htm" TargetMode="External"/><Relationship Id="rId11" Type="http://schemas.openxmlformats.org/officeDocument/2006/relationships/hyperlink" Target="https://www.sec.gov/Archives/edgar/data/1289490/000119312523193502/d541032dex48.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22228</Words>
  <Characters>122532</Characters>
  <CharactersWithSpaces>143346</CharactersWithSpaces>
  <Paragraphs>3630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