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1851660</wp:posOffset>
            </wp:positionH>
            <wp:positionV relativeFrom="paragraph">
              <wp:posOffset>86995</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82550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45" w:lineRule="exact"/>
        <w:rPr>
          <w:sz w:val="24"/>
          <w:szCs w:val="24"/>
          <w:color w:val="auto"/>
        </w:rPr>
      </w:pPr>
    </w:p>
    <w:p>
      <w:pPr>
        <w:ind w:left="680" w:right="380" w:hanging="658"/>
        <w:spacing w:after="0" w:line="239" w:lineRule="auto"/>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September 30, 2023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7" w:lineRule="exact"/>
        <w:rPr>
          <w:sz w:val="24"/>
          <w:szCs w:val="24"/>
          <w:color w:val="auto"/>
        </w:rPr>
      </w:pPr>
    </w:p>
    <w:p>
      <w:pPr>
        <w:ind w:left="700" w:right="340" w:hanging="665"/>
        <w:spacing w:after="0" w:line="239" w:lineRule="auto"/>
        <w:tabs>
          <w:tab w:leader="none" w:pos="70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2880" w:type="dxa"/>
        <w:tblCellMar>
          <w:top w:w="0" w:type="dxa"/>
          <w:left w:w="0" w:type="dxa"/>
          <w:bottom w:w="0" w:type="dxa"/>
          <w:right w:w="0" w:type="dxa"/>
        </w:tblCellMar>
      </w:tblPr>
      <w:tr>
        <w:trPr>
          <w:trHeight w:val="195"/>
        </w:trPr>
        <w:tc>
          <w:tcPr>
            <w:tcW w:w="2880" w:type="dxa"/>
            <w:vAlign w:val="bottom"/>
          </w:tcPr>
          <w:p>
            <w:pPr>
              <w:ind w:left="580"/>
              <w:spacing w:after="0"/>
              <w:rPr>
                <w:sz w:val="20"/>
                <w:szCs w:val="20"/>
                <w:color w:val="auto"/>
              </w:rPr>
            </w:pPr>
            <w:r>
              <w:rPr>
                <w:rFonts w:ascii="Arial" w:cs="Arial" w:eastAsia="Arial" w:hAnsi="Arial"/>
                <w:sz w:val="17"/>
                <w:szCs w:val="17"/>
                <w:b w:val="1"/>
                <w:bCs w:val="1"/>
                <w:color w:val="auto"/>
                <w:w w:val="95"/>
              </w:rPr>
              <w:t>For the transition period from</w:t>
            </w:r>
          </w:p>
        </w:tc>
        <w:tc>
          <w:tcPr>
            <w:tcW w:w="8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7"/>
                <w:szCs w:val="17"/>
                <w:b w:val="1"/>
                <w:bCs w:val="1"/>
                <w:color w:val="auto"/>
                <w:w w:val="99"/>
              </w:rPr>
              <w:t>to</w:t>
            </w: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Pr>
          <w:p>
            <w:pPr>
              <w:jc w:val="right"/>
              <w:ind w:right="531"/>
              <w:spacing w:after="0"/>
              <w:rPr>
                <w:sz w:val="20"/>
                <w:szCs w:val="20"/>
                <w:color w:val="auto"/>
              </w:rPr>
            </w:pPr>
            <w:r>
              <w:rPr>
                <w:rFonts w:ascii="Arial" w:cs="Arial" w:eastAsia="Arial" w:hAnsi="Arial"/>
                <w:sz w:val="10"/>
                <w:szCs w:val="10"/>
                <w:b w:val="1"/>
                <w:bCs w:val="1"/>
                <w:color w:val="auto"/>
                <w:w w:val="70"/>
              </w:rPr>
              <w:t>.</w:t>
            </w:r>
          </w:p>
        </w:tc>
      </w:tr>
      <w:tr>
        <w:trPr>
          <w:trHeight w:val="229"/>
        </w:trPr>
        <w:tc>
          <w:tcPr>
            <w:tcW w:w="4500" w:type="dxa"/>
            <w:vAlign w:val="bottom"/>
            <w:gridSpan w:val="4"/>
          </w:tcPr>
          <w:p>
            <w:pPr>
              <w:ind w:left="1360"/>
              <w:spacing w:after="0"/>
              <w:rPr>
                <w:sz w:val="20"/>
                <w:szCs w:val="20"/>
                <w:color w:val="auto"/>
              </w:rPr>
            </w:pPr>
            <w:r>
              <w:rPr>
                <w:rFonts w:ascii="Arial" w:cs="Arial" w:eastAsia="Arial" w:hAnsi="Arial"/>
                <w:sz w:val="17"/>
                <w:szCs w:val="17"/>
                <w:b w:val="1"/>
                <w:bCs w:val="1"/>
                <w:color w:val="auto"/>
              </w:rPr>
              <w:t>Commission File Number: 001-32269</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79"/>
        </w:trPr>
        <w:tc>
          <w:tcPr>
            <w:tcW w:w="28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bl>
    <w:p>
      <w:pPr>
        <w:spacing w:after="0" w:line="286"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EXTRA SPACE STORAGE INC.</w:t>
      </w:r>
    </w:p>
    <w:p>
      <w:pPr>
        <w:spacing w:after="0" w:line="59"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57785</wp:posOffset>
            </wp:positionV>
            <wp:extent cx="3472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p>
      <w:pPr>
        <w:spacing w:after="0" w:line="204"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20-1076777</w:t>
      </w:r>
    </w:p>
    <w:p>
      <w:pPr>
        <w:spacing w:after="0" w:line="44" w:lineRule="exact"/>
        <w:rPr>
          <w:sz w:val="24"/>
          <w:szCs w:val="24"/>
          <w:color w:val="auto"/>
        </w:rPr>
      </w:pPr>
    </w:p>
    <w:p>
      <w:pPr>
        <w:sectPr>
          <w:pgSz w:w="11900" w:h="16838" w:orient="portrait"/>
          <w:cols w:equalWidth="0" w:num="2">
            <w:col w:w="7400" w:space="720"/>
            <w:col w:w="3120"/>
          </w:cols>
          <w:pgMar w:left="320" w:top="531" w:right="339" w:bottom="1440" w:gutter="0" w:footer="0" w:header="0"/>
          <w:type w:val="continuous"/>
        </w:sectPr>
      </w:pPr>
    </w:p>
    <w:p>
      <w:pPr>
        <w:ind w:left="190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240"/>
          </w:cols>
          <w:pgMar w:left="320" w:top="531" w:right="339" w:bottom="1440" w:gutter="0" w:footer="0" w:header="0"/>
          <w:type w:val="continuous"/>
        </w:sectPr>
      </w:pP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2795 East Cottonwood Parkway, Suite 300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Salt Lake City, Utah 84121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240"/>
          </w:cols>
          <w:pgMar w:left="320" w:top="531" w:right="339" w:bottom="1440" w:gutter="0" w:footer="0" w:header="0"/>
          <w:type w:val="continuous"/>
        </w:sect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(801) 365-4600</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Securities Exchange Act of 1934</w:t>
      </w:r>
    </w:p>
    <w:p>
      <w:pPr>
        <w:spacing w:after="0" w:line="47" w:lineRule="exact"/>
        <w:rPr>
          <w:sz w:val="24"/>
          <w:szCs w:val="24"/>
          <w:color w:val="auto"/>
        </w:rPr>
      </w:pPr>
    </w:p>
    <w:tbl>
      <w:tblPr>
        <w:tblLayout w:type="fixed"/>
        <w:tblInd w:w="6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0"/>
              </w:rPr>
              <w:t>Title of each class</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0" w:type="dxa"/>
            <w:vAlign w:val="bottom"/>
            <w:gridSpan w:val="2"/>
          </w:tcPr>
          <w:p>
            <w:pPr>
              <w:jc w:val="center"/>
              <w:ind w:right="820"/>
              <w:spacing w:after="0"/>
              <w:rPr>
                <w:sz w:val="20"/>
                <w:szCs w:val="20"/>
                <w:color w:val="auto"/>
              </w:rPr>
            </w:pPr>
            <w:r>
              <w:rPr>
                <w:rFonts w:ascii="Arial" w:cs="Arial" w:eastAsia="Arial" w:hAnsi="Arial"/>
                <w:sz w:val="17"/>
                <w:szCs w:val="17"/>
                <w:b w:val="1"/>
                <w:bCs w:val="1"/>
                <w:color w:val="auto"/>
                <w:w w:val="93"/>
              </w:rPr>
              <w:t>Trading symbol</w:t>
            </w:r>
          </w:p>
        </w:tc>
        <w:tc>
          <w:tcPr>
            <w:tcW w:w="4040" w:type="dxa"/>
            <w:vAlign w:val="bottom"/>
            <w:gridSpan w:val="2"/>
          </w:tcPr>
          <w:p>
            <w:pPr>
              <w:jc w:val="center"/>
              <w:ind w:left="713"/>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504"/>
        </w:trPr>
        <w:tc>
          <w:tcPr>
            <w:tcW w:w="3060" w:type="dxa"/>
            <w:vAlign w:val="bottom"/>
            <w:gridSpan w:val="3"/>
          </w:tcPr>
          <w:p>
            <w:pPr>
              <w:jc w:val="center"/>
              <w:ind w:right="800"/>
              <w:spacing w:after="0"/>
              <w:rPr>
                <w:sz w:val="20"/>
                <w:szCs w:val="20"/>
                <w:color w:val="auto"/>
              </w:rPr>
            </w:pPr>
            <w:r>
              <w:rPr>
                <w:rFonts w:ascii="Arial" w:cs="Arial" w:eastAsia="Arial" w:hAnsi="Arial"/>
                <w:sz w:val="17"/>
                <w:szCs w:val="17"/>
                <w:color w:val="auto"/>
                <w:w w:val="93"/>
              </w:rPr>
              <w:t>Common Stock, $0.01 par value</w:t>
            </w:r>
          </w:p>
        </w:tc>
        <w:tc>
          <w:tcPr>
            <w:tcW w:w="780" w:type="dxa"/>
            <w:vAlign w:val="bottom"/>
          </w:tcPr>
          <w:p>
            <w:pPr>
              <w:spacing w:after="0"/>
              <w:rPr>
                <w:sz w:val="24"/>
                <w:szCs w:val="24"/>
                <w:color w:val="auto"/>
              </w:rPr>
            </w:pPr>
          </w:p>
        </w:tc>
        <w:tc>
          <w:tcPr>
            <w:tcW w:w="2000" w:type="dxa"/>
            <w:vAlign w:val="bottom"/>
            <w:gridSpan w:val="2"/>
          </w:tcPr>
          <w:p>
            <w:pPr>
              <w:jc w:val="center"/>
              <w:ind w:right="820"/>
              <w:spacing w:after="0"/>
              <w:rPr>
                <w:sz w:val="20"/>
                <w:szCs w:val="20"/>
                <w:color w:val="auto"/>
              </w:rPr>
            </w:pPr>
            <w:r>
              <w:rPr>
                <w:rFonts w:ascii="Arial" w:cs="Arial" w:eastAsia="Arial" w:hAnsi="Arial"/>
                <w:sz w:val="17"/>
                <w:szCs w:val="17"/>
                <w:color w:val="auto"/>
                <w:w w:val="97"/>
              </w:rPr>
              <w:t>EXR</w:t>
            </w:r>
          </w:p>
        </w:tc>
        <w:tc>
          <w:tcPr>
            <w:tcW w:w="8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bl>
    <w:p>
      <w:pPr>
        <w:spacing w:after="0" w:line="200" w:lineRule="exact"/>
        <w:rPr>
          <w:sz w:val="24"/>
          <w:szCs w:val="24"/>
          <w:color w:val="auto"/>
        </w:rPr>
      </w:pPr>
    </w:p>
    <w:p>
      <w:pPr>
        <w:spacing w:after="0" w:line="326" w:lineRule="exact"/>
        <w:rPr>
          <w:sz w:val="24"/>
          <w:szCs w:val="24"/>
          <w:color w:val="auto"/>
        </w:rPr>
      </w:pPr>
    </w:p>
    <w:p>
      <w:pPr>
        <w:jc w:val="both"/>
        <w:ind w:right="80"/>
        <w:spacing w:after="0" w:line="22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ind w:right="680"/>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ind w:right="60"/>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0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Arial" w:cs="Arial" w:eastAsia="Arial" w:hAnsi="Arial"/>
                <w:sz w:val="17"/>
                <w:szCs w:val="17"/>
                <w:color w:val="auto"/>
              </w:rPr>
              <w:t>Accelerated filer</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23"/>
        </w:trPr>
        <w:tc>
          <w:tcPr>
            <w:tcW w:w="200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Arial" w:cs="Arial" w:eastAsia="Arial" w:hAnsi="Arial"/>
                <w:sz w:val="17"/>
                <w:szCs w:val="17"/>
                <w:color w:val="auto"/>
              </w:rPr>
              <w:t>Smaller reporting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94"/>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80" w:type="dxa"/>
            <w:vAlign w:val="bottom"/>
          </w:tcPr>
          <w:p>
            <w:pPr>
              <w:ind w:left="3980"/>
              <w:spacing w:after="0"/>
              <w:rPr>
                <w:sz w:val="20"/>
                <w:szCs w:val="20"/>
                <w:color w:val="auto"/>
              </w:rPr>
            </w:pPr>
            <w:r>
              <w:rPr>
                <w:rFonts w:ascii="Arial" w:cs="Arial" w:eastAsia="Arial" w:hAnsi="Arial"/>
                <w:sz w:val="17"/>
                <w:szCs w:val="17"/>
                <w:color w:val="auto"/>
              </w:rPr>
              <w:t>Emerging growth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601"/>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80" w:type="dxa"/>
            <w:vAlign w:val="bottom"/>
          </w:tcPr>
          <w:p>
            <w:pPr>
              <w:jc w:val="right"/>
              <w:ind w:right="4693"/>
              <w:spacing w:after="0"/>
              <w:rPr>
                <w:sz w:val="20"/>
                <w:szCs w:val="20"/>
                <w:color w:val="auto"/>
              </w:rPr>
            </w:pPr>
            <w:r>
              <w:rPr>
                <w:rFonts w:ascii="Arial" w:cs="Arial" w:eastAsia="Arial" w:hAnsi="Arial"/>
                <w:sz w:val="17"/>
                <w:szCs w:val="17"/>
                <w:color w:val="auto"/>
              </w:rPr>
              <w:t>1</w:t>
            </w:r>
          </w:p>
        </w:tc>
        <w:tc>
          <w:tcPr>
            <w:tcW w:w="800" w:type="dxa"/>
            <w:vAlign w:val="bottom"/>
          </w:tcPr>
          <w:p>
            <w:pPr>
              <w:spacing w:after="0"/>
              <w:rPr>
                <w:sz w:val="24"/>
                <w:szCs w:val="24"/>
                <w:color w:val="auto"/>
              </w:rPr>
            </w:pPr>
          </w:p>
        </w:tc>
      </w:tr>
      <w:tr>
        <w:trPr>
          <w:trHeight w:val="112"/>
        </w:trPr>
        <w:tc>
          <w:tcPr>
            <w:tcW w:w="20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63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type w:val="continuous"/>
        </w:sectPr>
      </w:pPr>
    </w:p>
    <w:bookmarkStart w:id="1" w:name="page2"/>
    <w:bookmarkEnd w:id="1"/>
    <w:p>
      <w:pPr>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2" w:lineRule="exact"/>
        <w:rPr>
          <w:sz w:val="20"/>
          <w:szCs w:val="20"/>
          <w:color w:val="auto"/>
        </w:rPr>
      </w:pPr>
    </w:p>
    <w:p>
      <w:pPr>
        <w:spacing w:after="0" w:line="196" w:lineRule="exact"/>
        <w:tabs>
          <w:tab w:leader="none" w:pos="8100" w:val="left"/>
          <w:tab w:leader="none" w:pos="87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par value $0.01 per share, as of November 6, 2023, was 211,277,822.</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442"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1020" w:type="dxa"/>
            <w:vAlign w:val="bottom"/>
            <w:gridSpan w:val="21"/>
          </w:tcPr>
          <w:p>
            <w:pPr>
              <w:spacing w:after="0"/>
              <w:rPr>
                <w:sz w:val="20"/>
                <w:szCs w:val="20"/>
                <w:color w:val="auto"/>
              </w:rPr>
            </w:pPr>
            <w:r>
              <w:rPr>
                <w:rFonts w:ascii="Arial" w:cs="Arial" w:eastAsia="Arial" w:hAnsi="Arial"/>
                <w:sz w:val="17"/>
                <w:szCs w:val="17"/>
                <w:b w:val="1"/>
                <w:bCs w:val="1"/>
                <w:color w:val="0000FF"/>
              </w:rPr>
              <w:t>Table of Contents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6"/>
          </w:tcPr>
          <w:p>
            <w:pPr>
              <w:jc w:val="center"/>
              <w:ind w:right="4060"/>
              <w:spacing w:after="0"/>
              <w:rPr>
                <w:sz w:val="20"/>
                <w:szCs w:val="20"/>
                <w:color w:val="auto"/>
              </w:rPr>
            </w:pPr>
            <w:r>
              <w:rPr>
                <w:rFonts w:ascii="Arial" w:cs="Arial" w:eastAsia="Arial" w:hAnsi="Arial"/>
                <w:sz w:val="17"/>
                <w:szCs w:val="17"/>
                <w:b w:val="1"/>
                <w:bCs w:val="1"/>
                <w:color w:val="auto"/>
              </w:rPr>
              <w:t>EXTRA SPACE STORAGE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40" w:type="dxa"/>
            <w:vAlign w:val="bottom"/>
            <w:gridSpan w:val="5"/>
          </w:tcPr>
          <w:p>
            <w:pPr>
              <w:jc w:val="center"/>
              <w:ind w:right="436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000" w:type="dxa"/>
            <w:vAlign w:val="bottom"/>
            <w:gridSpan w:val="20"/>
          </w:tcPr>
          <w:p>
            <w:pPr>
              <w:spacing w:after="0"/>
              <w:rPr>
                <w:sz w:val="20"/>
                <w:szCs w:val="20"/>
                <w:color w:val="auto"/>
              </w:rPr>
            </w:pPr>
            <w:r>
              <w:rPr>
                <w:rFonts w:ascii="Arial" w:cs="Arial" w:eastAsia="Arial" w:hAnsi="Arial"/>
                <w:sz w:val="17"/>
                <w:szCs w:val="17"/>
                <w:b w:val="1"/>
                <w:bCs w:val="1"/>
                <w:color w:val="0000FF"/>
              </w:rPr>
              <w:t>STATEMENT ON FORWARD-LOOKING INFORMATION</w:t>
            </w:r>
          </w:p>
        </w:tc>
        <w:tc>
          <w:tcPr>
            <w:tcW w:w="160" w:type="dxa"/>
            <w:vAlign w:val="bottom"/>
            <w:gridSpan w:val="2"/>
          </w:tcPr>
          <w:p>
            <w:pPr>
              <w:jc w:val="right"/>
              <w:spacing w:after="0"/>
              <w:rPr>
                <w:sz w:val="20"/>
                <w:szCs w:val="20"/>
                <w:color w:val="auto"/>
              </w:rPr>
            </w:pPr>
            <w:r>
              <w:rPr>
                <w:rFonts w:ascii="Arial" w:cs="Arial" w:eastAsia="Arial" w:hAnsi="Arial"/>
                <w:sz w:val="17"/>
                <w:szCs w:val="17"/>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560" w:type="dxa"/>
            <w:vAlign w:val="bottom"/>
            <w:gridSpan w:val="15"/>
          </w:tcPr>
          <w:p>
            <w:pPr>
              <w:spacing w:after="0"/>
              <w:rPr>
                <w:sz w:val="20"/>
                <w:szCs w:val="20"/>
                <w:color w:val="auto"/>
              </w:rPr>
            </w:pPr>
            <w:r>
              <w:rPr>
                <w:rFonts w:ascii="Arial" w:cs="Arial" w:eastAsia="Arial" w:hAnsi="Arial"/>
                <w:sz w:val="17"/>
                <w:szCs w:val="17"/>
                <w:b w:val="1"/>
                <w:bCs w:val="1"/>
                <w:color w:val="0000FF"/>
              </w:rPr>
              <w:t>PART I. FINANCIAL INFORMATION</w:t>
            </w:r>
          </w:p>
        </w:tc>
        <w:tc>
          <w:tcPr>
            <w:tcW w:w="6440" w:type="dxa"/>
            <w:vAlign w:val="bottom"/>
            <w:gridSpan w:val="5"/>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sz w:val="20"/>
                <w:szCs w:val="20"/>
                <w:color w:val="auto"/>
              </w:rPr>
            </w:pPr>
            <w:r>
              <w:rPr>
                <w:rFonts w:ascii="Arial" w:cs="Arial" w:eastAsia="Arial" w:hAnsi="Arial"/>
                <w:sz w:val="17"/>
                <w:szCs w:val="17"/>
                <w:b w:val="1"/>
                <w:bCs w:val="1"/>
                <w:color w:val="0000FF"/>
              </w:rPr>
              <w:t>ITEM 1. FINANCIAL STATEMENTS (unaudited)</w:t>
            </w:r>
          </w:p>
        </w:tc>
        <w:tc>
          <w:tcPr>
            <w:tcW w:w="160" w:type="dxa"/>
            <w:vAlign w:val="bottom"/>
            <w:gridSpan w:val="2"/>
          </w:tcPr>
          <w:p>
            <w:pPr>
              <w:jc w:val="right"/>
              <w:spacing w:after="0"/>
              <w:rPr>
                <w:sz w:val="20"/>
                <w:szCs w:val="20"/>
                <w:color w:val="auto"/>
              </w:rPr>
            </w:pPr>
            <w:r>
              <w:rPr>
                <w:rFonts w:ascii="Arial" w:cs="Arial" w:eastAsia="Arial" w:hAnsi="Arial"/>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Arial" w:cs="Arial" w:eastAsia="Arial" w:hAnsi="Arial"/>
                <w:sz w:val="17"/>
                <w:szCs w:val="17"/>
                <w:b w:val="1"/>
                <w:bCs w:val="1"/>
                <w:color w:val="0000FF"/>
              </w:rPr>
              <w:t>NOTES TO CONDENSED CONSOLIDATED FINANCIAL STATEMENTS</w:t>
            </w:r>
          </w:p>
        </w:tc>
        <w:tc>
          <w:tcPr>
            <w:tcW w:w="160" w:type="dxa"/>
            <w:vAlign w:val="bottom"/>
            <w:gridSpan w:val="2"/>
          </w:tcPr>
          <w:p>
            <w:pPr>
              <w:jc w:val="right"/>
              <w:spacing w:after="0"/>
              <w:rPr>
                <w:sz w:val="20"/>
                <w:szCs w:val="20"/>
                <w:color w:val="auto"/>
              </w:rPr>
            </w:pPr>
            <w:r>
              <w:rPr>
                <w:rFonts w:ascii="Arial" w:cs="Arial" w:eastAsia="Arial" w:hAnsi="Arial"/>
                <w:sz w:val="17"/>
                <w:szCs w:val="17"/>
                <w:color w:val="0000FF"/>
                <w:w w:val="73"/>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Arial" w:cs="Arial" w:eastAsia="Arial" w:hAnsi="Arial"/>
                <w:sz w:val="17"/>
                <w:szCs w:val="17"/>
                <w:b w:val="1"/>
                <w:bCs w:val="1"/>
                <w:color w:val="0000FF"/>
              </w:rPr>
              <w:t>ITEM 2. MANAGEMENT’S DISCUSSION AND ANALYSIS OF FINANCIAL CONDITION AND RESULTS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1140" w:type="dxa"/>
            <w:vAlign w:val="bottom"/>
            <w:tcBorders>
              <w:top w:val="single" w:sz="8" w:color="0000FF"/>
              <w:bottom w:val="single" w:sz="8" w:color="0000FF"/>
            </w:tcBorders>
            <w:gridSpan w:val="4"/>
          </w:tcPr>
          <w:p>
            <w:pPr>
              <w:spacing w:after="0" w:line="176" w:lineRule="exact"/>
              <w:rPr>
                <w:sz w:val="20"/>
                <w:szCs w:val="20"/>
                <w:color w:val="auto"/>
              </w:rPr>
            </w:pPr>
            <w:r>
              <w:rPr>
                <w:rFonts w:ascii="Arial" w:cs="Arial" w:eastAsia="Arial" w:hAnsi="Arial"/>
                <w:sz w:val="17"/>
                <w:szCs w:val="17"/>
                <w:b w:val="1"/>
                <w:bCs w:val="1"/>
                <w:color w:val="0000FF"/>
                <w:w w:val="99"/>
              </w:rPr>
              <w:t>OPERATIONS</w:t>
            </w: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40" w:type="dxa"/>
            <w:vAlign w:val="bottom"/>
            <w:tcBorders>
              <w:top w:val="single" w:sz="8" w:color="0000FF"/>
              <w:bottom w:val="single" w:sz="8" w:color="0000FF"/>
            </w:tcBorders>
          </w:tcPr>
          <w:p>
            <w:pPr>
              <w:spacing w:after="0"/>
              <w:rPr>
                <w:sz w:val="16"/>
                <w:szCs w:val="16"/>
                <w:color w:val="auto"/>
              </w:rPr>
            </w:pPr>
          </w:p>
        </w:tc>
        <w:tc>
          <w:tcPr>
            <w:tcW w:w="500" w:type="dxa"/>
            <w:vAlign w:val="bottom"/>
            <w:tcBorders>
              <w:top w:val="single" w:sz="8" w:color="0000FF"/>
              <w:bottom w:val="single" w:sz="8" w:color="0000FF"/>
            </w:tcBorders>
          </w:tcPr>
          <w:p>
            <w:pPr>
              <w:spacing w:after="0"/>
              <w:rPr>
                <w:sz w:val="16"/>
                <w:szCs w:val="16"/>
                <w:color w:val="auto"/>
              </w:rPr>
            </w:pPr>
          </w:p>
        </w:tc>
        <w:tc>
          <w:tcPr>
            <w:tcW w:w="180" w:type="dxa"/>
            <w:vAlign w:val="bottom"/>
            <w:tcBorders>
              <w:top w:val="single" w:sz="8" w:color="0000FF"/>
              <w:bottom w:val="single" w:sz="8" w:color="0000FF"/>
            </w:tcBorders>
          </w:tcPr>
          <w:p>
            <w:pPr>
              <w:spacing w:after="0"/>
              <w:rPr>
                <w:sz w:val="16"/>
                <w:szCs w:val="16"/>
                <w:color w:val="auto"/>
              </w:rPr>
            </w:pPr>
          </w:p>
        </w:tc>
        <w:tc>
          <w:tcPr>
            <w:tcW w:w="600" w:type="dxa"/>
            <w:vAlign w:val="bottom"/>
            <w:tcBorders>
              <w:top w:val="single" w:sz="8" w:color="0000FF"/>
              <w:bottom w:val="single" w:sz="8" w:color="0000FF"/>
            </w:tcBorders>
            <w:gridSpan w:val="2"/>
          </w:tcPr>
          <w:p>
            <w:pPr>
              <w:spacing w:after="0"/>
              <w:rPr>
                <w:sz w:val="16"/>
                <w:szCs w:val="16"/>
                <w:color w:val="auto"/>
              </w:rPr>
            </w:pPr>
          </w:p>
        </w:tc>
        <w:tc>
          <w:tcPr>
            <w:tcW w:w="2940" w:type="dxa"/>
            <w:vAlign w:val="bottom"/>
            <w:tcBorders>
              <w:top w:val="single" w:sz="8" w:color="0000FF"/>
              <w:bottom w:val="single" w:sz="8" w:color="0000FF"/>
            </w:tcBorders>
            <w:gridSpan w:val="3"/>
          </w:tcPr>
          <w:p>
            <w:pPr>
              <w:spacing w:after="0"/>
              <w:rPr>
                <w:sz w:val="16"/>
                <w:szCs w:val="16"/>
                <w:color w:val="auto"/>
              </w:rPr>
            </w:pPr>
          </w:p>
        </w:tc>
        <w:tc>
          <w:tcPr>
            <w:tcW w:w="80" w:type="dxa"/>
            <w:vAlign w:val="bottom"/>
            <w:tcBorders>
              <w:top w:val="single" w:sz="8" w:color="0000FF"/>
              <w:bottom w:val="single" w:sz="8" w:color="0000FF"/>
            </w:tcBorders>
          </w:tcPr>
          <w:p>
            <w:pPr>
              <w:spacing w:after="0"/>
              <w:rPr>
                <w:sz w:val="16"/>
                <w:szCs w:val="16"/>
                <w:color w:val="auto"/>
              </w:rPr>
            </w:pPr>
          </w:p>
        </w:tc>
        <w:tc>
          <w:tcPr>
            <w:tcW w:w="1560" w:type="dxa"/>
            <w:vAlign w:val="bottom"/>
            <w:tcBorders>
              <w:top w:val="single" w:sz="8" w:color="0000FF"/>
              <w:bottom w:val="single" w:sz="8" w:color="0000FF"/>
            </w:tcBorders>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gridSpan w:val="2"/>
          </w:tcPr>
          <w:p>
            <w:pPr>
              <w:jc w:val="right"/>
              <w:spacing w:after="0" w:line="190" w:lineRule="exact"/>
              <w:rPr>
                <w:sz w:val="20"/>
                <w:szCs w:val="20"/>
                <w:color w:val="auto"/>
              </w:rPr>
            </w:pPr>
            <w:r>
              <w:rPr>
                <w:rFonts w:ascii="Arial" w:cs="Arial" w:eastAsia="Arial" w:hAnsi="Arial"/>
                <w:sz w:val="17"/>
                <w:szCs w:val="17"/>
                <w:color w:val="0000FF"/>
                <w:w w:val="73"/>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60" w:type="dxa"/>
            <w:vAlign w:val="bottom"/>
            <w:gridSpan w:val="17"/>
            <w:vMerge w:val="restart"/>
          </w:tcPr>
          <w:p>
            <w:pPr>
              <w:spacing w:after="0"/>
              <w:rPr>
                <w:sz w:val="20"/>
                <w:szCs w:val="20"/>
                <w:color w:val="auto"/>
              </w:rPr>
            </w:pPr>
            <w:r>
              <w:rPr>
                <w:rFonts w:ascii="Arial" w:cs="Arial" w:eastAsia="Arial" w:hAnsi="Arial"/>
                <w:sz w:val="17"/>
                <w:szCs w:val="17"/>
                <w:b w:val="1"/>
                <w:bCs w:val="1"/>
                <w:color w:val="0000FF"/>
              </w:rPr>
              <w:t>ITEM 3. QUANTITATIVE AND QUALITATIVE DISCLOSURES ABOUT MARKET RISK</w:t>
            </w:r>
          </w:p>
        </w:tc>
        <w:tc>
          <w:tcPr>
            <w:tcW w:w="372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60" w:type="dxa"/>
            <w:vAlign w:val="bottom"/>
            <w:tcBorders>
              <w:bottom w:val="single" w:sz="8" w:color="0000FF"/>
            </w:tcBorders>
            <w:gridSpan w:val="17"/>
            <w:vMerge w:val="continue"/>
          </w:tcPr>
          <w:p>
            <w:pPr>
              <w:spacing w:after="0"/>
              <w:rPr>
                <w:sz w:val="16"/>
                <w:szCs w:val="16"/>
                <w:color w:val="auto"/>
              </w:rPr>
            </w:pPr>
          </w:p>
        </w:tc>
        <w:tc>
          <w:tcPr>
            <w:tcW w:w="3720" w:type="dxa"/>
            <w:vAlign w:val="bottom"/>
            <w:gridSpan w:val="2"/>
            <w:vMerge w:val="continue"/>
          </w:tcPr>
          <w:p>
            <w:pPr>
              <w:spacing w:after="0"/>
              <w:rPr>
                <w:sz w:val="16"/>
                <w:szCs w:val="16"/>
                <w:color w:val="auto"/>
              </w:rPr>
            </w:pPr>
          </w:p>
        </w:tc>
        <w:tc>
          <w:tcPr>
            <w:tcW w:w="160" w:type="dxa"/>
            <w:vAlign w:val="bottom"/>
            <w:tcBorders>
              <w:bottom w:val="single" w:sz="8" w:color="0000FF"/>
            </w:tcBorders>
            <w:gridSpan w:val="2"/>
          </w:tcPr>
          <w:p>
            <w:pPr>
              <w:jc w:val="right"/>
              <w:spacing w:after="0" w:line="189" w:lineRule="exact"/>
              <w:rPr>
                <w:sz w:val="20"/>
                <w:szCs w:val="20"/>
                <w:color w:val="auto"/>
              </w:rPr>
            </w:pPr>
            <w:r>
              <w:rPr>
                <w:rFonts w:ascii="Arial" w:cs="Arial" w:eastAsia="Arial" w:hAnsi="Arial"/>
                <w:sz w:val="17"/>
                <w:szCs w:val="17"/>
                <w:color w:val="0000FF"/>
                <w:w w:val="73"/>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b w:val="1"/>
                <w:bCs w:val="1"/>
                <w:color w:val="0000FF"/>
              </w:rPr>
              <w:t>ITEM 4. CONTROLS AND PROCEDURES</w:t>
            </w:r>
          </w:p>
        </w:tc>
        <w:tc>
          <w:tcPr>
            <w:tcW w:w="7340" w:type="dxa"/>
            <w:vAlign w:val="bottom"/>
            <w:gridSpan w:val="8"/>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44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1000" w:type="dxa"/>
            <w:vAlign w:val="bottom"/>
            <w:gridSpan w:val="20"/>
          </w:tcPr>
          <w:p>
            <w:pPr>
              <w:spacing w:after="0"/>
              <w:rPr>
                <w:sz w:val="20"/>
                <w:szCs w:val="20"/>
                <w:color w:val="auto"/>
              </w:rPr>
            </w:pPr>
            <w:r>
              <w:rPr>
                <w:rFonts w:ascii="Arial" w:cs="Arial" w:eastAsia="Arial" w:hAnsi="Arial"/>
                <w:sz w:val="17"/>
                <w:szCs w:val="17"/>
                <w:b w:val="1"/>
                <w:bCs w:val="1"/>
                <w:color w:val="0000FF"/>
              </w:rPr>
              <w:t>PART II. OTHER INFORMATION</w:t>
            </w:r>
          </w:p>
        </w:tc>
        <w:tc>
          <w:tcPr>
            <w:tcW w:w="160" w:type="dxa"/>
            <w:vAlign w:val="bottom"/>
            <w:gridSpan w:val="2"/>
          </w:tcPr>
          <w:p>
            <w:pPr>
              <w:jc w:val="right"/>
              <w:spacing w:after="0"/>
              <w:rPr>
                <w:sz w:val="20"/>
                <w:szCs w:val="20"/>
                <w:color w:val="auto"/>
              </w:rPr>
            </w:pPr>
            <w:r>
              <w:rPr>
                <w:rFonts w:ascii="Arial" w:cs="Arial" w:eastAsia="Arial" w:hAnsi="Arial"/>
                <w:sz w:val="17"/>
                <w:szCs w:val="17"/>
                <w:color w:val="0000FF"/>
                <w:w w:val="73"/>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b w:val="1"/>
                <w:bCs w:val="1"/>
                <w:color w:val="0000FF"/>
              </w:rPr>
              <w:t>ITEM 1. LEGAL PROCEEDINGS</w:t>
            </w:r>
          </w:p>
        </w:tc>
        <w:tc>
          <w:tcPr>
            <w:tcW w:w="8060" w:type="dxa"/>
            <w:vAlign w:val="bottom"/>
            <w:gridSpan w:val="11"/>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b w:val="1"/>
                <w:bCs w:val="1"/>
                <w:color w:val="0000FF"/>
              </w:rPr>
              <w:t>ITEM 1A. RISK FACTORS</w:t>
            </w:r>
          </w:p>
        </w:tc>
        <w:tc>
          <w:tcPr>
            <w:tcW w:w="8580" w:type="dxa"/>
            <w:vAlign w:val="bottom"/>
            <w:gridSpan w:val="13"/>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sz w:val="20"/>
                <w:szCs w:val="20"/>
                <w:color w:val="auto"/>
              </w:rPr>
            </w:pPr>
            <w:r>
              <w:rPr>
                <w:rFonts w:ascii="Arial" w:cs="Arial" w:eastAsia="Arial" w:hAnsi="Arial"/>
                <w:sz w:val="17"/>
                <w:szCs w:val="17"/>
                <w:b w:val="1"/>
                <w:bCs w:val="1"/>
                <w:color w:val="0000FF"/>
              </w:rPr>
              <w:t>ITEM 2. UNREGISTERED SALES OF EQUITY SECURITIES AND USE OF PROCEEDS</w:t>
            </w:r>
          </w:p>
        </w:tc>
        <w:tc>
          <w:tcPr>
            <w:tcW w:w="160" w:type="dxa"/>
            <w:vAlign w:val="bottom"/>
            <w:gridSpan w:val="2"/>
          </w:tcPr>
          <w:p>
            <w:pPr>
              <w:jc w:val="right"/>
              <w:spacing w:after="0"/>
              <w:rPr>
                <w:sz w:val="20"/>
                <w:szCs w:val="20"/>
                <w:color w:val="auto"/>
              </w:rPr>
            </w:pPr>
            <w:r>
              <w:rPr>
                <w:rFonts w:ascii="Arial" w:cs="Arial" w:eastAsia="Arial" w:hAnsi="Arial"/>
                <w:sz w:val="17"/>
                <w:szCs w:val="17"/>
                <w:color w:val="0000FF"/>
                <w:w w:val="73"/>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80" w:type="dxa"/>
            <w:vAlign w:val="bottom"/>
            <w:tcBorders>
              <w:top w:val="single" w:sz="8" w:color="0000FF"/>
            </w:tcBorders>
            <w:gridSpan w:val="16"/>
          </w:tcPr>
          <w:p>
            <w:pPr>
              <w:spacing w:after="0"/>
              <w:rPr>
                <w:sz w:val="20"/>
                <w:szCs w:val="20"/>
                <w:color w:val="auto"/>
              </w:rPr>
            </w:pPr>
            <w:r>
              <w:rPr>
                <w:rFonts w:ascii="Arial" w:cs="Arial" w:eastAsia="Arial" w:hAnsi="Arial"/>
                <w:sz w:val="17"/>
                <w:szCs w:val="17"/>
                <w:b w:val="1"/>
                <w:bCs w:val="1"/>
                <w:color w:val="0000FF"/>
              </w:rPr>
              <w:t>ITEM 3. DEFAULTS UPON SENIOR SECURITIES</w:t>
            </w:r>
          </w:p>
        </w:tc>
        <w:tc>
          <w:tcPr>
            <w:tcW w:w="3800" w:type="dxa"/>
            <w:vAlign w:val="bottom"/>
            <w:gridSpan w:val="3"/>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40" w:type="dxa"/>
            <w:vAlign w:val="bottom"/>
            <w:tcBorders>
              <w:top w:val="single" w:sz="8" w:color="0000FF"/>
            </w:tcBorders>
            <w:gridSpan w:val="13"/>
          </w:tcPr>
          <w:p>
            <w:pPr>
              <w:spacing w:after="0"/>
              <w:rPr>
                <w:sz w:val="20"/>
                <w:szCs w:val="20"/>
                <w:color w:val="auto"/>
              </w:rPr>
            </w:pPr>
            <w:r>
              <w:rPr>
                <w:rFonts w:ascii="Arial" w:cs="Arial" w:eastAsia="Arial" w:hAnsi="Arial"/>
                <w:sz w:val="17"/>
                <w:szCs w:val="17"/>
                <w:b w:val="1"/>
                <w:bCs w:val="1"/>
                <w:color w:val="0000FF"/>
              </w:rPr>
              <w:t>ITEM 4. MINE SAFETY DISCLOSURES</w:t>
            </w:r>
          </w:p>
        </w:tc>
        <w:tc>
          <w:tcPr>
            <w:tcW w:w="6740" w:type="dxa"/>
            <w:vAlign w:val="bottom"/>
            <w:gridSpan w:val="6"/>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Borders>
              <w:top w:val="single" w:sz="8" w:color="0000FF"/>
            </w:tcBorders>
            <w:gridSpan w:val="10"/>
          </w:tcPr>
          <w:p>
            <w:pPr>
              <w:spacing w:after="0"/>
              <w:rPr>
                <w:sz w:val="20"/>
                <w:szCs w:val="20"/>
                <w:color w:val="auto"/>
              </w:rPr>
            </w:pPr>
            <w:r>
              <w:rPr>
                <w:rFonts w:ascii="Arial" w:cs="Arial" w:eastAsia="Arial" w:hAnsi="Arial"/>
                <w:sz w:val="17"/>
                <w:szCs w:val="17"/>
                <w:b w:val="1"/>
                <w:bCs w:val="1"/>
                <w:color w:val="0000FF"/>
              </w:rPr>
              <w:t>ITEM 5. OTHER INFORMATION</w:t>
            </w:r>
          </w:p>
        </w:tc>
        <w:tc>
          <w:tcPr>
            <w:tcW w:w="7520" w:type="dxa"/>
            <w:vAlign w:val="bottom"/>
            <w:gridSpan w:val="9"/>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Borders>
              <w:top w:val="single" w:sz="8" w:color="0000FF"/>
            </w:tcBorders>
            <w:gridSpan w:val="9"/>
          </w:tcPr>
          <w:p>
            <w:pPr>
              <w:spacing w:after="0"/>
              <w:rPr>
                <w:sz w:val="20"/>
                <w:szCs w:val="20"/>
                <w:color w:val="auto"/>
              </w:rPr>
            </w:pPr>
            <w:r>
              <w:rPr>
                <w:rFonts w:ascii="Arial" w:cs="Arial" w:eastAsia="Arial" w:hAnsi="Arial"/>
                <w:sz w:val="17"/>
                <w:szCs w:val="17"/>
                <w:b w:val="1"/>
                <w:bCs w:val="1"/>
                <w:color w:val="0000FF"/>
              </w:rPr>
              <w:t>ITEM 6. EXHIBITS</w:t>
            </w:r>
          </w:p>
        </w:tc>
        <w:tc>
          <w:tcPr>
            <w:tcW w:w="8020" w:type="dxa"/>
            <w:vAlign w:val="bottom"/>
            <w:gridSpan w:val="10"/>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0000FF"/>
            </w:tcBorders>
            <w:gridSpan w:val="4"/>
          </w:tcPr>
          <w:p>
            <w:pPr>
              <w:spacing w:after="0"/>
              <w:rPr>
                <w:sz w:val="20"/>
                <w:szCs w:val="20"/>
                <w:color w:val="auto"/>
              </w:rPr>
            </w:pPr>
            <w:r>
              <w:rPr>
                <w:rFonts w:ascii="Arial" w:cs="Arial" w:eastAsia="Arial" w:hAnsi="Arial"/>
                <w:sz w:val="17"/>
                <w:szCs w:val="17"/>
                <w:b w:val="1"/>
                <w:bCs w:val="1"/>
                <w:color w:val="0000FF"/>
              </w:rPr>
              <w:t>SIGNATURES</w:t>
            </w:r>
          </w:p>
        </w:tc>
        <w:tc>
          <w:tcPr>
            <w:tcW w:w="9160" w:type="dxa"/>
            <w:vAlign w:val="bottom"/>
            <w:gridSpan w:val="15"/>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STATEMENT ON FORWARD-LOOKING INFORMATION</w:t>
      </w:r>
    </w:p>
    <w:p>
      <w:pPr>
        <w:spacing w:after="0" w:line="256" w:lineRule="exact"/>
        <w:rPr>
          <w:sz w:val="20"/>
          <w:szCs w:val="20"/>
          <w:color w:val="auto"/>
        </w:rPr>
      </w:pPr>
    </w:p>
    <w:p>
      <w:pPr>
        <w:ind w:right="140" w:firstLine="433"/>
        <w:spacing w:after="0" w:line="283" w:lineRule="auto"/>
        <w:rPr>
          <w:sz w:val="20"/>
          <w:szCs w:val="20"/>
          <w:color w:val="auto"/>
        </w:rPr>
      </w:pPr>
      <w:r>
        <w:rPr>
          <w:rFonts w:ascii="Arial" w:cs="Arial" w:eastAsia="Arial" w:hAnsi="Arial"/>
          <w:sz w:val="16"/>
          <w:szCs w:val="16"/>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93" w:lineRule="exact"/>
        <w:rPr>
          <w:sz w:val="20"/>
          <w:szCs w:val="20"/>
          <w:color w:val="auto"/>
        </w:rPr>
      </w:pPr>
    </w:p>
    <w:p>
      <w:pPr>
        <w:ind w:right="60" w:firstLine="433"/>
        <w:spacing w:after="0" w:line="286" w:lineRule="auto"/>
        <w:rPr>
          <w:sz w:val="20"/>
          <w:szCs w:val="20"/>
          <w:color w:val="auto"/>
        </w:rPr>
      </w:pPr>
      <w:r>
        <w:rPr>
          <w:rFonts w:ascii="Arial" w:cs="Arial" w:eastAsia="Arial" w:hAnsi="Arial"/>
          <w:sz w:val="16"/>
          <w:szCs w:val="16"/>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89" w:lineRule="exact"/>
        <w:rPr>
          <w:sz w:val="20"/>
          <w:szCs w:val="20"/>
          <w:color w:val="auto"/>
        </w:rPr>
      </w:pPr>
    </w:p>
    <w:p>
      <w:pPr>
        <w:ind w:right="80" w:firstLine="433"/>
        <w:spacing w:after="0" w:line="298" w:lineRule="auto"/>
        <w:rPr>
          <w:sz w:val="20"/>
          <w:szCs w:val="20"/>
          <w:color w:val="auto"/>
        </w:rPr>
      </w:pPr>
      <w:r>
        <w:rPr>
          <w:rFonts w:ascii="Arial" w:cs="Arial" w:eastAsia="Arial" w:hAnsi="Arial"/>
          <w:sz w:val="16"/>
          <w:szCs w:val="16"/>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49" w:lineRule="exact"/>
        <w:rPr>
          <w:sz w:val="20"/>
          <w:szCs w:val="20"/>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changes in general economic conditions, the real estate industry and the markets in which we operate;</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realize the expected benefits of the recent acquisition of Life Storage, Inc. (“Life Storage”);</w:t>
      </w:r>
    </w:p>
    <w:p>
      <w:pPr>
        <w:spacing w:after="0" w:line="66" w:lineRule="exact"/>
        <w:rPr>
          <w:rFonts w:ascii="Arial" w:cs="Arial" w:eastAsia="Arial" w:hAnsi="Arial"/>
          <w:sz w:val="17"/>
          <w:szCs w:val="17"/>
          <w:color w:val="auto"/>
        </w:rPr>
      </w:pPr>
    </w:p>
    <w:p>
      <w:pPr>
        <w:ind w:left="560" w:right="300" w:hanging="319"/>
        <w:spacing w:after="0" w:line="289" w:lineRule="auto"/>
        <w:tabs>
          <w:tab w:leader="none" w:pos="55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that Life Storage’s business will not be fully integrated successfully or that such integration may be more difficult, time-consuming or costly than expected, including our ability to retain and hire key personnel;</w:t>
      </w:r>
    </w:p>
    <w:p>
      <w:pPr>
        <w:spacing w:after="0" w:line="1"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uncertainty of expected future financial performance and results of the combined company following completion of the Life Storage merger;</w:t>
      </w:r>
    </w:p>
    <w:p>
      <w:pPr>
        <w:spacing w:after="0" w:line="78" w:lineRule="exact"/>
        <w:rPr>
          <w:rFonts w:ascii="Arial" w:cs="Arial" w:eastAsia="Arial" w:hAnsi="Arial"/>
          <w:sz w:val="16"/>
          <w:szCs w:val="16"/>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close pending acquisitions and developments on expected terms, or at all;</w:t>
      </w:r>
    </w:p>
    <w:p>
      <w:pPr>
        <w:spacing w:after="0" w:line="53" w:lineRule="exact"/>
        <w:rPr>
          <w:rFonts w:ascii="Arial" w:cs="Arial" w:eastAsia="Arial" w:hAnsi="Arial"/>
          <w:sz w:val="17"/>
          <w:szCs w:val="17"/>
          <w:color w:val="auto"/>
        </w:rPr>
      </w:pPr>
    </w:p>
    <w:p>
      <w:pPr>
        <w:ind w:left="560" w:right="360" w:hanging="319"/>
        <w:spacing w:after="0" w:line="273" w:lineRule="auto"/>
        <w:tabs>
          <w:tab w:leader="none" w:pos="55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and existing stores or other storage alternatives, including increased or unanticipated competition for our or Life Storage’s properties, which could cause rents and occupancy rates to decline;</w:t>
      </w:r>
    </w:p>
    <w:p>
      <w:pPr>
        <w:spacing w:after="0" w:line="14"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liability for uninsured losses and environmental contamination;</w:t>
      </w:r>
    </w:p>
    <w:p>
      <w:pPr>
        <w:spacing w:after="0" w:line="66" w:lineRule="exact"/>
        <w:rPr>
          <w:rFonts w:ascii="Arial" w:cs="Arial" w:eastAsia="Arial" w:hAnsi="Arial"/>
          <w:sz w:val="17"/>
          <w:szCs w:val="17"/>
          <w:color w:val="auto"/>
        </w:rPr>
      </w:pPr>
    </w:p>
    <w:p>
      <w:pPr>
        <w:ind w:left="560" w:right="320" w:hanging="319"/>
        <w:spacing w:after="0" w:line="307"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Arial" w:cs="Arial" w:eastAsia="Arial" w:hAnsi="Arial"/>
          <w:sz w:val="16"/>
          <w:szCs w:val="16"/>
          <w:color w:val="auto"/>
        </w:rPr>
      </w:pPr>
    </w:p>
    <w:p>
      <w:pPr>
        <w:ind w:left="560" w:right="40" w:hanging="319"/>
        <w:spacing w:after="0" w:line="289" w:lineRule="auto"/>
        <w:tabs>
          <w:tab w:leader="none" w:pos="556"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disruptions in credit and financial markets and resulting difficulties in raising capital or obtaining credit at reasonable rates or at all, which could impede our ability to grow;</w:t>
      </w:r>
    </w:p>
    <w:p>
      <w:pPr>
        <w:spacing w:after="0" w:line="1" w:lineRule="exact"/>
        <w:rPr>
          <w:rFonts w:ascii="Arial" w:cs="Arial" w:eastAsia="Arial" w:hAnsi="Arial"/>
          <w:sz w:val="17"/>
          <w:szCs w:val="17"/>
          <w:color w:val="auto"/>
        </w:rPr>
      </w:pPr>
    </w:p>
    <w:p>
      <w:pPr>
        <w:ind w:left="560" w:right="220" w:hanging="319"/>
        <w:spacing w:after="0" w:line="273" w:lineRule="auto"/>
        <w:tabs>
          <w:tab w:leader="none" w:pos="556" w:val="left"/>
        </w:tabs>
        <w:numPr>
          <w:ilvl w:val="0"/>
          <w:numId w:val="3"/>
        </w:numPr>
        <w:rPr>
          <w:rFonts w:ascii="Arial" w:cs="Arial" w:eastAsia="Arial" w:hAnsi="Arial"/>
          <w:sz w:val="17"/>
          <w:szCs w:val="17"/>
          <w:color w:val="auto"/>
        </w:rPr>
      </w:pPr>
      <w:r>
        <w:rPr>
          <w:rFonts w:ascii="Arial" w:cs="Arial" w:eastAsia="Arial" w:hAnsi="Arial"/>
          <w:sz w:val="17"/>
          <w:szCs w:val="17"/>
          <w:color w:val="auto"/>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14" w:lineRule="exact"/>
        <w:rPr>
          <w:rFonts w:ascii="Arial" w:cs="Arial" w:eastAsia="Arial" w:hAnsi="Arial"/>
          <w:sz w:val="17"/>
          <w:szCs w:val="17"/>
          <w:color w:val="auto"/>
        </w:rPr>
      </w:pPr>
    </w:p>
    <w:p>
      <w:pPr>
        <w:ind w:left="560" w:hanging="319"/>
        <w:spacing w:after="0" w:line="289" w:lineRule="auto"/>
        <w:tabs>
          <w:tab w:leader="none" w:pos="55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1"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interest rates;</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reductions in asset valuations and related impairment charges;</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lack of sole decision-making authority with respect to our joint venture investments;</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recover losses under our insurance policies;</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recent or future changes to U.S. tax laws;</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failure to maintain our REIT status for U.S. federal income tax purposes; and</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economic uncertainty due to the impact of natural disasters, war or terrorism, which could adversely affect our business plan.</w:t>
      </w:r>
    </w:p>
    <w:p>
      <w:pPr>
        <w:spacing w:after="0" w:line="224" w:lineRule="exact"/>
        <w:rPr>
          <w:sz w:val="20"/>
          <w:szCs w:val="20"/>
          <w:color w:val="auto"/>
        </w:rPr>
      </w:pPr>
    </w:p>
    <w:p>
      <w:pPr>
        <w:ind w:right="320" w:firstLine="433"/>
        <w:spacing w:after="0" w:line="289" w:lineRule="auto"/>
        <w:rPr>
          <w:sz w:val="20"/>
          <w:szCs w:val="20"/>
          <w:color w:val="auto"/>
        </w:rPr>
      </w:pPr>
      <w:r>
        <w:rPr>
          <w:rFonts w:ascii="Arial" w:cs="Arial" w:eastAsia="Arial" w:hAnsi="Arial"/>
          <w:sz w:val="17"/>
          <w:szCs w:val="17"/>
          <w:color w:val="auto"/>
        </w:rPr>
        <w:t>The forward-looking statements are based on our beliefs, assumptions and expectations of our future performance, taking into account all information currently available to us. These beliefs, assumptions and expectations are subject to risks and</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ind w:right="20"/>
        <w:spacing w:after="0" w:line="273" w:lineRule="auto"/>
        <w:rPr>
          <w:sz w:val="20"/>
          <w:szCs w:val="20"/>
          <w:color w:val="auto"/>
        </w:rPr>
      </w:pPr>
      <w:r>
        <w:rPr>
          <w:rFonts w:ascii="Arial" w:cs="Arial" w:eastAsia="Arial" w:hAnsi="Arial"/>
          <w:sz w:val="17"/>
          <w:szCs w:val="17"/>
          <w:color w:val="auto"/>
        </w:rPr>
        <w:t>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98"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084"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7"/>
                <w:szCs w:val="17"/>
                <w:b w:val="1"/>
                <w:bCs w:val="1"/>
                <w:color w:val="auto"/>
              </w:rPr>
              <w:t>PART I.</w:t>
            </w:r>
          </w:p>
        </w:tc>
        <w:tc>
          <w:tcPr>
            <w:tcW w:w="7120" w:type="dxa"/>
            <w:vAlign w:val="bottom"/>
          </w:tcPr>
          <w:p>
            <w:pPr>
              <w:ind w:left="100"/>
              <w:spacing w:after="0"/>
              <w:rPr>
                <w:sz w:val="20"/>
                <w:szCs w:val="20"/>
                <w:color w:val="auto"/>
              </w:rPr>
            </w:pPr>
            <w:r>
              <w:rPr>
                <w:rFonts w:ascii="Arial" w:cs="Arial" w:eastAsia="Arial" w:hAnsi="Arial"/>
                <w:sz w:val="17"/>
                <w:szCs w:val="17"/>
                <w:b w:val="1"/>
                <w:bCs w:val="1"/>
                <w:color w:val="auto"/>
              </w:rPr>
              <w:t>FINANCIAL INFORMATION</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46"/>
        </w:trPr>
        <w:tc>
          <w:tcPr>
            <w:tcW w:w="74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7120" w:type="dxa"/>
            <w:vAlign w:val="bottom"/>
          </w:tcPr>
          <w:p>
            <w:pPr>
              <w:ind w:left="80"/>
              <w:spacing w:after="0"/>
              <w:rPr>
                <w:sz w:val="20"/>
                <w:szCs w:val="20"/>
                <w:color w:val="auto"/>
              </w:rPr>
            </w:pPr>
            <w:r>
              <w:rPr>
                <w:rFonts w:ascii="Arial" w:cs="Arial" w:eastAsia="Arial" w:hAnsi="Arial"/>
                <w:sz w:val="17"/>
                <w:szCs w:val="17"/>
                <w:b w:val="1"/>
                <w:b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28"/>
        </w:trPr>
        <w:tc>
          <w:tcPr>
            <w:tcW w:w="740" w:type="dxa"/>
            <w:vAlign w:val="bottom"/>
          </w:tcPr>
          <w:p>
            <w:pPr>
              <w:spacing w:after="0"/>
              <w:rPr>
                <w:sz w:val="24"/>
                <w:szCs w:val="24"/>
                <w:color w:val="auto"/>
              </w:rPr>
            </w:pPr>
          </w:p>
        </w:tc>
        <w:tc>
          <w:tcPr>
            <w:tcW w:w="7120" w:type="dxa"/>
            <w:vAlign w:val="bottom"/>
          </w:tcPr>
          <w:p>
            <w:pPr>
              <w:jc w:val="center"/>
              <w:ind w:left="2573"/>
              <w:spacing w:after="0"/>
              <w:rPr>
                <w:sz w:val="20"/>
                <w:szCs w:val="20"/>
                <w:color w:val="auto"/>
              </w:rPr>
            </w:pPr>
            <w:r>
              <w:rPr>
                <w:rFonts w:ascii="Arial" w:cs="Arial" w:eastAsia="Arial" w:hAnsi="Arial"/>
                <w:sz w:val="17"/>
                <w:szCs w:val="17"/>
                <w:b w:val="1"/>
                <w:bCs w:val="1"/>
                <w:color w:val="auto"/>
                <w:w w:val="93"/>
              </w:rPr>
              <w:t>Extra Space Storage Inc.</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7120" w:type="dxa"/>
            <w:vAlign w:val="bottom"/>
          </w:tcPr>
          <w:p>
            <w:pPr>
              <w:jc w:val="center"/>
              <w:ind w:left="2553"/>
              <w:spacing w:after="0"/>
              <w:rPr>
                <w:sz w:val="20"/>
                <w:szCs w:val="20"/>
                <w:color w:val="auto"/>
              </w:rPr>
            </w:pPr>
            <w:r>
              <w:rPr>
                <w:rFonts w:ascii="Arial" w:cs="Arial" w:eastAsia="Arial" w:hAnsi="Arial"/>
                <w:sz w:val="17"/>
                <w:szCs w:val="17"/>
                <w:b w:val="1"/>
                <w:bCs w:val="1"/>
                <w:color w:val="auto"/>
                <w:w w:val="89"/>
              </w:rPr>
              <w:t>Condensed Consolidated Balance Sheets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7120" w:type="dxa"/>
            <w:vAlign w:val="bottom"/>
          </w:tcPr>
          <w:p>
            <w:pPr>
              <w:jc w:val="center"/>
              <w:ind w:left="2553"/>
              <w:spacing w:after="0"/>
              <w:rPr>
                <w:sz w:val="20"/>
                <w:szCs w:val="20"/>
                <w:color w:val="auto"/>
              </w:rPr>
            </w:pPr>
            <w:r>
              <w:rPr>
                <w:rFonts w:ascii="Arial" w:cs="Arial" w:eastAsia="Arial" w:hAnsi="Arial"/>
                <w:sz w:val="17"/>
                <w:szCs w:val="17"/>
                <w:color w:val="auto"/>
                <w:w w:val="90"/>
              </w:rPr>
              <w:t>(amounts in thousands, except share data)</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0"/>
        </w:trPr>
        <w:tc>
          <w:tcPr>
            <w:tcW w:w="7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24"/>
                <w:szCs w:val="24"/>
                <w:color w:val="auto"/>
              </w:rPr>
            </w:pPr>
          </w:p>
        </w:tc>
        <w:tc>
          <w:tcPr>
            <w:tcW w:w="146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December 31, 2022</w:t>
            </w:r>
          </w:p>
        </w:tc>
      </w:tr>
      <w:tr>
        <w:trPr>
          <w:trHeight w:val="24"/>
        </w:trPr>
        <w:tc>
          <w:tcPr>
            <w:tcW w:w="7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7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232"/>
        </w:trPr>
        <w:tc>
          <w:tcPr>
            <w:tcW w:w="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7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Real estate assets, net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24,556,678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9,997,978</w:t>
            </w: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Real estate assets - operating lease right-of-use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221,725</w:t>
            </w: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Investments in unconsolidated real estate entities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1,077,548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582,412</w:t>
            </w: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Investments in debt securities and notes receivable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858,049</w:t>
            </w: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216,121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92,868</w:t>
            </w: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Other assets,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635,677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414,426</w:t>
            </w:r>
          </w:p>
        </w:tc>
      </w:tr>
      <w:tr>
        <w:trPr>
          <w:trHeight w:val="216"/>
        </w:trPr>
        <w:tc>
          <w:tcPr>
            <w:tcW w:w="74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27,625,818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12,167,458</w:t>
            </w: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9"/>
        </w:trPr>
        <w:tc>
          <w:tcPr>
            <w:tcW w:w="78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Liabilities, Noncontrolling Interests and Equity:</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Notes payable, net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1,276,555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1,288,555</w:t>
            </w: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Unsecured term loans,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3,247,076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2,340,116</w:t>
            </w: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Unsecured senior notes,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5,805,448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2,757,791</w:t>
            </w: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Revolving lines of credit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945,000</w:t>
            </w: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Operating lease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242,441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229,035</w:t>
            </w: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 distributions in unconsolidated real estate ventures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67,352</w:t>
            </w: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Accounts payable and accrued expenses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430,124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171,680</w:t>
            </w: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365,028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289,655</w:t>
            </w:r>
          </w:p>
        </w:tc>
      </w:tr>
      <w:tr>
        <w:trPr>
          <w:trHeight w:val="216"/>
        </w:trPr>
        <w:tc>
          <w:tcPr>
            <w:tcW w:w="74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liabilities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12,059,117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8,089,184</w:t>
            </w:r>
          </w:p>
        </w:tc>
      </w:tr>
      <w:tr>
        <w:trPr>
          <w:trHeight w:val="20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Noncontrolling Interests and Equity:</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Extra Space Storage Inc. stockholders'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7860" w:type="dxa"/>
            <w:vAlign w:val="bottom"/>
            <w:gridSpan w:val="2"/>
          </w:tcPr>
          <w:p>
            <w:pPr>
              <w:ind w:left="500"/>
              <w:spacing w:after="0"/>
              <w:rPr>
                <w:sz w:val="20"/>
                <w:szCs w:val="20"/>
                <w:color w:val="auto"/>
              </w:rPr>
            </w:pPr>
            <w:r>
              <w:rPr>
                <w:rFonts w:ascii="Arial" w:cs="Arial" w:eastAsia="Arial" w:hAnsi="Arial"/>
                <w:sz w:val="17"/>
                <w:szCs w:val="17"/>
                <w:color w:val="auto"/>
              </w:rPr>
              <w:t>Preferred stock, $0.01 par value, 50,000,000 shares authorized, no shares issued or outstanding</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71"/>
        </w:trPr>
        <w:tc>
          <w:tcPr>
            <w:tcW w:w="7860" w:type="dxa"/>
            <w:vAlign w:val="bottom"/>
            <w:gridSpan w:val="2"/>
            <w:shd w:val="clear" w:color="auto" w:fill="CCEEFF"/>
          </w:tcPr>
          <w:p>
            <w:pPr>
              <w:ind w:left="500"/>
              <w:spacing w:after="0" w:line="172" w:lineRule="exact"/>
              <w:rPr>
                <w:sz w:val="20"/>
                <w:szCs w:val="20"/>
                <w:color w:val="auto"/>
              </w:rPr>
            </w:pPr>
            <w:r>
              <w:rPr>
                <w:rFonts w:ascii="Arial" w:cs="Arial" w:eastAsia="Arial" w:hAnsi="Arial"/>
                <w:sz w:val="17"/>
                <w:szCs w:val="17"/>
                <w:color w:val="auto"/>
                <w:w w:val="94"/>
              </w:rPr>
              <w:t>Common stock, $0.01 par value, 500,000,000 shares authorized, 211,276,086 and 133,921,020 shares</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5"/>
        </w:trPr>
        <w:tc>
          <w:tcPr>
            <w:tcW w:w="78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issued and outstanding at September 30, 2023 and December 31, 2022, respectively</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14,742,973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3,345,332</w:t>
            </w: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48,798</w:t>
            </w:r>
          </w:p>
        </w:tc>
      </w:tr>
      <w:tr>
        <w:trPr>
          <w:trHeight w:val="223"/>
        </w:trPr>
        <w:tc>
          <w:tcPr>
            <w:tcW w:w="7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Accumulated deficit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(252,877)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(135,872)</w:t>
            </w:r>
          </w:p>
        </w:tc>
      </w:tr>
      <w:tr>
        <w:trPr>
          <w:trHeight w:val="216"/>
        </w:trPr>
        <w:tc>
          <w:tcPr>
            <w:tcW w:w="740" w:type="dxa"/>
            <w:vAlign w:val="bottom"/>
            <w:shd w:val="clear" w:color="auto" w:fill="CCEEFF"/>
          </w:tcPr>
          <w:p>
            <w:pPr>
              <w:spacing w:after="0"/>
              <w:rPr>
                <w:sz w:val="18"/>
                <w:szCs w:val="18"/>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Extra Space Storage Inc. stockholders' equity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14,537,121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3,259,597</w:t>
            </w: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Noncontrolling interest represented by Preferred Operating Partnership units,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222,939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261,502</w:t>
            </w: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Noncontrolling interests in Operating Partnership, net and other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806,641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557,175</w:t>
            </w:r>
          </w:p>
        </w:tc>
      </w:tr>
      <w:tr>
        <w:trPr>
          <w:trHeight w:val="216"/>
        </w:trPr>
        <w:tc>
          <w:tcPr>
            <w:tcW w:w="74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noncontrolling interests and equity</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15,566,701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4,078,274</w:t>
            </w:r>
          </w:p>
        </w:tc>
      </w:tr>
      <w:tr>
        <w:trPr>
          <w:trHeight w:val="241"/>
        </w:trPr>
        <w:tc>
          <w:tcPr>
            <w:tcW w:w="74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liabilities, noncontrolling interests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27,625,818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12,167,458</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66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For the Three Months Ended September</w:t>
            </w:r>
          </w:p>
        </w:tc>
        <w:tc>
          <w:tcPr>
            <w:tcW w:w="248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For the Nine Months Ended September</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4"/>
                <w:szCs w:val="14"/>
                <w:b w:val="1"/>
                <w:bCs w:val="1"/>
                <w:color w:val="auto"/>
                <w:w w:val="81"/>
              </w:rPr>
              <w:t>30,</w:t>
            </w: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81"/>
              </w:rPr>
              <w:t>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00" w:type="dxa"/>
            <w:vAlign w:val="bottom"/>
          </w:tcPr>
          <w:p>
            <w:pPr>
              <w:ind w:left="340"/>
              <w:spacing w:after="0"/>
              <w:rPr>
                <w:sz w:val="20"/>
                <w:szCs w:val="20"/>
                <w:color w:val="auto"/>
              </w:rPr>
            </w:pPr>
            <w:r>
              <w:rPr>
                <w:rFonts w:ascii="Arial" w:cs="Arial" w:eastAsia="Arial" w:hAnsi="Arial"/>
                <w:sz w:val="16"/>
                <w:szCs w:val="16"/>
                <w:color w:val="auto"/>
              </w:rPr>
              <w:t>Property rental</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650,887</w:t>
            </w:r>
          </w:p>
        </w:tc>
        <w:tc>
          <w:tcPr>
            <w:tcW w:w="38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428,787</w:t>
            </w:r>
          </w:p>
        </w:tc>
        <w:tc>
          <w:tcPr>
            <w:tcW w:w="16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1,525,596</w:t>
            </w:r>
          </w:p>
        </w:tc>
        <w:tc>
          <w:tcPr>
            <w:tcW w:w="380" w:type="dxa"/>
            <w:vAlign w:val="bottom"/>
            <w:gridSpan w:val="3"/>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1,216,639</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reinsurance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69,128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47,869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138,093</w:t>
            </w:r>
          </w:p>
        </w:tc>
        <w:tc>
          <w:tcPr>
            <w:tcW w:w="0" w:type="dxa"/>
            <w:vAlign w:val="bottom"/>
          </w:tcPr>
          <w:p>
            <w:pPr>
              <w:spacing w:after="0"/>
              <w:rPr>
                <w:sz w:val="1"/>
                <w:szCs w:val="1"/>
                <w:color w:val="auto"/>
              </w:rPr>
            </w:pPr>
          </w:p>
        </w:tc>
      </w:tr>
      <w:tr>
        <w:trPr>
          <w:trHeight w:val="207"/>
        </w:trPr>
        <w:tc>
          <w:tcPr>
            <w:tcW w:w="6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Management fees and other income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28,019</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22,246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71,609</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62,720</w:t>
            </w:r>
          </w:p>
        </w:tc>
        <w:tc>
          <w:tcPr>
            <w:tcW w:w="0" w:type="dxa"/>
            <w:vAlign w:val="bottom"/>
          </w:tcPr>
          <w:p>
            <w:pPr>
              <w:spacing w:after="0"/>
              <w:rPr>
                <w:sz w:val="1"/>
                <w:szCs w:val="1"/>
                <w:color w:val="auto"/>
              </w:rPr>
            </w:pPr>
          </w:p>
        </w:tc>
      </w:tr>
      <w:tr>
        <w:trPr>
          <w:trHeight w:val="206"/>
        </w:trPr>
        <w:tc>
          <w:tcPr>
            <w:tcW w:w="6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748,034</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498,902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1,762,470</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1,417,452</w:t>
            </w:r>
          </w:p>
        </w:tc>
        <w:tc>
          <w:tcPr>
            <w:tcW w:w="0" w:type="dxa"/>
            <w:vAlign w:val="bottom"/>
          </w:tcPr>
          <w:p>
            <w:pPr>
              <w:spacing w:after="0"/>
              <w:rPr>
                <w:sz w:val="1"/>
                <w:szCs w:val="1"/>
                <w:color w:val="auto"/>
              </w:rPr>
            </w:pPr>
          </w:p>
        </w:tc>
      </w:tr>
      <w:tr>
        <w:trPr>
          <w:trHeight w:val="187"/>
        </w:trPr>
        <w:tc>
          <w:tcPr>
            <w:tcW w:w="610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114,577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416,997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322,371</w:t>
            </w:r>
          </w:p>
        </w:tc>
        <w:tc>
          <w:tcPr>
            <w:tcW w:w="0" w:type="dxa"/>
            <w:vAlign w:val="bottom"/>
          </w:tcPr>
          <w:p>
            <w:pPr>
              <w:spacing w:after="0"/>
              <w:rPr>
                <w:sz w:val="1"/>
                <w:szCs w:val="1"/>
                <w:color w:val="auto"/>
              </w:rPr>
            </w:pPr>
          </w:p>
        </w:tc>
      </w:tr>
      <w:tr>
        <w:trPr>
          <w:trHeight w:val="207"/>
        </w:trPr>
        <w:tc>
          <w:tcPr>
            <w:tcW w:w="6100" w:type="dxa"/>
            <w:vAlign w:val="bottom"/>
          </w:tcPr>
          <w:p>
            <w:pPr>
              <w:ind w:left="340"/>
              <w:spacing w:after="0"/>
              <w:rPr>
                <w:sz w:val="20"/>
                <w:szCs w:val="20"/>
                <w:color w:val="auto"/>
              </w:rPr>
            </w:pPr>
            <w:r>
              <w:rPr>
                <w:rFonts w:ascii="Arial" w:cs="Arial" w:eastAsia="Arial" w:hAnsi="Arial"/>
                <w:sz w:val="16"/>
                <w:szCs w:val="16"/>
                <w:color w:val="auto"/>
              </w:rPr>
              <w:t>Tenant reinsurance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19,130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10,770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37,701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25,349</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0" w:type="dxa"/>
            <w:vAlign w:val="bottom"/>
          </w:tcPr>
          <w:p>
            <w:pPr>
              <w:spacing w:after="0"/>
              <w:rPr>
                <w:sz w:val="1"/>
                <w:szCs w:val="1"/>
                <w:color w:val="auto"/>
              </w:rPr>
            </w:pPr>
          </w:p>
        </w:tc>
      </w:tr>
      <w:tr>
        <w:trPr>
          <w:trHeight w:val="207"/>
        </w:trPr>
        <w:tc>
          <w:tcPr>
            <w:tcW w:w="6100" w:type="dxa"/>
            <w:vAlign w:val="bottom"/>
          </w:tcPr>
          <w:p>
            <w:pPr>
              <w:ind w:left="340"/>
              <w:spacing w:after="0"/>
              <w:rPr>
                <w:sz w:val="20"/>
                <w:szCs w:val="20"/>
                <w:color w:val="auto"/>
              </w:rPr>
            </w:pPr>
            <w:r>
              <w:rPr>
                <w:rFonts w:ascii="Arial" w:cs="Arial" w:eastAsia="Arial" w:hAnsi="Arial"/>
                <w:sz w:val="16"/>
                <w:szCs w:val="16"/>
                <w:color w:val="auto"/>
              </w:rPr>
              <w:t>Life Storage Merger transition costs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54,174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54,174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32,275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93,288</w:t>
            </w:r>
          </w:p>
        </w:tc>
        <w:tc>
          <w:tcPr>
            <w:tcW w:w="0" w:type="dxa"/>
            <w:vAlign w:val="bottom"/>
          </w:tcPr>
          <w:p>
            <w:pPr>
              <w:spacing w:after="0"/>
              <w:rPr>
                <w:sz w:val="1"/>
                <w:szCs w:val="1"/>
                <w:color w:val="auto"/>
              </w:rPr>
            </w:pPr>
          </w:p>
        </w:tc>
      </w:tr>
      <w:tr>
        <w:trPr>
          <w:trHeight w:val="207"/>
        </w:trPr>
        <w:tc>
          <w:tcPr>
            <w:tcW w:w="6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152,338</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71,423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309,914</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208,396</w:t>
            </w:r>
          </w:p>
        </w:tc>
        <w:tc>
          <w:tcPr>
            <w:tcW w:w="0" w:type="dxa"/>
            <w:vAlign w:val="bottom"/>
          </w:tcPr>
          <w:p>
            <w:pPr>
              <w:spacing w:after="0"/>
              <w:rPr>
                <w:sz w:val="1"/>
                <w:szCs w:val="1"/>
                <w:color w:val="auto"/>
              </w:rPr>
            </w:pPr>
          </w:p>
        </w:tc>
      </w:tr>
      <w:tr>
        <w:trPr>
          <w:trHeight w:val="206"/>
        </w:trPr>
        <w:tc>
          <w:tcPr>
            <w:tcW w:w="6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448,242</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229,045</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925,797</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650,869</w:t>
            </w:r>
          </w:p>
        </w:tc>
        <w:tc>
          <w:tcPr>
            <w:tcW w:w="0" w:type="dxa"/>
            <w:vAlign w:val="bottom"/>
          </w:tcPr>
          <w:p>
            <w:pPr>
              <w:spacing w:after="0"/>
              <w:rPr>
                <w:sz w:val="1"/>
                <w:szCs w:val="1"/>
                <w:color w:val="auto"/>
              </w:rPr>
            </w:pPr>
          </w:p>
        </w:tc>
      </w:tr>
      <w:tr>
        <w:trPr>
          <w:trHeight w:val="200"/>
        </w:trPr>
        <w:tc>
          <w:tcPr>
            <w:tcW w:w="6100" w:type="dxa"/>
            <w:vAlign w:val="bottom"/>
          </w:tcPr>
          <w:p>
            <w:pPr>
              <w:ind w:left="20"/>
              <w:spacing w:after="0"/>
              <w:rPr>
                <w:sz w:val="20"/>
                <w:szCs w:val="20"/>
                <w:color w:val="auto"/>
              </w:rPr>
            </w:pPr>
            <w:r>
              <w:rPr>
                <w:rFonts w:ascii="Arial" w:cs="Arial" w:eastAsia="Arial" w:hAnsi="Arial"/>
                <w:sz w:val="16"/>
                <w:szCs w:val="16"/>
                <w:color w:val="auto"/>
              </w:rPr>
              <w:t>Gain on real estate transactions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14,249</w:t>
            </w:r>
          </w:p>
        </w:tc>
        <w:tc>
          <w:tcPr>
            <w:tcW w:w="0" w:type="dxa"/>
            <w:vAlign w:val="bottom"/>
          </w:tcPr>
          <w:p>
            <w:pPr>
              <w:spacing w:after="0"/>
              <w:rPr>
                <w:sz w:val="1"/>
                <w:szCs w:val="1"/>
                <w:color w:val="auto"/>
              </w:rPr>
            </w:pPr>
          </w:p>
        </w:tc>
      </w:tr>
      <w:tr>
        <w:trPr>
          <w:trHeight w:val="206"/>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299,792</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269,857</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836,673</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780,832</w:t>
            </w: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(122,899)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(56,245)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(289,370)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(146,249)</w:t>
            </w:r>
          </w:p>
        </w:tc>
        <w:tc>
          <w:tcPr>
            <w:tcW w:w="0" w:type="dxa"/>
            <w:vAlign w:val="bottom"/>
          </w:tcPr>
          <w:p>
            <w:pPr>
              <w:spacing w:after="0"/>
              <w:rPr>
                <w:sz w:val="1"/>
                <w:szCs w:val="1"/>
                <w:color w:val="auto"/>
              </w:rPr>
            </w:pPr>
          </w:p>
        </w:tc>
      </w:tr>
      <w:tr>
        <w:trPr>
          <w:trHeight w:val="164"/>
        </w:trPr>
        <w:tc>
          <w:tcPr>
            <w:tcW w:w="6100" w:type="dxa"/>
            <w:vAlign w:val="bottom"/>
            <w:shd w:val="clear" w:color="auto" w:fill="CCEEFF"/>
          </w:tcPr>
          <w:p>
            <w:pPr>
              <w:ind w:left="20"/>
              <w:spacing w:after="0" w:line="164" w:lineRule="exact"/>
              <w:rPr>
                <w:sz w:val="20"/>
                <w:szCs w:val="20"/>
                <w:color w:val="auto"/>
              </w:rPr>
            </w:pPr>
            <w:r>
              <w:rPr>
                <w:rFonts w:ascii="Arial" w:cs="Arial" w:eastAsia="Arial" w:hAnsi="Arial"/>
                <w:sz w:val="16"/>
                <w:szCs w:val="16"/>
                <w:color w:val="auto"/>
                <w:w w:val="89"/>
              </w:rPr>
              <w:t>Non-cash interest expense related to amortization of discount on Life Storage unsecured senior</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(8,228)</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(8,228)</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22,092</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18,125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62,607</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52,174</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w w:val="90"/>
              </w:rPr>
              <w:t>Income before equity in earnings and dividend income from unconsolidated real estate entities</w:t>
            </w: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190,757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231,737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601,682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686,757</w:t>
            </w: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income tax expense</w:t>
            </w:r>
          </w:p>
        </w:tc>
        <w:tc>
          <w:tcPr>
            <w:tcW w:w="2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15,043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11,149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38,602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30,436</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200"/>
        </w:trPr>
        <w:tc>
          <w:tcPr>
            <w:tcW w:w="6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198,856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236,126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623,046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701,677</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allocated to Preferred Operating Partnership noncontrolling interests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(13,278)</w:t>
            </w:r>
          </w:p>
        </w:tc>
        <w:tc>
          <w:tcPr>
            <w:tcW w:w="0" w:type="dxa"/>
            <w:vAlign w:val="bottom"/>
          </w:tcPr>
          <w:p>
            <w:pPr>
              <w:spacing w:after="0"/>
              <w:rPr>
                <w:sz w:val="1"/>
                <w:szCs w:val="1"/>
                <w:color w:val="auto"/>
              </w:rPr>
            </w:pPr>
          </w:p>
        </w:tc>
      </w:tr>
      <w:tr>
        <w:trPr>
          <w:trHeight w:val="207"/>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allocated to Operating Partnership and other noncontrolling interests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(8,253)</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(29,221)</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(31,971)</w:t>
            </w:r>
          </w:p>
        </w:tc>
        <w:tc>
          <w:tcPr>
            <w:tcW w:w="0" w:type="dxa"/>
            <w:vAlign w:val="bottom"/>
          </w:tcPr>
          <w:p>
            <w:pPr>
              <w:spacing w:after="0"/>
              <w:rPr>
                <w:sz w:val="1"/>
                <w:szCs w:val="1"/>
                <w:color w:val="auto"/>
              </w:rPr>
            </w:pPr>
          </w:p>
        </w:tc>
      </w:tr>
      <w:tr>
        <w:trPr>
          <w:trHeight w:val="22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188,350</w:t>
            </w:r>
          </w:p>
        </w:tc>
        <w:tc>
          <w:tcPr>
            <w:tcW w:w="3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220,719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587,064</w:t>
            </w:r>
          </w:p>
        </w:tc>
        <w:tc>
          <w:tcPr>
            <w:tcW w:w="380" w:type="dxa"/>
            <w:vAlign w:val="bottom"/>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656,428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1.65</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3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100" w:type="dxa"/>
            <w:vAlign w:val="bottom"/>
            <w:vMerge w:val="continue"/>
          </w:tcPr>
          <w:p>
            <w:pPr>
              <w:spacing w:after="0"/>
              <w:rPr>
                <w:sz w:val="15"/>
                <w:szCs w:val="15"/>
                <w:color w:val="auto"/>
              </w:rPr>
            </w:pPr>
          </w:p>
        </w:tc>
        <w:tc>
          <w:tcPr>
            <w:tcW w:w="200" w:type="dxa"/>
            <w:vAlign w:val="bottom"/>
          </w:tcPr>
          <w:p>
            <w:pPr>
              <w:ind w:left="20"/>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0.96</w:t>
            </w:r>
          </w:p>
        </w:tc>
        <w:tc>
          <w:tcPr>
            <w:tcW w:w="380" w:type="dxa"/>
            <w:vAlign w:val="bottom"/>
            <w:gridSpan w:val="2"/>
          </w:tcPr>
          <w:p>
            <w:pPr>
              <w:jc w:val="right"/>
              <w:ind w:right="4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line="182" w:lineRule="exact"/>
              <w:rPr>
                <w:sz w:val="20"/>
                <w:szCs w:val="20"/>
                <w:color w:val="auto"/>
              </w:rPr>
            </w:pPr>
            <w:r>
              <w:rPr>
                <w:rFonts w:ascii="Arial" w:cs="Arial" w:eastAsia="Arial" w:hAnsi="Arial"/>
                <w:sz w:val="16"/>
                <w:szCs w:val="16"/>
                <w:color w:val="auto"/>
              </w:rPr>
              <w:t>1.65</w:t>
            </w:r>
          </w:p>
        </w:tc>
        <w:tc>
          <w:tcPr>
            <w:tcW w:w="160" w:type="dxa"/>
            <w:vAlign w:val="bottom"/>
          </w:tcPr>
          <w:p>
            <w:pPr>
              <w:spacing w:after="0"/>
              <w:rPr>
                <w:sz w:val="15"/>
                <w:szCs w:val="15"/>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2" w:lineRule="exact"/>
              <w:rPr>
                <w:sz w:val="20"/>
                <w:szCs w:val="20"/>
                <w:color w:val="auto"/>
              </w:rPr>
            </w:pPr>
            <w:r>
              <w:rPr>
                <w:rFonts w:ascii="Arial" w:cs="Arial" w:eastAsia="Arial" w:hAnsi="Arial"/>
                <w:sz w:val="16"/>
                <w:szCs w:val="16"/>
                <w:color w:val="auto"/>
              </w:rPr>
              <w:t>3.78</w:t>
            </w:r>
          </w:p>
        </w:tc>
        <w:tc>
          <w:tcPr>
            <w:tcW w:w="380" w:type="dxa"/>
            <w:vAlign w:val="bottom"/>
            <w:gridSpan w:val="3"/>
          </w:tcPr>
          <w:p>
            <w:pPr>
              <w:jc w:val="right"/>
              <w:ind w:right="2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10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Weighted average number of shares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00" w:type="dxa"/>
            <w:vAlign w:val="bottom"/>
          </w:tcPr>
          <w:p>
            <w:pPr>
              <w:ind w:left="3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195,324,444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w w:val="96"/>
              </w:rPr>
              <w:t>133,913,652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155,112,071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134,094,490</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195,328,020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141,504,215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155,116,149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141,567,845</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Cash dividends paid per common share</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1.62</w:t>
            </w:r>
          </w:p>
        </w:tc>
        <w:tc>
          <w:tcPr>
            <w:tcW w:w="38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1.50</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4.86</w:t>
            </w:r>
          </w:p>
        </w:tc>
        <w:tc>
          <w:tcPr>
            <w:tcW w:w="380" w:type="dxa"/>
            <w:vAlign w:val="bottom"/>
            <w:gridSpan w:val="3"/>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For the Three Months Ended September</w:t>
            </w:r>
          </w:p>
        </w:tc>
        <w:tc>
          <w:tcPr>
            <w:tcW w:w="250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For the Nine Months Ended September</w:t>
            </w:r>
          </w:p>
        </w:tc>
      </w:tr>
      <w:tr>
        <w:trPr>
          <w:trHeight w:val="188"/>
        </w:trPr>
        <w:tc>
          <w:tcPr>
            <w:tcW w:w="6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1"/>
              </w:rPr>
              <w:t>30,</w:t>
            </w: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1"/>
              </w:rPr>
              <w:t>30,</w:t>
            </w:r>
          </w:p>
        </w:tc>
        <w:tc>
          <w:tcPr>
            <w:tcW w:w="880" w:type="dxa"/>
            <w:vAlign w:val="bottom"/>
            <w:tcBorders>
              <w:bottom w:val="single" w:sz="8" w:color="auto"/>
            </w:tcBorders>
          </w:tcPr>
          <w:p>
            <w:pPr>
              <w:spacing w:after="0"/>
              <w:rPr>
                <w:sz w:val="16"/>
                <w:szCs w:val="16"/>
                <w:color w:val="auto"/>
              </w:rPr>
            </w:pPr>
          </w:p>
        </w:tc>
      </w:tr>
      <w:tr>
        <w:trPr>
          <w:trHeight w:val="188"/>
        </w:trPr>
        <w:tc>
          <w:tcPr>
            <w:tcW w:w="6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198,856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236,126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623,046</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701,677</w:t>
            </w:r>
          </w:p>
        </w:tc>
      </w:tr>
      <w:tr>
        <w:trPr>
          <w:trHeight w:val="207"/>
        </w:trPr>
        <w:tc>
          <w:tcPr>
            <w:tcW w:w="60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3"/>
        </w:trPr>
        <w:tc>
          <w:tcPr>
            <w:tcW w:w="6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 in fair value of interest rate swaps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24,222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95,984</w:t>
            </w:r>
          </w:p>
        </w:tc>
      </w:tr>
      <w:tr>
        <w:trPr>
          <w:trHeight w:val="200"/>
        </w:trPr>
        <w:tc>
          <w:tcPr>
            <w:tcW w:w="600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196,592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260,348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618,871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797,661</w:t>
            </w:r>
          </w:p>
        </w:tc>
      </w:tr>
      <w:tr>
        <w:trPr>
          <w:trHeight w:val="210"/>
        </w:trPr>
        <w:tc>
          <w:tcPr>
            <w:tcW w:w="6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10,395</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16,663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50,166</w:t>
            </w:r>
          </w:p>
        </w:tc>
      </w:tr>
      <w:tr>
        <w:trPr>
          <w:trHeight w:val="206"/>
        </w:trPr>
        <w:tc>
          <w:tcPr>
            <w:tcW w:w="6000" w:type="dxa"/>
            <w:vAlign w:val="bottom"/>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186,197</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243,685</w:t>
            </w:r>
          </w:p>
        </w:tc>
        <w:tc>
          <w:tcPr>
            <w:tcW w:w="16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583,178</w:t>
            </w:r>
          </w:p>
        </w:tc>
        <w:tc>
          <w:tcPr>
            <w:tcW w:w="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747,495</w:t>
            </w:r>
          </w:p>
        </w:tc>
      </w:tr>
      <w:tr>
        <w:trPr>
          <w:trHeight w:val="20"/>
        </w:trPr>
        <w:tc>
          <w:tcPr>
            <w:tcW w:w="6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 of Noncontrolling Interests and Equity</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 the three and nine months ended September 30, 2023</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(unaudited, amounts in thousands, except share data)</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7"/>
          </w:tcPr>
          <w:p>
            <w:pPr>
              <w:ind w:left="240"/>
              <w:spacing w:after="0"/>
              <w:rPr>
                <w:sz w:val="20"/>
                <w:szCs w:val="20"/>
                <w:color w:val="auto"/>
              </w:rPr>
            </w:pPr>
            <w:r>
              <w:rPr>
                <w:rFonts w:ascii="Arial" w:cs="Arial" w:eastAsia="Arial" w:hAnsi="Arial"/>
                <w:sz w:val="14"/>
                <w:szCs w:val="14"/>
                <w:b w:val="1"/>
                <w:bCs w:val="1"/>
                <w:color w:val="auto"/>
              </w:rPr>
              <w:t>Noncontrolling Interest</w:t>
            </w:r>
          </w:p>
        </w:tc>
        <w:tc>
          <w:tcPr>
            <w:tcW w:w="3600" w:type="dxa"/>
            <w:vAlign w:val="bottom"/>
            <w:gridSpan w:val="11"/>
          </w:tcPr>
          <w:p>
            <w:pPr>
              <w:ind w:left="840"/>
              <w:spacing w:after="0"/>
              <w:rPr>
                <w:sz w:val="20"/>
                <w:szCs w:val="20"/>
                <w:color w:val="auto"/>
              </w:rPr>
            </w:pPr>
            <w:r>
              <w:rPr>
                <w:rFonts w:ascii="Arial" w:cs="Arial" w:eastAsia="Arial" w:hAnsi="Arial"/>
                <w:sz w:val="14"/>
                <w:szCs w:val="14"/>
                <w:b w:val="1"/>
                <w:bCs w:val="1"/>
                <w:color w:val="auto"/>
                <w:w w:val="89"/>
              </w:rPr>
              <w:t>Extra Space Storage Inc. Stockholders' Equity</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060" w:type="dxa"/>
            <w:vAlign w:val="bottom"/>
            <w:gridSpan w:val="4"/>
          </w:tcPr>
          <w:p>
            <w:pPr>
              <w:jc w:val="center"/>
              <w:ind w:right="100"/>
              <w:spacing w:after="0" w:line="128"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Accumulated</w:t>
            </w: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80"/>
              <w:spacing w:after="0" w:line="145" w:lineRule="exact"/>
              <w:rPr>
                <w:sz w:val="20"/>
                <w:szCs w:val="20"/>
                <w:color w:val="auto"/>
              </w:rPr>
            </w:pPr>
            <w:r>
              <w:rPr>
                <w:rFonts w:ascii="Arial" w:cs="Arial" w:eastAsia="Arial" w:hAnsi="Arial"/>
                <w:sz w:val="14"/>
                <w:szCs w:val="14"/>
                <w:b w:val="1"/>
                <w:bCs w:val="1"/>
                <w:color w:val="auto"/>
              </w:rPr>
              <w:t>Operating</w:t>
            </w:r>
          </w:p>
        </w:tc>
        <w:tc>
          <w:tcPr>
            <w:tcW w:w="840" w:type="dxa"/>
            <w:vAlign w:val="bottom"/>
            <w:gridSpan w:val="3"/>
            <w:vMerge w:val="continue"/>
          </w:tcPr>
          <w:p>
            <w:pPr>
              <w:spacing w:after="0"/>
              <w:rPr>
                <w:sz w:val="12"/>
                <w:szCs w:val="12"/>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4"/>
          </w:tcPr>
          <w:p>
            <w:pPr>
              <w:ind w:left="20"/>
              <w:spacing w:after="0" w:line="145" w:lineRule="exact"/>
              <w:rPr>
                <w:sz w:val="20"/>
                <w:szCs w:val="20"/>
                <w:color w:val="auto"/>
              </w:rPr>
            </w:pPr>
            <w:r>
              <w:rPr>
                <w:rFonts w:ascii="Arial" w:cs="Arial" w:eastAsia="Arial" w:hAnsi="Arial"/>
                <w:sz w:val="14"/>
                <w:szCs w:val="14"/>
                <w:b w:val="1"/>
                <w:bCs w:val="1"/>
                <w:color w:val="auto"/>
                <w:w w:val="97"/>
              </w:rPr>
              <w:t>Comprehensive</w:t>
            </w:r>
          </w:p>
        </w:tc>
        <w:tc>
          <w:tcPr>
            <w:tcW w:w="900" w:type="dxa"/>
            <w:vAlign w:val="bottom"/>
            <w:gridSpan w:val="3"/>
            <w:vMerge w:val="continue"/>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Interests and</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Partnership</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6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8"/>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2023</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222,940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553,610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$3,079</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135,058,897</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3,383,303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47,065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(175,941)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4,035,407</w:t>
            </w:r>
          </w:p>
        </w:tc>
        <w:tc>
          <w:tcPr>
            <w:tcW w:w="0" w:type="dxa"/>
            <w:vAlign w:val="bottom"/>
          </w:tcPr>
          <w:p>
            <w:pPr>
              <w:spacing w:after="0"/>
              <w:rPr>
                <w:sz w:val="1"/>
                <w:szCs w:val="1"/>
                <w:color w:val="auto"/>
              </w:rPr>
            </w:pP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w w:val="91"/>
              </w:rPr>
              <w:t>Issuance of common stock in connection with share</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1,253</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6,994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6,994</w:t>
            </w:r>
          </w:p>
        </w:tc>
        <w:tc>
          <w:tcPr>
            <w:tcW w:w="0" w:type="dxa"/>
            <w:vAlign w:val="bottom"/>
          </w:tcPr>
          <w:p>
            <w:pPr>
              <w:spacing w:after="0"/>
              <w:rPr>
                <w:sz w:val="1"/>
                <w:szCs w:val="1"/>
                <w:color w:val="auto"/>
              </w:rPr>
            </w:pP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40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Taxes paid upon net settlement of share based</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(3,128)</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40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w w:val="91"/>
              </w:rPr>
              <w:t>Life Storage Merger issuance of common stock and</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3"/>
              </w:rPr>
              <w:t>249,470</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76,217,359</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w w:val="87"/>
              </w:rPr>
              <w:t>11,352,576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w w:val="89"/>
              </w:rPr>
              <w:t>11,602,808</w:t>
            </w:r>
          </w:p>
        </w:tc>
        <w:tc>
          <w:tcPr>
            <w:tcW w:w="0" w:type="dxa"/>
            <w:vAlign w:val="bottom"/>
          </w:tcPr>
          <w:p>
            <w:pPr>
              <w:spacing w:after="0"/>
              <w:rPr>
                <w:sz w:val="1"/>
                <w:szCs w:val="1"/>
                <w:color w:val="auto"/>
              </w:rPr>
            </w:pP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Operating Partnership units</w:t>
            </w: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40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Noncontrolling interest in consolidated joint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5,209</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5,209</w:t>
            </w:r>
          </w:p>
        </w:tc>
        <w:tc>
          <w:tcPr>
            <w:tcW w:w="0" w:type="dxa"/>
            <w:vAlign w:val="bottom"/>
          </w:tcPr>
          <w:p>
            <w:pPr>
              <w:spacing w:after="0"/>
              <w:rPr>
                <w:sz w:val="1"/>
                <w:szCs w:val="1"/>
                <w:color w:val="auto"/>
              </w:rPr>
            </w:pPr>
          </w:p>
        </w:tc>
      </w:tr>
      <w:tr>
        <w:trPr>
          <w:trHeight w:val="20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ventures</w:t>
            </w: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8,284</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188,350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198,856</w:t>
            </w:r>
          </w:p>
        </w:tc>
        <w:tc>
          <w:tcPr>
            <w:tcW w:w="0" w:type="dxa"/>
            <w:vAlign w:val="bottom"/>
          </w:tcPr>
          <w:p>
            <w:pPr>
              <w:spacing w:after="0"/>
              <w:rPr>
                <w:sz w:val="1"/>
                <w:szCs w:val="1"/>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w w:val="93"/>
              </w:rPr>
              <w:t>Distributions to Operating Partnership units held by</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(2,254)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7"/>
              </w:rPr>
              <w:t>(12,706)</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(14,960)</w:t>
            </w:r>
          </w:p>
        </w:tc>
        <w:tc>
          <w:tcPr>
            <w:tcW w:w="0" w:type="dxa"/>
            <w:vAlign w:val="bottom"/>
          </w:tcPr>
          <w:p>
            <w:pPr>
              <w:spacing w:after="0"/>
              <w:rPr>
                <w:sz w:val="1"/>
                <w:szCs w:val="1"/>
                <w:color w:val="auto"/>
              </w:rPr>
            </w:pP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1"/>
              </w:rPr>
              <w:t>Dividends paid on common stock at $1.62 per share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(265,286)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(265,286)</w:t>
            </w:r>
          </w:p>
        </w:tc>
        <w:tc>
          <w:tcPr>
            <w:tcW w:w="0" w:type="dxa"/>
            <w:vAlign w:val="bottom"/>
          </w:tcPr>
          <w:p>
            <w:pPr>
              <w:spacing w:after="0"/>
              <w:rPr>
                <w:sz w:val="1"/>
                <w:szCs w:val="1"/>
                <w:color w:val="auto"/>
              </w:rPr>
            </w:pPr>
          </w:p>
        </w:tc>
      </w:tr>
      <w:tr>
        <w:trPr>
          <w:trHeight w:val="200"/>
        </w:trPr>
        <w:tc>
          <w:tcPr>
            <w:tcW w:w="34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Balances at September 30, 2023</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222,939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798,384</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8,257</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211,276,086</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2"/>
              </w:rPr>
              <w:t>$</w:t>
            </w:r>
            <w:r>
              <w:rPr>
                <w:rFonts w:ascii="Arial" w:cs="Arial" w:eastAsia="Arial" w:hAnsi="Arial"/>
                <w:sz w:val="16"/>
                <w:szCs w:val="16"/>
                <w:b w:val="1"/>
                <w:bCs w:val="1"/>
                <w:color w:val="auto"/>
                <w:w w:val="82"/>
              </w:rPr>
              <w:t xml:space="preserve"> 2,113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14,742,973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44,912</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(252,877)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15,566,701</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4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Balances at December 31, 2022</w:t>
            </w: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3"/>
              </w:rPr>
              <w:t>261,502</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3"/>
              </w:rPr>
              <w:t>556,095</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89"/>
              </w:rPr>
              <w:t>$1,080</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2"/>
              </w:rPr>
              <w:t>133,921,020</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89"/>
              </w:rPr>
              <w:t>$1,339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3,345,332</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48,798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w w:val="93"/>
              </w:rPr>
              <w:t>(135,872)</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4,078,274</w:t>
            </w:r>
          </w:p>
        </w:tc>
        <w:tc>
          <w:tcPr>
            <w:tcW w:w="0" w:type="dxa"/>
            <w:vAlign w:val="bottom"/>
          </w:tcPr>
          <w:p>
            <w:pPr>
              <w:spacing w:after="0"/>
              <w:rPr>
                <w:sz w:val="1"/>
                <w:szCs w:val="1"/>
                <w:color w:val="auto"/>
              </w:rPr>
            </w:pPr>
          </w:p>
        </w:tc>
      </w:tr>
      <w:tr>
        <w:trPr>
          <w:trHeight w:val="163"/>
        </w:trPr>
        <w:tc>
          <w:tcPr>
            <w:tcW w:w="340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w w:val="91"/>
              </w:rPr>
              <w:t>Issuance of common stock in connection with share</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144,640</w:t>
            </w:r>
          </w:p>
        </w:tc>
        <w:tc>
          <w:tcPr>
            <w:tcW w:w="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19,433</w:t>
            </w:r>
          </w:p>
        </w:tc>
        <w:tc>
          <w:tcPr>
            <w:tcW w:w="0" w:type="dxa"/>
            <w:vAlign w:val="bottom"/>
          </w:tcPr>
          <w:p>
            <w:pPr>
              <w:spacing w:after="0"/>
              <w:rPr>
                <w:sz w:val="1"/>
                <w:szCs w:val="1"/>
                <w:color w:val="auto"/>
              </w:rPr>
            </w:pPr>
          </w:p>
        </w:tc>
      </w:tr>
      <w:tr>
        <w:trPr>
          <w:trHeight w:val="20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Taxes paid upon net settlement of share based</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(8,074)</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(7,606)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(7,606)</w:t>
            </w:r>
          </w:p>
        </w:tc>
        <w:tc>
          <w:tcPr>
            <w:tcW w:w="0" w:type="dxa"/>
            <w:vAlign w:val="bottom"/>
          </w:tcPr>
          <w:p>
            <w:pPr>
              <w:spacing w:after="0"/>
              <w:rPr>
                <w:sz w:val="1"/>
                <w:szCs w:val="1"/>
                <w:color w:val="auto"/>
              </w:rPr>
            </w:pP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compensation</w:t>
            </w: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2,119</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40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w w:val="96"/>
              </w:rPr>
              <w:t>Redemption of Preferred A Units in the Operating</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(16,339)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851,698</w:t>
            </w:r>
          </w:p>
        </w:tc>
        <w:tc>
          <w:tcPr>
            <w:tcW w:w="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(5,316)</w:t>
            </w:r>
          </w:p>
        </w:tc>
        <w:tc>
          <w:tcPr>
            <w:tcW w:w="0" w:type="dxa"/>
            <w:vAlign w:val="bottom"/>
          </w:tcPr>
          <w:p>
            <w:pPr>
              <w:spacing w:after="0"/>
              <w:rPr>
                <w:sz w:val="1"/>
                <w:szCs w:val="1"/>
                <w:color w:val="auto"/>
              </w:rPr>
            </w:pPr>
          </w:p>
        </w:tc>
      </w:tr>
      <w:tr>
        <w:trPr>
          <w:trHeight w:val="20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Partnership for stock</w:t>
            </w: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w w:val="95"/>
              </w:rPr>
              <w:t>Redemption of Preferred D Units in the Operating</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7"/>
              </w:rPr>
              <w:t>(22,064)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154,307</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22,062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Partnership for stock</w:t>
            </w: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40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w w:val="91"/>
              </w:rPr>
              <w:t>Life Storage Merger issuance of common stock and</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249,470</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76,217,359</w:t>
            </w:r>
          </w:p>
        </w:tc>
        <w:tc>
          <w:tcPr>
            <w:tcW w:w="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11,352,576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89"/>
              </w:rPr>
              <w:t>11,602,808</w:t>
            </w:r>
          </w:p>
        </w:tc>
        <w:tc>
          <w:tcPr>
            <w:tcW w:w="0" w:type="dxa"/>
            <w:vAlign w:val="bottom"/>
          </w:tcPr>
          <w:p>
            <w:pPr>
              <w:spacing w:after="0"/>
              <w:rPr>
                <w:sz w:val="1"/>
                <w:szCs w:val="1"/>
                <w:color w:val="auto"/>
              </w:rPr>
            </w:pPr>
          </w:p>
        </w:tc>
      </w:tr>
      <w:tr>
        <w:trPr>
          <w:trHeight w:val="20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Partnership units</w:t>
            </w: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Noncontrolling interest in consolidated joint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7,309</w:t>
            </w:r>
          </w:p>
        </w:tc>
        <w:tc>
          <w:tcPr>
            <w:tcW w:w="8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7,309</w:t>
            </w:r>
          </w:p>
        </w:tc>
        <w:tc>
          <w:tcPr>
            <w:tcW w:w="0" w:type="dxa"/>
            <w:vAlign w:val="bottom"/>
          </w:tcPr>
          <w:p>
            <w:pPr>
              <w:spacing w:after="0"/>
              <w:rPr>
                <w:sz w:val="1"/>
                <w:szCs w:val="1"/>
                <w:color w:val="auto"/>
              </w:rPr>
            </w:pP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ventures</w:t>
            </w: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623,046</w:t>
            </w:r>
          </w:p>
        </w:tc>
        <w:tc>
          <w:tcPr>
            <w:tcW w:w="0" w:type="dxa"/>
            <w:vAlign w:val="bottom"/>
          </w:tcPr>
          <w:p>
            <w:pPr>
              <w:spacing w:after="0"/>
              <w:rPr>
                <w:sz w:val="1"/>
                <w:szCs w:val="1"/>
                <w:color w:val="auto"/>
              </w:rPr>
            </w:pPr>
          </w:p>
        </w:tc>
      </w:tr>
      <w:tr>
        <w:trPr>
          <w:trHeight w:val="207"/>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(4,175)</w:t>
            </w:r>
          </w:p>
        </w:tc>
        <w:tc>
          <w:tcPr>
            <w:tcW w:w="0" w:type="dxa"/>
            <w:vAlign w:val="bottom"/>
          </w:tcPr>
          <w:p>
            <w:pPr>
              <w:spacing w:after="0"/>
              <w:rPr>
                <w:sz w:val="1"/>
                <w:szCs w:val="1"/>
                <w:color w:val="auto"/>
              </w:rPr>
            </w:pPr>
          </w:p>
        </w:tc>
      </w:tr>
      <w:tr>
        <w:trPr>
          <w:trHeight w:val="164"/>
        </w:trPr>
        <w:tc>
          <w:tcPr>
            <w:tcW w:w="340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w w:val="93"/>
              </w:rPr>
              <w:t>Distributions to Operating Partnership units held by</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(36,082)</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(43,003)</w:t>
            </w:r>
          </w:p>
        </w:tc>
        <w:tc>
          <w:tcPr>
            <w:tcW w:w="0" w:type="dxa"/>
            <w:vAlign w:val="bottom"/>
          </w:tcPr>
          <w:p>
            <w:pPr>
              <w:spacing w:after="0"/>
              <w:rPr>
                <w:sz w:val="1"/>
                <w:szCs w:val="1"/>
                <w:color w:val="auto"/>
              </w:rPr>
            </w:pPr>
          </w:p>
        </w:tc>
      </w:tr>
      <w:tr>
        <w:trPr>
          <w:trHeight w:val="20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80" w:top="121" w:right="3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 of Noncontrolling Interests and Equity</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 the three and nine months ended September 30, 2022</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(unaudited, amounts in thousands, except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6"/>
          </w:tcPr>
          <w:p>
            <w:pPr>
              <w:ind w:left="240"/>
              <w:spacing w:after="0"/>
              <w:rPr>
                <w:sz w:val="20"/>
                <w:szCs w:val="20"/>
                <w:color w:val="auto"/>
              </w:rPr>
            </w:pPr>
            <w:r>
              <w:rPr>
                <w:rFonts w:ascii="Arial" w:cs="Arial" w:eastAsia="Arial" w:hAnsi="Arial"/>
                <w:sz w:val="14"/>
                <w:szCs w:val="14"/>
                <w:b w:val="1"/>
                <w:bCs w:val="1"/>
                <w:color w:val="auto"/>
                <w:w w:val="89"/>
              </w:rPr>
              <w:t>Noncontrolling Interest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gridSpan w:val="11"/>
          </w:tcPr>
          <w:p>
            <w:pPr>
              <w:ind w:left="840"/>
              <w:spacing w:after="0"/>
              <w:rPr>
                <w:sz w:val="20"/>
                <w:szCs w:val="20"/>
                <w:color w:val="auto"/>
              </w:rPr>
            </w:pPr>
            <w:r>
              <w:rPr>
                <w:rFonts w:ascii="Arial" w:cs="Arial" w:eastAsia="Arial" w:hAnsi="Arial"/>
                <w:sz w:val="14"/>
                <w:szCs w:val="14"/>
                <w:b w:val="1"/>
                <w:bCs w:val="1"/>
                <w:color w:val="auto"/>
                <w:w w:val="89"/>
              </w:rPr>
              <w:t>Extra Space Storage Inc. Stockholders' Equity</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Preferred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060" w:type="dxa"/>
            <w:vAlign w:val="bottom"/>
            <w:gridSpan w:val="4"/>
          </w:tcPr>
          <w:p>
            <w:pPr>
              <w:jc w:val="center"/>
              <w:ind w:right="100"/>
              <w:spacing w:after="0" w:line="128"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Accumulated</w:t>
            </w:r>
          </w:p>
        </w:tc>
        <w:tc>
          <w:tcPr>
            <w:tcW w:w="9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Noncontrolling</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3"/>
              </w:rPr>
              <w:t>Operating</w:t>
            </w:r>
          </w:p>
        </w:tc>
        <w:tc>
          <w:tcPr>
            <w:tcW w:w="840" w:type="dxa"/>
            <w:vAlign w:val="bottom"/>
            <w:gridSpan w:val="3"/>
            <w:vMerge w:val="continue"/>
          </w:tcPr>
          <w:p>
            <w:pPr>
              <w:spacing w:after="0"/>
              <w:rPr>
                <w:sz w:val="12"/>
                <w:szCs w:val="12"/>
                <w:color w:val="auto"/>
              </w:rPr>
            </w:pPr>
          </w:p>
        </w:tc>
        <w:tc>
          <w:tcPr>
            <w:tcW w:w="52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Other</w:t>
            </w:r>
          </w:p>
        </w:tc>
        <w:tc>
          <w:tcPr>
            <w:tcW w:w="80" w:type="dxa"/>
            <w:vAlign w:val="bottom"/>
            <w:vMerge w:val="restart"/>
          </w:tcPr>
          <w:p>
            <w:pPr>
              <w:spacing w:after="0"/>
              <w:rPr>
                <w:sz w:val="12"/>
                <w:szCs w:val="12"/>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Comprehensive</w:t>
            </w:r>
          </w:p>
        </w:tc>
        <w:tc>
          <w:tcPr>
            <w:tcW w:w="900" w:type="dxa"/>
            <w:vAlign w:val="bottom"/>
            <w:gridSpan w:val="3"/>
            <w:vMerge w:val="continue"/>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Interests and</w:t>
            </w: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Partnership</w:t>
            </w:r>
          </w:p>
        </w:tc>
        <w:tc>
          <w:tcPr>
            <w:tcW w:w="80" w:type="dxa"/>
            <w:vAlign w:val="bottom"/>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7"/>
        </w:trPr>
        <w:tc>
          <w:tcPr>
            <w:tcW w:w="3400" w:type="dxa"/>
            <w:vAlign w:val="bottom"/>
            <w:gridSpan w:val="2"/>
          </w:tcPr>
          <w:p>
            <w:pPr>
              <w:ind w:left="20"/>
              <w:spacing w:after="0"/>
              <w:rPr>
                <w:sz w:val="20"/>
                <w:szCs w:val="20"/>
                <w:color w:val="auto"/>
              </w:rPr>
            </w:pPr>
            <w:r>
              <w:rPr>
                <w:rFonts w:ascii="Arial" w:cs="Arial" w:eastAsia="Arial" w:hAnsi="Arial"/>
                <w:sz w:val="16"/>
                <w:szCs w:val="16"/>
                <w:color w:val="auto"/>
                <w:w w:val="91"/>
              </w:rPr>
              <w:t>Dividends paid on common stock at $4.86 per share</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(704,069)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(704,069)</w:t>
            </w:r>
          </w:p>
        </w:tc>
        <w:tc>
          <w:tcPr>
            <w:tcW w:w="0" w:type="dxa"/>
            <w:vAlign w:val="bottom"/>
          </w:tcPr>
          <w:p>
            <w:pPr>
              <w:spacing w:after="0"/>
              <w:rPr>
                <w:sz w:val="1"/>
                <w:szCs w:val="1"/>
                <w:color w:val="auto"/>
              </w:rPr>
            </w:pPr>
          </w:p>
        </w:tc>
      </w:tr>
      <w:tr>
        <w:trPr>
          <w:trHeight w:val="228"/>
        </w:trPr>
        <w:tc>
          <w:tcPr>
            <w:tcW w:w="3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September 30, 2023</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222,939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798,384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8,257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211,276,086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2"/>
              </w:rPr>
              <w:t>$</w:t>
            </w:r>
            <w:r>
              <w:rPr>
                <w:rFonts w:ascii="Arial" w:cs="Arial" w:eastAsia="Arial" w:hAnsi="Arial"/>
                <w:sz w:val="16"/>
                <w:szCs w:val="16"/>
                <w:b w:val="1"/>
                <w:bCs w:val="1"/>
                <w:color w:val="auto"/>
                <w:w w:val="82"/>
              </w:rPr>
              <w:t xml:space="preserve"> 2,113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14,742,973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44,912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(252,877)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b w:val="1"/>
                <w:bCs w:val="1"/>
                <w:color w:val="auto"/>
                <w:w w:val="89"/>
              </w:rPr>
              <w:t>15,566,701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2022</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261,231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429,572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133,900,184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$ 1,339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3,334,317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25,555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(159,091)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3,893,240</w:t>
            </w:r>
          </w:p>
        </w:tc>
        <w:tc>
          <w:tcPr>
            <w:tcW w:w="0" w:type="dxa"/>
            <w:vAlign w:val="bottom"/>
          </w:tcPr>
          <w:p>
            <w:pPr>
              <w:spacing w:after="0"/>
              <w:rPr>
                <w:sz w:val="1"/>
                <w:szCs w:val="1"/>
                <w:color w:val="auto"/>
              </w:rPr>
            </w:pPr>
          </w:p>
        </w:tc>
      </w:tr>
      <w:tr>
        <w:trPr>
          <w:trHeight w:val="139"/>
        </w:trPr>
        <w:tc>
          <w:tcPr>
            <w:tcW w:w="3400" w:type="dxa"/>
            <w:vAlign w:val="bottom"/>
            <w:gridSpan w:val="2"/>
          </w:tcPr>
          <w:p>
            <w:pPr>
              <w:ind w:left="20"/>
              <w:spacing w:after="0" w:line="139" w:lineRule="exact"/>
              <w:rPr>
                <w:sz w:val="20"/>
                <w:szCs w:val="20"/>
                <w:color w:val="auto"/>
              </w:rPr>
            </w:pPr>
            <w:r>
              <w:rPr>
                <w:rFonts w:ascii="Arial" w:cs="Arial" w:eastAsia="Arial" w:hAnsi="Arial"/>
                <w:sz w:val="14"/>
                <w:szCs w:val="14"/>
                <w:color w:val="auto"/>
                <w:w w:val="92"/>
              </w:rPr>
              <w:t>Issuance of common stock in connection with share based</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19,654</w:t>
            </w:r>
          </w:p>
        </w:tc>
        <w:tc>
          <w:tcPr>
            <w:tcW w:w="8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5,644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5,644</w:t>
            </w:r>
          </w:p>
        </w:tc>
        <w:tc>
          <w:tcPr>
            <w:tcW w:w="0" w:type="dxa"/>
            <w:vAlign w:val="bottom"/>
          </w:tcPr>
          <w:p>
            <w:pPr>
              <w:spacing w:after="0"/>
              <w:rPr>
                <w:sz w:val="1"/>
                <w:szCs w:val="1"/>
                <w:color w:val="auto"/>
              </w:rPr>
            </w:pPr>
          </w:p>
        </w:tc>
      </w:tr>
      <w:tr>
        <w:trPr>
          <w:trHeight w:val="184"/>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compensation</w:t>
            </w: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 grants cancelled</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34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Issuance of Operating Partnership units in conjunction</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84"/>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with acquisitions</w:t>
            </w: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 in consolidated joint venture</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88"/>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220,719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236,126</w:t>
            </w:r>
          </w:p>
        </w:tc>
        <w:tc>
          <w:tcPr>
            <w:tcW w:w="0" w:type="dxa"/>
            <w:vAlign w:val="bottom"/>
          </w:tcPr>
          <w:p>
            <w:pPr>
              <w:spacing w:after="0"/>
              <w:rPr>
                <w:sz w:val="1"/>
                <w:szCs w:val="1"/>
                <w:color w:val="auto"/>
              </w:rPr>
            </w:pPr>
          </w:p>
        </w:tc>
      </w:tr>
      <w:tr>
        <w:trPr>
          <w:trHeight w:val="20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24,222</w:t>
            </w:r>
          </w:p>
        </w:tc>
        <w:tc>
          <w:tcPr>
            <w:tcW w:w="0" w:type="dxa"/>
            <w:vAlign w:val="bottom"/>
          </w:tcPr>
          <w:p>
            <w:pPr>
              <w:spacing w:after="0"/>
              <w:rPr>
                <w:sz w:val="1"/>
                <w:szCs w:val="1"/>
                <w:color w:val="auto"/>
              </w:rPr>
            </w:pPr>
          </w:p>
        </w:tc>
      </w:tr>
      <w:tr>
        <w:trPr>
          <w:trHeight w:val="139"/>
        </w:trPr>
        <w:tc>
          <w:tcPr>
            <w:tcW w:w="34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Distributions to Operating Partnership units held by</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(4,336)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(10,058)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(14,394)</w:t>
            </w:r>
          </w:p>
        </w:tc>
        <w:tc>
          <w:tcPr>
            <w:tcW w:w="0" w:type="dxa"/>
            <w:vAlign w:val="bottom"/>
          </w:tcPr>
          <w:p>
            <w:pPr>
              <w:spacing w:after="0"/>
              <w:rPr>
                <w:sz w:val="1"/>
                <w:szCs w:val="1"/>
                <w:color w:val="auto"/>
              </w:rPr>
            </w:pPr>
          </w:p>
        </w:tc>
      </w:tr>
      <w:tr>
        <w:trPr>
          <w:trHeight w:val="184"/>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paid on common stock at $1.50 per share</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(200,878)</w:t>
            </w:r>
          </w:p>
        </w:tc>
        <w:tc>
          <w:tcPr>
            <w:tcW w:w="0" w:type="dxa"/>
            <w:vAlign w:val="bottom"/>
          </w:tcPr>
          <w:p>
            <w:pPr>
              <w:spacing w:after="0"/>
              <w:rPr>
                <w:sz w:val="1"/>
                <w:szCs w:val="1"/>
                <w:color w:val="auto"/>
              </w:rPr>
            </w:pPr>
          </w:p>
        </w:tc>
      </w:tr>
      <w:tr>
        <w:trPr>
          <w:trHeight w:val="183"/>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Balances at September 30, 2022</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261,494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556,578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655</w:t>
            </w:r>
          </w:p>
        </w:tc>
        <w:tc>
          <w:tcPr>
            <w:tcW w:w="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133,918,037</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$ 1,339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3,339,961</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48,521</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(139,250)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4,069,298</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Balances at December 31, 2021</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259,110</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410,053</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317</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133,922,305</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$ 1,339</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3,285,948</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(42,546)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(128,245)</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b w:val="1"/>
                <w:bCs w:val="1"/>
                <w:color w:val="auto"/>
              </w:rPr>
              <w:t>3,785,976</w:t>
            </w:r>
          </w:p>
        </w:tc>
        <w:tc>
          <w:tcPr>
            <w:tcW w:w="0" w:type="dxa"/>
            <w:vAlign w:val="bottom"/>
          </w:tcPr>
          <w:p>
            <w:pPr>
              <w:spacing w:after="0"/>
              <w:rPr>
                <w:sz w:val="1"/>
                <w:szCs w:val="1"/>
                <w:color w:val="auto"/>
              </w:rPr>
            </w:pPr>
          </w:p>
        </w:tc>
      </w:tr>
      <w:tr>
        <w:trPr>
          <w:trHeight w:val="146"/>
        </w:trPr>
        <w:tc>
          <w:tcPr>
            <w:tcW w:w="34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color w:val="auto"/>
                <w:w w:val="92"/>
              </w:rPr>
              <w:t>Issuance of common stock in connection with share based</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200,454</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15,431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15,433</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Restricted stock grants cancelled</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(9,702)</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Redemption of Operating Partnership units for cash</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(3,504)</w:t>
            </w:r>
          </w:p>
        </w:tc>
        <w:tc>
          <w:tcPr>
            <w:tcW w:w="0" w:type="dxa"/>
            <w:vAlign w:val="bottom"/>
          </w:tcPr>
          <w:p>
            <w:pPr>
              <w:spacing w:after="0"/>
              <w:rPr>
                <w:sz w:val="1"/>
                <w:szCs w:val="1"/>
                <w:color w:val="auto"/>
              </w:rPr>
            </w:pPr>
          </w:p>
        </w:tc>
      </w:tr>
      <w:tr>
        <w:trPr>
          <w:trHeight w:val="139"/>
        </w:trPr>
        <w:tc>
          <w:tcPr>
            <w:tcW w:w="34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Redemption of Preferred B Units in the Operating</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(4,500)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84"/>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Partnership for cash</w:t>
            </w: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Issuance of Operating Partnership units in conjunction</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 business combinations</w:t>
            </w: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Issuance of Operating Partnership units in conjunction</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84"/>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with acquisitions</w:t>
            </w: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w w:val="93"/>
              </w:rPr>
              <w:t>Issuance of Preferred D units in the Operating Partnership</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 conjunction with business combinations</w:t>
            </w: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Issuance of common stock in conjunction with</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186,766</w:t>
            </w: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40,961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40,963</w:t>
            </w:r>
          </w:p>
        </w:tc>
        <w:tc>
          <w:tcPr>
            <w:tcW w:w="0" w:type="dxa"/>
            <w:vAlign w:val="bottom"/>
          </w:tcPr>
          <w:p>
            <w:pPr>
              <w:spacing w:after="0"/>
              <w:rPr>
                <w:sz w:val="1"/>
                <w:szCs w:val="1"/>
                <w:color w:val="auto"/>
              </w:rPr>
            </w:pPr>
          </w:p>
        </w:tc>
      </w:tr>
      <w:tr>
        <w:trPr>
          <w:trHeight w:val="184"/>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of common stock, net of offering costs</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(381,786)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(63,008)</w:t>
            </w:r>
          </w:p>
        </w:tc>
        <w:tc>
          <w:tcPr>
            <w:tcW w:w="0" w:type="dxa"/>
            <w:vAlign w:val="bottom"/>
          </w:tcPr>
          <w:p>
            <w:pPr>
              <w:spacing w:after="0"/>
              <w:rPr>
                <w:sz w:val="1"/>
                <w:szCs w:val="1"/>
                <w:color w:val="auto"/>
              </w:rPr>
            </w:pPr>
          </w:p>
        </w:tc>
      </w:tr>
      <w:tr>
        <w:trPr>
          <w:trHeight w:val="188"/>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Noncontrolling interest in consolidated joint venture</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338</w:t>
            </w:r>
          </w:p>
        </w:tc>
        <w:tc>
          <w:tcPr>
            <w:tcW w:w="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0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656,428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701,677</w:t>
            </w:r>
          </w:p>
        </w:tc>
        <w:tc>
          <w:tcPr>
            <w:tcW w:w="0" w:type="dxa"/>
            <w:vAlign w:val="bottom"/>
          </w:tcPr>
          <w:p>
            <w:pPr>
              <w:spacing w:after="0"/>
              <w:rPr>
                <w:sz w:val="1"/>
                <w:szCs w:val="1"/>
                <w:color w:val="auto"/>
              </w:rPr>
            </w:pPr>
          </w:p>
        </w:tc>
      </w:tr>
      <w:tr>
        <w:trPr>
          <w:trHeight w:val="188"/>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91,067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95,984</w:t>
            </w:r>
          </w:p>
        </w:tc>
        <w:tc>
          <w:tcPr>
            <w:tcW w:w="0" w:type="dxa"/>
            <w:vAlign w:val="bottom"/>
          </w:tcPr>
          <w:p>
            <w:pPr>
              <w:spacing w:after="0"/>
              <w:rPr>
                <w:sz w:val="1"/>
                <w:szCs w:val="1"/>
                <w:color w:val="auto"/>
              </w:rPr>
            </w:pPr>
          </w:p>
        </w:tc>
      </w:tr>
      <w:tr>
        <w:trPr>
          <w:trHeight w:val="148"/>
        </w:trPr>
        <w:tc>
          <w:tcPr>
            <w:tcW w:w="34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4"/>
                <w:szCs w:val="14"/>
                <w:color w:val="auto"/>
              </w:rPr>
              <w:t>Distributions to Operating Partnership units held by</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(12,972)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(29,660)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(42,632)</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Dividends paid on common stock at $4.50 per share</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(604,429)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(604,429)</w:t>
            </w:r>
          </w:p>
        </w:tc>
        <w:tc>
          <w:tcPr>
            <w:tcW w:w="0" w:type="dxa"/>
            <w:vAlign w:val="bottom"/>
          </w:tcPr>
          <w:p>
            <w:pPr>
              <w:spacing w:after="0"/>
              <w:rPr>
                <w:sz w:val="1"/>
                <w:szCs w:val="1"/>
                <w:color w:val="auto"/>
              </w:rPr>
            </w:pPr>
          </w:p>
        </w:tc>
      </w:tr>
      <w:tr>
        <w:trPr>
          <w:trHeight w:val="215"/>
        </w:trPr>
        <w:tc>
          <w:tcPr>
            <w:tcW w:w="3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September 30, 2022</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261,494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556,578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133,918,037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$ 1,339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3,339,961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48,521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(139,250)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4,069,298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80" w:top="121"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623,046</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701,677</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6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309,914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208,396</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6,352</w:t>
            </w:r>
          </w:p>
        </w:tc>
        <w:tc>
          <w:tcPr>
            <w:tcW w:w="0" w:type="dxa"/>
            <w:vAlign w:val="bottom"/>
          </w:tcPr>
          <w:p>
            <w:pPr>
              <w:spacing w:after="0"/>
              <w:rPr>
                <w:sz w:val="1"/>
                <w:szCs w:val="1"/>
                <w:color w:val="auto"/>
              </w:rPr>
            </w:pPr>
          </w:p>
        </w:tc>
      </w:tr>
      <w:tr>
        <w:trPr>
          <w:trHeight w:val="161"/>
        </w:trPr>
        <w:tc>
          <w:tcPr>
            <w:tcW w:w="7860" w:type="dxa"/>
            <w:vAlign w:val="bottom"/>
          </w:tcPr>
          <w:p>
            <w:pPr>
              <w:ind w:left="660"/>
              <w:spacing w:after="0" w:line="161" w:lineRule="exact"/>
              <w:rPr>
                <w:sz w:val="20"/>
                <w:szCs w:val="20"/>
                <w:color w:val="auto"/>
              </w:rPr>
            </w:pPr>
            <w:r>
              <w:rPr>
                <w:rFonts w:ascii="Arial" w:cs="Arial" w:eastAsia="Arial" w:hAnsi="Arial"/>
                <w:sz w:val="16"/>
                <w:szCs w:val="16"/>
                <w:color w:val="auto"/>
                <w:w w:val="94"/>
              </w:rPr>
              <w:t>Non-cash interest expense related to fair value of Life Storage public bonds and amortization of discount on</w:t>
            </w:r>
          </w:p>
        </w:tc>
        <w:tc>
          <w:tcPr>
            <w:tcW w:w="2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8,228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860" w:type="dxa"/>
            <w:vAlign w:val="bottom"/>
          </w:tcPr>
          <w:p>
            <w:pPr>
              <w:ind w:left="660"/>
              <w:spacing w:after="0"/>
              <w:rPr>
                <w:sz w:val="20"/>
                <w:szCs w:val="20"/>
                <w:color w:val="auto"/>
              </w:rPr>
            </w:pPr>
            <w:r>
              <w:rPr>
                <w:rFonts w:ascii="Arial" w:cs="Arial" w:eastAsia="Arial" w:hAnsi="Arial"/>
                <w:sz w:val="16"/>
                <w:szCs w:val="16"/>
                <w:color w:val="auto"/>
              </w:rPr>
              <w:t>equity portion of exchangeable senior notes</w:t>
            </w: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lease expense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w:t>
            </w:r>
          </w:p>
        </w:tc>
        <w:tc>
          <w:tcPr>
            <w:tcW w:w="0" w:type="dxa"/>
            <w:vAlign w:val="bottom"/>
          </w:tcPr>
          <w:p>
            <w:pPr>
              <w:spacing w:after="0"/>
              <w:rPr>
                <w:sz w:val="1"/>
                <w:szCs w:val="1"/>
                <w:color w:val="auto"/>
              </w:rPr>
            </w:pPr>
          </w:p>
        </w:tc>
      </w:tr>
      <w:tr>
        <w:trPr>
          <w:trHeight w:val="207"/>
        </w:trPr>
        <w:tc>
          <w:tcPr>
            <w:tcW w:w="7860" w:type="dxa"/>
            <w:vAlign w:val="bottom"/>
          </w:tcPr>
          <w:p>
            <w:pPr>
              <w:ind w:left="660"/>
              <w:spacing w:after="0"/>
              <w:rPr>
                <w:sz w:val="20"/>
                <w:szCs w:val="20"/>
                <w:color w:val="auto"/>
              </w:rPr>
            </w:pPr>
            <w:r>
              <w:rPr>
                <w:rFonts w:ascii="Arial" w:cs="Arial" w:eastAsia="Arial" w:hAnsi="Arial"/>
                <w:sz w:val="16"/>
                <w:szCs w:val="16"/>
                <w:color w:val="auto"/>
              </w:rPr>
              <w:t>Compensation expense related to stock-based awards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19,433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15,431</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Accrual of interest income added to principal of debt securities and notes receivable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(28,514)</w:t>
            </w:r>
          </w:p>
        </w:tc>
        <w:tc>
          <w:tcPr>
            <w:tcW w:w="0" w:type="dxa"/>
            <w:vAlign w:val="bottom"/>
          </w:tcPr>
          <w:p>
            <w:pPr>
              <w:spacing w:after="0"/>
              <w:rPr>
                <w:sz w:val="1"/>
                <w:szCs w:val="1"/>
                <w:color w:val="auto"/>
              </w:rPr>
            </w:pPr>
          </w:p>
        </w:tc>
      </w:tr>
      <w:tr>
        <w:trPr>
          <w:trHeight w:val="207"/>
        </w:trPr>
        <w:tc>
          <w:tcPr>
            <w:tcW w:w="7860" w:type="dxa"/>
            <w:vAlign w:val="bottom"/>
          </w:tcPr>
          <w:p>
            <w:pPr>
              <w:ind w:left="660"/>
              <w:spacing w:after="0"/>
              <w:rPr>
                <w:sz w:val="20"/>
                <w:szCs w:val="20"/>
                <w:color w:val="auto"/>
              </w:rPr>
            </w:pPr>
            <w:r>
              <w:rPr>
                <w:rFonts w:ascii="Arial" w:cs="Arial" w:eastAsia="Arial" w:hAnsi="Arial"/>
                <w:sz w:val="16"/>
                <w:szCs w:val="16"/>
                <w:color w:val="auto"/>
              </w:rPr>
              <w:t>Gain on real estate transactions</w:t>
            </w:r>
          </w:p>
        </w:tc>
        <w:tc>
          <w:tcPr>
            <w:tcW w:w="2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(14,249)</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Distributions from unconsolidated real estate ventures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w:t>
            </w:r>
          </w:p>
        </w:tc>
        <w:tc>
          <w:tcPr>
            <w:tcW w:w="0" w:type="dxa"/>
            <w:vAlign w:val="bottom"/>
          </w:tcPr>
          <w:p>
            <w:pPr>
              <w:spacing w:after="0"/>
              <w:rPr>
                <w:sz w:val="1"/>
                <w:szCs w:val="1"/>
                <w:color w:val="auto"/>
              </w:rPr>
            </w:pPr>
          </w:p>
        </w:tc>
      </w:tr>
      <w:tr>
        <w:trPr>
          <w:trHeight w:val="207"/>
        </w:trPr>
        <w:tc>
          <w:tcPr>
            <w:tcW w:w="7860" w:type="dxa"/>
            <w:vAlign w:val="bottom"/>
          </w:tcPr>
          <w:p>
            <w:pPr>
              <w:ind w:left="66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(4,207)</w:t>
            </w:r>
          </w:p>
        </w:tc>
        <w:tc>
          <w:tcPr>
            <w:tcW w:w="0" w:type="dxa"/>
            <w:vAlign w:val="bottom"/>
          </w:tcPr>
          <w:p>
            <w:pPr>
              <w:spacing w:after="0"/>
              <w:rPr>
                <w:sz w:val="1"/>
                <w:szCs w:val="1"/>
                <w:color w:val="auto"/>
              </w:rPr>
            </w:pPr>
          </w:p>
        </w:tc>
      </w:tr>
      <w:tr>
        <w:trPr>
          <w:trHeight w:val="207"/>
        </w:trPr>
        <w:tc>
          <w:tcPr>
            <w:tcW w:w="7860" w:type="dxa"/>
            <w:vAlign w:val="bottom"/>
          </w:tcPr>
          <w:p>
            <w:pPr>
              <w:ind w:left="108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134,310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48,898</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00"/>
        </w:trPr>
        <w:tc>
          <w:tcPr>
            <w:tcW w:w="78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1,037,959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948,021</w:t>
            </w:r>
          </w:p>
        </w:tc>
        <w:tc>
          <w:tcPr>
            <w:tcW w:w="0" w:type="dxa"/>
            <w:vAlign w:val="bottom"/>
          </w:tcPr>
          <w:p>
            <w:pPr>
              <w:spacing w:after="0"/>
              <w:rPr>
                <w:sz w:val="1"/>
                <w:szCs w:val="1"/>
                <w:color w:val="auto"/>
              </w:rPr>
            </w:pPr>
          </w:p>
        </w:tc>
      </w:tr>
      <w:tr>
        <w:trPr>
          <w:trHeight w:val="19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Acquisition of real estate assets and improvements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(197,333)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(1,124,777)</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Life Storage Merger, net of cash acquired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(1,182,411)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Cash paid for business combination</w:t>
            </w:r>
          </w:p>
        </w:tc>
        <w:tc>
          <w:tcPr>
            <w:tcW w:w="2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(157,301)</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redevelopment of real estate 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(31,652)</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Proceeds from sale of real estate assets and investments in real estate ventures</w:t>
            </w:r>
          </w:p>
        </w:tc>
        <w:tc>
          <w:tcPr>
            <w:tcW w:w="2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Arial" w:cs="Arial" w:eastAsia="Arial" w:hAnsi="Arial"/>
                <w:sz w:val="17"/>
                <w:szCs w:val="17"/>
                <w:color w:val="auto"/>
              </w:rPr>
              <w:t>2,132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39,367</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unconsolidated real estate entities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(102,670)</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Return of investment in unconsolidated real estate ventures</w:t>
            </w:r>
          </w:p>
        </w:tc>
        <w:tc>
          <w:tcPr>
            <w:tcW w:w="2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and purchase of notes receivable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(314,542)</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Principal payments received from notes receivable</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73,514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264,774</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notes receivable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203,695</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Purchase of equipment and fixtures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(19,490)</w:t>
            </w: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(1,636,052)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(1,242,254)</w:t>
            </w:r>
          </w:p>
        </w:tc>
        <w:tc>
          <w:tcPr>
            <w:tcW w:w="0" w:type="dxa"/>
            <w:vAlign w:val="bottom"/>
          </w:tcPr>
          <w:p>
            <w:pPr>
              <w:spacing w:after="0"/>
              <w:rPr>
                <w:sz w:val="1"/>
                <w:szCs w:val="1"/>
                <w:color w:val="auto"/>
              </w:rPr>
            </w:pPr>
          </w:p>
        </w:tc>
      </w:tr>
      <w:tr>
        <w:trPr>
          <w:trHeight w:val="187"/>
        </w:trPr>
        <w:tc>
          <w:tcPr>
            <w:tcW w:w="78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notes payable and revolving lines of credit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5,194,665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3,983,865</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Principal payments on notes payable and revolving lines of credit</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(4,617,755)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(3,341,881)</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public bonds, net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396,100</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Deferred financing costs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(51,359)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(7,618)</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(63,008)</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Redemption of Operating Partnership units held by noncontrolling interests</w:t>
            </w:r>
          </w:p>
        </w:tc>
        <w:tc>
          <w:tcPr>
            <w:tcW w:w="2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(3,504)</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Redemption of Preferred A Units for cash</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Redemption of Preferred B Units for cash</w:t>
            </w:r>
          </w:p>
        </w:tc>
        <w:tc>
          <w:tcPr>
            <w:tcW w:w="2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paid on common stock</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(704,069)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(604,429)</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(42,632)</w:t>
            </w: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723,479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312,393</w:t>
            </w:r>
          </w:p>
        </w:tc>
        <w:tc>
          <w:tcPr>
            <w:tcW w:w="0" w:type="dxa"/>
            <w:vAlign w:val="bottom"/>
          </w:tcPr>
          <w:p>
            <w:pPr>
              <w:spacing w:after="0"/>
              <w:rPr>
                <w:sz w:val="1"/>
                <w:szCs w:val="1"/>
                <w:color w:val="auto"/>
              </w:rPr>
            </w:pPr>
          </w:p>
        </w:tc>
      </w:tr>
      <w:tr>
        <w:trPr>
          <w:trHeight w:val="200"/>
        </w:trPr>
        <w:tc>
          <w:tcPr>
            <w:tcW w:w="786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125,386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18,160</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97,735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76,194</w:t>
            </w:r>
          </w:p>
        </w:tc>
        <w:tc>
          <w:tcPr>
            <w:tcW w:w="0" w:type="dxa"/>
            <w:vAlign w:val="bottom"/>
          </w:tcPr>
          <w:p>
            <w:pPr>
              <w:spacing w:after="0"/>
              <w:rPr>
                <w:sz w:val="1"/>
                <w:szCs w:val="1"/>
                <w:color w:val="auto"/>
              </w:rPr>
            </w:pPr>
          </w:p>
        </w:tc>
      </w:tr>
      <w:tr>
        <w:trPr>
          <w:trHeight w:val="196"/>
        </w:trPr>
        <w:tc>
          <w:tcPr>
            <w:tcW w:w="78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223,121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94,354</w:t>
            </w:r>
          </w:p>
        </w:tc>
        <w:tc>
          <w:tcPr>
            <w:tcW w:w="0" w:type="dxa"/>
            <w:vAlign w:val="bottom"/>
          </w:tcPr>
          <w:p>
            <w:pPr>
              <w:spacing w:after="0"/>
              <w:rPr>
                <w:sz w:val="1"/>
                <w:szCs w:val="1"/>
                <w:color w:val="auto"/>
              </w:rPr>
            </w:pPr>
          </w:p>
        </w:tc>
      </w:tr>
      <w:tr>
        <w:trPr>
          <w:trHeight w:val="26"/>
        </w:trPr>
        <w:tc>
          <w:tcPr>
            <w:tcW w:w="7860" w:type="dxa"/>
            <w:vAlign w:val="bottom"/>
            <w:vMerge w:val="restart"/>
          </w:tcPr>
          <w:p>
            <w:pPr>
              <w:ind w:left="5540"/>
              <w:spacing w:after="0"/>
              <w:rPr>
                <w:sz w:val="20"/>
                <w:szCs w:val="20"/>
                <w:color w:val="auto"/>
              </w:rPr>
            </w:pPr>
            <w:r>
              <w:rPr>
                <w:rFonts w:ascii="Arial" w:cs="Arial" w:eastAsia="Arial" w:hAnsi="Arial"/>
                <w:sz w:val="17"/>
                <w:szCs w:val="17"/>
                <w:color w:val="auto"/>
              </w:rPr>
              <w:t>11</w:t>
            </w: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1"/>
        </w:trPr>
        <w:tc>
          <w:tcPr>
            <w:tcW w:w="7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color w:val="auto"/>
              </w:rPr>
              <w:t>Cash and equivalents, including restricted cash at the beginning of the period:</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equivalents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71,126</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Restricted cash included in other assets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97,735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Cash and equivalents, including restricted cash at the end of the period: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equivalents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86,991</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Restricted cash included in other assets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7,363</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223,121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94,354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137,683</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14,489</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color w:val="auto"/>
              </w:rPr>
              <w:t>Redemption of Operating Partnership units held by noncontrolling interests for common stock</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Operating Partnership</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Common stock and paid-in capital</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(11,336)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Operating Partnership Note Receivable Payoff</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OP Unit Redemption - Cash Proceeds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and establishment of operating lease right of use assets and lease liabilities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Real estate assets - operating lease right-of-use assets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color w:val="auto"/>
              </w:rPr>
              <w:t>Acquisitions of real estate assets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 estate assets, net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173,873</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Value of equity issued</w:t>
            </w:r>
          </w:p>
        </w:tc>
        <w:tc>
          <w:tcPr>
            <w:tcW w:w="2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(165,965)</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unconsolidated real estate ventures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Finance lease liability</w:t>
            </w:r>
          </w:p>
        </w:tc>
        <w:tc>
          <w:tcPr>
            <w:tcW w:w="2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(6,823)</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Life Storage Merger real estate 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Real estate assets, net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13,575,501</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Value of common stock issued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(11,353,338)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Unsecured senior notes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(2,106,866)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Value of OP units issued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Net liabilities assumed</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(191,077)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unconsolidated real estate ventures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color w:val="auto"/>
              </w:rPr>
              <w:t>Accrued construction costs and capital expenditures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real estate 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Operating Partnership units for common stock</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Preferred Operating Partnership units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33,403</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color w:val="auto"/>
              </w:rPr>
              <w:t>Issuance of OP and Preferred OP units in conjunction with business combination</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OP units issued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3"/>
        </w:trPr>
        <w:tc>
          <w:tcPr>
            <w:tcW w:w="7860" w:type="dxa"/>
            <w:vAlign w:val="bottom"/>
          </w:tcPr>
          <w:p>
            <w:pPr>
              <w:ind w:left="340"/>
              <w:spacing w:after="0"/>
              <w:rPr>
                <w:sz w:val="20"/>
                <w:szCs w:val="20"/>
                <w:color w:val="auto"/>
              </w:rPr>
            </w:pPr>
            <w:r>
              <w:rPr>
                <w:rFonts w:ascii="Arial" w:cs="Arial" w:eastAsia="Arial" w:hAnsi="Arial"/>
                <w:sz w:val="16"/>
                <w:szCs w:val="16"/>
                <w:color w:val="auto"/>
              </w:rPr>
              <w:t>OP units issued</w:t>
            </w:r>
          </w:p>
        </w:tc>
        <w:tc>
          <w:tcPr>
            <w:tcW w:w="2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(16,000)</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w:t>
        <w:tab/>
        <w:t>ORGANIZATION</w:t>
      </w:r>
    </w:p>
    <w:p>
      <w:pPr>
        <w:spacing w:after="0" w:line="125" w:lineRule="exact"/>
        <w:rPr>
          <w:sz w:val="20"/>
          <w:szCs w:val="20"/>
          <w:color w:val="auto"/>
        </w:rPr>
      </w:pPr>
    </w:p>
    <w:p>
      <w:pPr>
        <w:ind w:right="40" w:firstLine="433"/>
        <w:spacing w:after="0" w:line="283" w:lineRule="auto"/>
        <w:rPr>
          <w:sz w:val="20"/>
          <w:szCs w:val="20"/>
          <w:color w:val="auto"/>
        </w:rPr>
      </w:pPr>
      <w:r>
        <w:rPr>
          <w:rFonts w:ascii="Arial" w:cs="Arial" w:eastAsia="Arial" w:hAnsi="Arial"/>
          <w:sz w:val="16"/>
          <w:szCs w:val="16"/>
          <w:color w:val="auto"/>
        </w:rPr>
        <w:t>Extra Space Storage Inc. (the “Company”) is a fully integrated, self-administered and self-managed REIT, formed as a Maryland corporation on April 30, 2004, to own, operate, manage, acquire, develop and redevelop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which meets the definition of a variable interest entity and is consolidated. This structure is commonly referred to as an umbrella partnership REIT, or UPREIT.</w:t>
      </w:r>
    </w:p>
    <w:p>
      <w:pPr>
        <w:spacing w:after="0" w:line="193"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The Company invests in stores by acquiring wholly-owned stores or by acquiring an equity interest in real estate entities. At September 30, 2023, the Company had direct and indirect equity interests in 2,369 stores. In addition, the Company managed 1,282 stores for third parties, bringing the total number of stores which it owns and/or manages to 3,651. These stores are located in 42 states and Washington, D.C. The Company also offers tenant reinsurance at its owned and managed stores that insures the value of goods in the storage units.</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6"/>
          <w:szCs w:val="16"/>
          <w:b w:val="1"/>
          <w:bCs w:val="1"/>
          <w:color w:val="auto"/>
        </w:rPr>
        <w:t>BASIS OF PRESENTATION</w:t>
      </w:r>
    </w:p>
    <w:p>
      <w:pPr>
        <w:spacing w:after="0" w:line="256"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nine months ended September 30, 2023 are not necessarily indicative of results that may be expected for the year ending December 31, 2023. The condensed consolidated balance sheet as of December 31, 2022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2022, as filed with the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March 2020, the Financial Accounting Standards Board ("FASB") issued ASU 2020-04, "</w:t>
      </w:r>
      <w:r>
        <w:rPr>
          <w:rFonts w:ascii="Arial" w:cs="Arial" w:eastAsia="Arial" w:hAnsi="Arial"/>
          <w:sz w:val="17"/>
          <w:szCs w:val="17"/>
          <w:i w:val="1"/>
          <w:iCs w:val="1"/>
          <w:color w:val="auto"/>
        </w:rPr>
        <w:t>Reference Rate Reform (Topic 848): Facilitation of the</w:t>
      </w:r>
    </w:p>
    <w:p>
      <w:pPr>
        <w:spacing w:after="0" w:line="1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i w:val="1"/>
          <w:iCs w:val="1"/>
          <w:color w:val="auto"/>
        </w:rPr>
        <w:t xml:space="preserve">Effects of Reference Rate Reform on Financial Reporting" </w:t>
      </w:r>
      <w:r>
        <w:rPr>
          <w:rFonts w:ascii="Arial" w:cs="Arial" w:eastAsia="Arial" w:hAnsi="Arial"/>
          <w:sz w:val="17"/>
          <w:szCs w:val="17"/>
          <w:color w:val="auto"/>
        </w:rPr>
        <w:t>(“ASU 2020-04”). ASU 2020-04 provides temporary optional guidance that provides transition relief</w:t>
      </w:r>
      <w:r>
        <w:rPr>
          <w:rFonts w:ascii="Arial" w:cs="Arial" w:eastAsia="Arial" w:hAnsi="Arial"/>
          <w:sz w:val="17"/>
          <w:szCs w:val="17"/>
          <w:i w:val="1"/>
          <w:iCs w:val="1"/>
          <w:color w:val="auto"/>
        </w:rPr>
        <w:t xml:space="preserve"> </w:t>
      </w:r>
      <w:r>
        <w:rPr>
          <w:rFonts w:ascii="Arial" w:cs="Arial" w:eastAsia="Arial" w:hAnsi="Arial"/>
          <w:sz w:val="17"/>
          <w:szCs w:val="17"/>
          <w:color w:val="auto"/>
        </w:rPr>
        <w:t>for reference rate reform, including optional expedients and exceptions for applying GAAP to contract modifications, hedging relationships and other transactions that reference LIBOR or a reference rate that is expected to be discontinued as a result of reference rate reform if certain criteria are met. ASU 2020-04 is effective upon issuance, and the provisions generally can be applied prospectively as of January 1, 2020 through December 31, 2024. As of September 30, 2023, the Company had converted all of its LIBOR-indexed debt and derivatives to SOFR-based indexes (effective with the respective instrument’s next reset date for certain instruments). For all derivatives in hedge accounting relationships, the elective relief in Topic 848 that allows for the continuation of hedge accounting throughout the transition process was utilized.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3.</w:t>
        <w:tab/>
        <w:t>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Financial Instruments</w:t>
      </w:r>
    </w:p>
    <w:p>
      <w:pPr>
        <w:spacing w:after="0" w:line="119"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89" w:lineRule="exact"/>
        <w:rPr>
          <w:sz w:val="20"/>
          <w:szCs w:val="20"/>
          <w:color w:val="auto"/>
        </w:rPr>
      </w:pPr>
    </w:p>
    <w:p>
      <w:pPr>
        <w:ind w:right="60" w:firstLine="433"/>
        <w:spacing w:after="0" w:line="286" w:lineRule="auto"/>
        <w:rPr>
          <w:sz w:val="20"/>
          <w:szCs w:val="20"/>
          <w:color w:val="auto"/>
        </w:rPr>
      </w:pPr>
      <w:r>
        <w:rPr>
          <w:rFonts w:ascii="Arial" w:cs="Arial" w:eastAsia="Arial" w:hAnsi="Arial"/>
          <w:sz w:val="16"/>
          <w:szCs w:val="16"/>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189"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September 30, 2023,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189" w:lineRule="exact"/>
        <w:rPr>
          <w:sz w:val="20"/>
          <w:szCs w:val="20"/>
          <w:color w:val="auto"/>
        </w:rPr>
      </w:pPr>
    </w:p>
    <w:p>
      <w:pPr>
        <w:ind w:right="360" w:firstLine="433"/>
        <w:spacing w:after="0" w:line="275" w:lineRule="auto"/>
        <w:rPr>
          <w:sz w:val="20"/>
          <w:szCs w:val="20"/>
          <w:color w:val="auto"/>
        </w:rPr>
      </w:pPr>
      <w:r>
        <w:rPr>
          <w:rFonts w:ascii="Arial" w:cs="Arial" w:eastAsia="Arial" w:hAnsi="Arial"/>
          <w:sz w:val="17"/>
          <w:szCs w:val="17"/>
          <w:color w:val="auto"/>
        </w:rPr>
        <w:t>The table below presents the Company’s assets and liabilities measured at fair value on a recurring basis as of September 30, 2023, aggregated by the level in the fair value hierarchy within which those measurements fall.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40" w:type="dxa"/>
            <w:vAlign w:val="bottom"/>
            <w:gridSpan w:val="6"/>
          </w:tcPr>
          <w:p>
            <w:pPr>
              <w:jc w:val="center"/>
              <w:ind w:left="104"/>
              <w:spacing w:after="0"/>
              <w:rPr>
                <w:sz w:val="20"/>
                <w:szCs w:val="20"/>
                <w:color w:val="auto"/>
              </w:rPr>
            </w:pPr>
            <w:r>
              <w:rPr>
                <w:rFonts w:ascii="Arial" w:cs="Arial" w:eastAsia="Arial" w:hAnsi="Arial"/>
                <w:sz w:val="14"/>
                <w:szCs w:val="14"/>
                <w:b w:val="1"/>
                <w:bCs w:val="1"/>
                <w:color w:val="auto"/>
                <w:w w:val="90"/>
              </w:rPr>
              <w:t>Fair Value Measurements at Reporting Date Using</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89"/>
              </w:rPr>
              <w:t>Quoted Prices in</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 Other</w:t>
            </w:r>
          </w:p>
        </w:tc>
        <w:tc>
          <w:tcPr>
            <w:tcW w:w="1100" w:type="dxa"/>
            <w:vAlign w:val="bottom"/>
            <w:vMerge w:val="restart"/>
          </w:tcPr>
          <w:p>
            <w:pPr>
              <w:jc w:val="center"/>
              <w:ind w:left="243"/>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2"/>
              </w:rPr>
              <w:t>Active Markets for</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Description</w:t>
            </w:r>
          </w:p>
        </w:tc>
        <w:tc>
          <w:tcPr>
            <w:tcW w:w="15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Identical Assets (Level</w:t>
            </w: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4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 Cash flow hedge swap 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48,611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rPr>
                <w:sz w:val="20"/>
                <w:szCs w:val="20"/>
                <w:color w:val="auto"/>
              </w:rPr>
            </w:pPr>
            <w:r>
              <w:rPr>
                <w:rFonts w:ascii="Arial" w:cs="Arial" w:eastAsia="Arial" w:hAnsi="Arial"/>
                <w:sz w:val="17"/>
                <w:szCs w:val="17"/>
                <w:color w:val="auto"/>
              </w:rPr>
              <w:t>Other liabilities - Cash flow hedge swap agreements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23"/>
              <w:spacing w:after="0"/>
              <w:rPr>
                <w:sz w:val="20"/>
                <w:szCs w:val="20"/>
                <w:color w:val="auto"/>
              </w:rPr>
            </w:pPr>
            <w:r>
              <w:rPr>
                <w:rFonts w:ascii="Arial" w:cs="Arial" w:eastAsia="Arial" w:hAnsi="Arial"/>
                <w:sz w:val="17"/>
                <w:szCs w:val="17"/>
                <w:color w:val="auto"/>
                <w:w w:val="84"/>
              </w:rPr>
              <w:t>$</w:t>
            </w:r>
          </w:p>
        </w:tc>
        <w:tc>
          <w:tcPr>
            <w:tcW w:w="32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580" w:firstLine="433"/>
        <w:spacing w:after="0" w:line="289" w:lineRule="auto"/>
        <w:rPr>
          <w:sz w:val="20"/>
          <w:szCs w:val="20"/>
          <w:color w:val="auto"/>
        </w:rPr>
      </w:pPr>
      <w:r>
        <w:rPr>
          <w:rFonts w:ascii="Arial" w:cs="Arial" w:eastAsia="Arial" w:hAnsi="Arial"/>
          <w:sz w:val="17"/>
          <w:szCs w:val="17"/>
          <w:color w:val="auto"/>
        </w:rPr>
        <w:t>The Company did not have any significant assets or liabilities that are re-measured on a recurring basis using significant unobservable inputs as of September 30, 2023 or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 Measured at Fair Value on a Nonrecurring Basis</w:t>
      </w:r>
    </w:p>
    <w:p>
      <w:pPr>
        <w:spacing w:after="0" w:line="119" w:lineRule="exact"/>
        <w:rPr>
          <w:sz w:val="20"/>
          <w:szCs w:val="20"/>
          <w:color w:val="auto"/>
        </w:rPr>
      </w:pPr>
    </w:p>
    <w:p>
      <w:pPr>
        <w:ind w:right="80" w:firstLine="433"/>
        <w:spacing w:after="0" w:line="265" w:lineRule="auto"/>
        <w:rPr>
          <w:sz w:val="20"/>
          <w:szCs w:val="20"/>
          <w:color w:val="auto"/>
        </w:rPr>
      </w:pPr>
      <w:r>
        <w:rPr>
          <w:rFonts w:ascii="Arial" w:cs="Arial" w:eastAsia="Arial" w:hAnsi="Arial"/>
          <w:sz w:val="17"/>
          <w:szCs w:val="17"/>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206"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The Company evaluates goodwill for impairment at least annually and whenever events, circumstances, and other related factors indicate that the fair value of the related reporting unit may be less than the carrying value. If the fair value of the reporting unit is determined to exceed the aggregate carrying amount, no impairment charge is recorded. Otherwise, an impairment charge is recorded to the extent the carrying amount of the goodwill exceeds the amount that would be allocated to goodwill if the reporting unit were acquired for estimated fair value.</w:t>
      </w:r>
    </w:p>
    <w:p>
      <w:pPr>
        <w:spacing w:after="0" w:line="176"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is presented as part of normal operations for all periods presented. As of September 30, 2023, the Company had no stores classified as held for sale which are included in real estate assets, net.</w:t>
      </w:r>
    </w:p>
    <w:p>
      <w:pPr>
        <w:spacing w:after="0" w:line="206"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ventures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202"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 For acquisitions that meet the definition of a business, the Company estimates the fair value of the identifiable assets and liabilities of the acquired entity on the acquisition date. Goodwill is measured as the excess of consideration transferred over the net of the acquisition date fair values of the identifiable assets acquired and liabilities assumed. Acquisition-related expenses arising from the transaction are expensed as incurred. The Company includes the results of operations of the businesses that it acquires beginning on the acquisition date.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Financial Instruments</w:t>
      </w:r>
    </w:p>
    <w:p>
      <w:pPr>
        <w:spacing w:after="0" w:line="250" w:lineRule="exact"/>
        <w:rPr>
          <w:sz w:val="20"/>
          <w:szCs w:val="20"/>
          <w:color w:val="auto"/>
        </w:rPr>
      </w:pPr>
    </w:p>
    <w:p>
      <w:pPr>
        <w:ind w:right="120" w:firstLine="433"/>
        <w:spacing w:after="0" w:line="290" w:lineRule="auto"/>
        <w:rPr>
          <w:sz w:val="20"/>
          <w:szCs w:val="20"/>
          <w:color w:val="auto"/>
        </w:rPr>
      </w:pPr>
      <w:r>
        <w:rPr>
          <w:rFonts w:ascii="Arial" w:cs="Arial" w:eastAsia="Arial" w:hAnsi="Arial"/>
          <w:sz w:val="16"/>
          <w:szCs w:val="16"/>
          <w:color w:val="auto"/>
        </w:rPr>
        <w:t>The carrying values of cash and cash equivalents, restricted cash, receivables, other financial instruments included in other assets, accounts payable and accrued expenses, variable-rate notes payable, investments in debt securities and notes receivable, lines of credit and other liabilities reflected in the condensed consolidated balance sheets at September 30, 2023 and December 31, 2022 approximate fair value. Restricted cash is comprised of funds deposited with financial institutions located throughout the United States primarily relating to earnest money deposits on potential acquisitions.</w:t>
      </w:r>
    </w:p>
    <w:p>
      <w:pPr>
        <w:spacing w:after="0" w:line="186" w:lineRule="exact"/>
        <w:rPr>
          <w:sz w:val="20"/>
          <w:szCs w:val="20"/>
          <w:color w:val="auto"/>
        </w:rPr>
      </w:pPr>
    </w:p>
    <w:p>
      <w:pPr>
        <w:ind w:right="180" w:firstLine="433"/>
        <w:spacing w:after="0" w:line="286" w:lineRule="auto"/>
        <w:rPr>
          <w:sz w:val="20"/>
          <w:szCs w:val="20"/>
          <w:color w:val="auto"/>
        </w:rPr>
      </w:pPr>
      <w:r>
        <w:rPr>
          <w:rFonts w:ascii="Arial" w:cs="Arial" w:eastAsia="Arial" w:hAnsi="Arial"/>
          <w:sz w:val="16"/>
          <w:szCs w:val="16"/>
          <w:color w:val="auto"/>
        </w:rPr>
        <w:t>The fair values of the Company’s notes receivable from Preferred and Common Operating Partnership unit holders and other fixed rate notes receivable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the Company’s fixed-rate assets and liabilities were as follows for the periods indicated:</w:t>
      </w:r>
    </w:p>
    <w:p>
      <w:pPr>
        <w:spacing w:after="0" w:line="52" w:lineRule="exact"/>
        <w:rPr>
          <w:sz w:val="20"/>
          <w:szCs w:val="20"/>
          <w:color w:val="auto"/>
        </w:rPr>
      </w:pPr>
    </w:p>
    <w:p>
      <w:pPr>
        <w:jc w:val="right"/>
        <w:ind w:right="840"/>
        <w:spacing w:after="0"/>
        <w:tabs>
          <w:tab w:leader="none" w:pos="1260" w:val="left"/>
        </w:tabs>
        <w:rPr>
          <w:sz w:val="20"/>
          <w:szCs w:val="20"/>
          <w:color w:val="auto"/>
        </w:rPr>
      </w:pPr>
      <w:r>
        <w:rPr>
          <w:rFonts w:ascii="Arial" w:cs="Arial" w:eastAsia="Arial" w:hAnsi="Arial"/>
          <w:sz w:val="16"/>
          <w:szCs w:val="16"/>
          <w:b w:val="1"/>
          <w:bCs w:val="1"/>
          <w:color w:val="auto"/>
        </w:rPr>
        <w:t>September 30, 2023</w:t>
      </w:r>
      <w:r>
        <w:rPr>
          <w:sz w:val="20"/>
          <w:szCs w:val="20"/>
          <w:color w:val="auto"/>
        </w:rPr>
        <w:tab/>
      </w:r>
      <w:r>
        <w:rPr>
          <w:rFonts w:ascii="Arial" w:cs="Arial" w:eastAsia="Arial" w:hAnsi="Arial"/>
          <w:sz w:val="13"/>
          <w:szCs w:val="13"/>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17145</wp:posOffset>
            </wp:positionV>
            <wp:extent cx="1882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receivable from Preferred and Common Operating Partnership unit</w:t>
      </w:r>
    </w:p>
    <w:p>
      <w:pPr>
        <w:ind w:left="20"/>
        <w:spacing w:after="0"/>
        <w:tabs>
          <w:tab w:leader="none" w:pos="5200" w:val="left"/>
        </w:tabs>
        <w:rPr>
          <w:sz w:val="20"/>
          <w:szCs w:val="20"/>
          <w:color w:val="auto"/>
        </w:rPr>
      </w:pPr>
      <w:r>
        <w:rPr>
          <w:rFonts w:ascii="Arial" w:cs="Arial" w:eastAsia="Arial" w:hAnsi="Arial"/>
          <w:sz w:val="17"/>
          <w:szCs w:val="17"/>
          <w:color w:val="auto"/>
        </w:rPr>
        <w:t>holders</w:t>
      </w:r>
      <w:r>
        <w:rPr>
          <w:sz w:val="20"/>
          <w:szCs w:val="20"/>
          <w:color w:val="auto"/>
        </w:rPr>
        <w:tab/>
      </w:r>
      <w:r>
        <w:rPr>
          <w:rFonts w:ascii="Arial" w:cs="Arial" w:eastAsia="Arial" w:hAnsi="Arial"/>
          <w:sz w:val="17"/>
          <w:szCs w:val="17"/>
          <w:color w:val="auto"/>
        </w:rPr>
        <w:t>$</w:t>
      </w:r>
    </w:p>
    <w:p>
      <w:pPr>
        <w:spacing w:after="0" w:line="27"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7"/>
          <w:szCs w:val="17"/>
          <w:color w:val="auto"/>
        </w:rPr>
        <w:t>Fixed rate notes receivable</w:t>
      </w:r>
      <w:r>
        <w:rPr>
          <w:sz w:val="20"/>
          <w:szCs w:val="20"/>
          <w:color w:val="auto"/>
        </w:rPr>
        <w:tab/>
      </w:r>
      <w:r>
        <w:rPr>
          <w:rFonts w:ascii="Arial" w:cs="Arial" w:eastAsia="Arial" w:hAnsi="Arial"/>
          <w:sz w:val="17"/>
          <w:szCs w:val="17"/>
          <w:color w:val="auto"/>
        </w:rPr>
        <w:t>$</w:t>
      </w:r>
    </w:p>
    <w:p>
      <w:pPr>
        <w:spacing w:after="0" w:line="27"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7"/>
          <w:szCs w:val="17"/>
          <w:color w:val="auto"/>
        </w:rPr>
        <w:t>Fixed rate debt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93"/>
              <w:spacing w:after="0" w:line="170" w:lineRule="exact"/>
              <w:rPr>
                <w:sz w:val="20"/>
                <w:szCs w:val="20"/>
                <w:color w:val="auto"/>
              </w:rPr>
            </w:pPr>
            <w:r>
              <w:rPr>
                <w:rFonts w:ascii="Arial" w:cs="Arial" w:eastAsia="Arial" w:hAnsi="Arial"/>
                <w:sz w:val="17"/>
                <w:szCs w:val="17"/>
                <w:b w:val="1"/>
                <w:bCs w:val="1"/>
                <w:color w:val="auto"/>
              </w:rPr>
              <w:t>Fair</w:t>
            </w:r>
          </w:p>
        </w:tc>
        <w:tc>
          <w:tcPr>
            <w:tcW w:w="240" w:type="dxa"/>
            <w:vAlign w:val="bottom"/>
          </w:tcPr>
          <w:p>
            <w:pPr>
              <w:spacing w:after="0"/>
              <w:rPr>
                <w:sz w:val="14"/>
                <w:szCs w:val="14"/>
                <w:color w:val="auto"/>
              </w:rPr>
            </w:pPr>
          </w:p>
        </w:tc>
        <w:tc>
          <w:tcPr>
            <w:tcW w:w="1300" w:type="dxa"/>
            <w:vAlign w:val="bottom"/>
            <w:gridSpan w:val="2"/>
          </w:tcPr>
          <w:p>
            <w:pPr>
              <w:ind w:left="120"/>
              <w:spacing w:after="0" w:line="170" w:lineRule="exact"/>
              <w:rPr>
                <w:sz w:val="20"/>
                <w:szCs w:val="20"/>
                <w:color w:val="auto"/>
              </w:rPr>
            </w:pPr>
            <w:r>
              <w:rPr>
                <w:rFonts w:ascii="Arial" w:cs="Arial" w:eastAsia="Arial" w:hAnsi="Arial"/>
                <w:sz w:val="17"/>
                <w:szCs w:val="17"/>
                <w:b w:val="1"/>
                <w:bCs w:val="1"/>
                <w:color w:val="auto"/>
              </w:rPr>
              <w:t>Carrying</w:t>
            </w: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440"/>
              <w:spacing w:after="0" w:line="170" w:lineRule="exact"/>
              <w:rPr>
                <w:sz w:val="20"/>
                <w:szCs w:val="20"/>
                <w:color w:val="auto"/>
              </w:rPr>
            </w:pPr>
            <w:r>
              <w:rPr>
                <w:rFonts w:ascii="Arial" w:cs="Arial" w:eastAsia="Arial" w:hAnsi="Arial"/>
                <w:sz w:val="17"/>
                <w:szCs w:val="17"/>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3"/>
              <w:spacing w:after="0" w:line="170" w:lineRule="exact"/>
              <w:rPr>
                <w:sz w:val="20"/>
                <w:szCs w:val="20"/>
                <w:color w:val="auto"/>
              </w:rPr>
            </w:pPr>
            <w:r>
              <w:rPr>
                <w:rFonts w:ascii="Arial" w:cs="Arial" w:eastAsia="Arial" w:hAnsi="Arial"/>
                <w:sz w:val="17"/>
                <w:szCs w:val="17"/>
                <w:b w:val="1"/>
                <w:bCs w:val="1"/>
                <w:color w:val="auto"/>
              </w:rPr>
              <w:t>Carrying</w:t>
            </w:r>
          </w:p>
        </w:tc>
      </w:tr>
      <w:tr>
        <w:trPr>
          <w:trHeight w:val="232"/>
        </w:trPr>
        <w:tc>
          <w:tcPr>
            <w:tcW w:w="1020" w:type="dxa"/>
            <w:vAlign w:val="bottom"/>
          </w:tcPr>
          <w:p>
            <w:pPr>
              <w:jc w:val="right"/>
              <w:ind w:right="513"/>
              <w:spacing w:after="0"/>
              <w:rPr>
                <w:sz w:val="20"/>
                <w:szCs w:val="20"/>
                <w:color w:val="auto"/>
              </w:rPr>
            </w:pPr>
            <w:r>
              <w:rPr>
                <w:rFonts w:ascii="Arial" w:cs="Arial" w:eastAsia="Arial" w:hAnsi="Arial"/>
                <w:sz w:val="17"/>
                <w:szCs w:val="17"/>
                <w:b w:val="1"/>
                <w:bCs w:val="1"/>
                <w:color w:val="auto"/>
                <w:w w:val="88"/>
              </w:rPr>
              <w:t>Value</w:t>
            </w:r>
          </w:p>
        </w:tc>
        <w:tc>
          <w:tcPr>
            <w:tcW w:w="2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7"/>
                <w:szCs w:val="17"/>
                <w:b w:val="1"/>
                <w:bCs w:val="1"/>
                <w:color w:val="auto"/>
              </w:rPr>
              <w:t>Value</w:t>
            </w:r>
          </w:p>
        </w:tc>
        <w:tc>
          <w:tcPr>
            <w:tcW w:w="30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2"/>
              </w:rPr>
              <w:t>Value</w:t>
            </w:r>
          </w:p>
        </w:tc>
        <w:tc>
          <w:tcPr>
            <w:tcW w:w="220" w:type="dxa"/>
            <w:vAlign w:val="bottom"/>
          </w:tcPr>
          <w:p>
            <w:pPr>
              <w:spacing w:after="0"/>
              <w:rPr>
                <w:sz w:val="20"/>
                <w:szCs w:val="20"/>
                <w:color w:val="auto"/>
              </w:rPr>
            </w:pPr>
          </w:p>
        </w:tc>
        <w:tc>
          <w:tcPr>
            <w:tcW w:w="1200" w:type="dxa"/>
            <w:vAlign w:val="bottom"/>
          </w:tcPr>
          <w:p>
            <w:pPr>
              <w:jc w:val="right"/>
              <w:ind w:right="413"/>
              <w:spacing w:after="0"/>
              <w:rPr>
                <w:sz w:val="20"/>
                <w:szCs w:val="20"/>
                <w:color w:val="auto"/>
              </w:rPr>
            </w:pPr>
            <w:r>
              <w:rPr>
                <w:rFonts w:ascii="Arial" w:cs="Arial" w:eastAsia="Arial" w:hAnsi="Arial"/>
                <w:sz w:val="17"/>
                <w:szCs w:val="17"/>
                <w:b w:val="1"/>
                <w:bCs w:val="1"/>
                <w:color w:val="auto"/>
              </w:rPr>
              <w:t>Value</w:t>
            </w:r>
          </w:p>
        </w:tc>
      </w:tr>
      <w:tr>
        <w:trPr>
          <w:trHeight w:val="390"/>
        </w:trPr>
        <w:tc>
          <w:tcPr>
            <w:tcW w:w="1020" w:type="dxa"/>
            <w:vAlign w:val="bottom"/>
          </w:tcPr>
          <w:p>
            <w:pPr>
              <w:jc w:val="right"/>
              <w:ind w:right="73"/>
              <w:spacing w:after="0"/>
              <w:rPr>
                <w:sz w:val="20"/>
                <w:szCs w:val="20"/>
                <w:color w:val="auto"/>
              </w:rPr>
            </w:pPr>
            <w:r>
              <w:rPr>
                <w:rFonts w:ascii="Arial" w:cs="Arial" w:eastAsia="Arial" w:hAnsi="Arial"/>
                <w:sz w:val="17"/>
                <w:szCs w:val="17"/>
                <w:color w:val="auto"/>
              </w:rPr>
              <w:t>1,885</w:t>
            </w:r>
          </w:p>
        </w:tc>
        <w:tc>
          <w:tcPr>
            <w:tcW w:w="24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1,900</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95,965</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101,900</w:t>
            </w:r>
          </w:p>
        </w:tc>
      </w:tr>
      <w:tr>
        <w:trPr>
          <w:trHeight w:val="223"/>
        </w:trPr>
        <w:tc>
          <w:tcPr>
            <w:tcW w:w="1020" w:type="dxa"/>
            <w:vAlign w:val="bottom"/>
          </w:tcPr>
          <w:p>
            <w:pPr>
              <w:jc w:val="right"/>
              <w:ind w:right="73"/>
              <w:spacing w:after="0"/>
              <w:rPr>
                <w:sz w:val="20"/>
                <w:szCs w:val="20"/>
                <w:color w:val="auto"/>
              </w:rPr>
            </w:pPr>
            <w:r>
              <w:rPr>
                <w:rFonts w:ascii="Arial" w:cs="Arial" w:eastAsia="Arial" w:hAnsi="Arial"/>
                <w:sz w:val="17"/>
                <w:szCs w:val="17"/>
                <w:color w:val="auto"/>
              </w:rPr>
              <w:t>889</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5,191</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5,241</w:t>
            </w:r>
          </w:p>
        </w:tc>
      </w:tr>
      <w:tr>
        <w:trPr>
          <w:trHeight w:val="223"/>
        </w:trPr>
        <w:tc>
          <w:tcPr>
            <w:tcW w:w="1020" w:type="dxa"/>
            <w:vAlign w:val="bottom"/>
          </w:tcPr>
          <w:p>
            <w:pPr>
              <w:jc w:val="right"/>
              <w:ind w:right="73"/>
              <w:spacing w:after="0"/>
              <w:rPr>
                <w:sz w:val="20"/>
                <w:szCs w:val="20"/>
                <w:color w:val="auto"/>
              </w:rPr>
            </w:pPr>
            <w:r>
              <w:rPr>
                <w:rFonts w:ascii="Arial" w:cs="Arial" w:eastAsia="Arial" w:hAnsi="Arial"/>
                <w:sz w:val="17"/>
                <w:szCs w:val="17"/>
                <w:color w:val="auto"/>
              </w:rPr>
              <w:t>6,695,430</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7,654,623</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4,320,014</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4,762,196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-140335</wp:posOffset>
            </wp:positionV>
            <wp:extent cx="7136130" cy="141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-540385</wp:posOffset>
            </wp:positionV>
            <wp:extent cx="7136130" cy="258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58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00"/>
            <w:col w:w="5520"/>
          </w:cols>
          <w:pgMar w:left="320" w:top="357" w:right="3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right="7920" w:firstLine="5"/>
        <w:spacing w:after="0" w:line="534" w:lineRule="auto"/>
        <w:tabs>
          <w:tab w:leader="none" w:pos="30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AND DISPOSITIONS The Life Storage Merger</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July 20, 2023, the Company closed its merger with Life Storage (the "Life Storage Merger" or "Merger"). Under the terms of the Life Storage Merger,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Life Storage stockholders and holders of units of the Life Storage operating partnership received 0.895 of a share of common stock (or OP Unit, as applicable)</w:t>
      </w:r>
    </w:p>
    <w:p>
      <w:pPr>
        <w:spacing w:after="0"/>
        <w:rPr>
          <w:sz w:val="20"/>
          <w:szCs w:val="20"/>
          <w:color w:val="auto"/>
        </w:rPr>
      </w:pPr>
      <w:r>
        <w:rPr>
          <w:rFonts w:ascii="Arial" w:cs="Arial" w:eastAsia="Arial" w:hAnsi="Arial"/>
          <w:sz w:val="16"/>
          <w:szCs w:val="16"/>
          <w:color w:val="auto"/>
        </w:rPr>
        <w:t>of the Company for each issued and outstanding share (or operating partnership unit) of Life Storage they owned for total consideration of $11,602,808, based</w:t>
      </w:r>
    </w:p>
    <w:p>
      <w:pPr>
        <w:spacing w:after="0"/>
        <w:rPr>
          <w:sz w:val="20"/>
          <w:szCs w:val="20"/>
          <w:color w:val="auto"/>
        </w:rPr>
      </w:pPr>
      <w:r>
        <w:rPr>
          <w:rFonts w:ascii="Arial" w:cs="Arial" w:eastAsia="Arial" w:hAnsi="Arial"/>
          <w:sz w:val="16"/>
          <w:szCs w:val="16"/>
          <w:color w:val="auto"/>
        </w:rPr>
        <w:t>on the Company's closing share price on July 19, 2023. At closing, the Company retired $1,160,000 in balances on Life Storage's line of credit which included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$375,000 that Life Storage used to pay off its private placement notes in connection with the closing of the Life Storage Merger. The Company also paid off</w:t>
      </w:r>
    </w:p>
    <w:p>
      <w:pPr>
        <w:spacing w:after="0"/>
        <w:rPr>
          <w:sz w:val="20"/>
          <w:szCs w:val="20"/>
          <w:color w:val="auto"/>
        </w:rPr>
      </w:pPr>
      <w:r>
        <w:rPr>
          <w:rFonts w:ascii="Arial" w:cs="Arial" w:eastAsia="Arial" w:hAnsi="Arial"/>
          <w:sz w:val="15"/>
          <w:szCs w:val="15"/>
          <w:color w:val="auto"/>
        </w:rPr>
        <w:t>$32,000 in secured loans. On July 25, 2023, the Company completed obligor exchange offers and consent solicitations (together the "Exchange Offers") related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to Life Storage's various senior notes. Upon the closing of the Exchange Offers, a total of $2,351,100 of Life Storage's senior notes were exchanged for senior</w:t>
      </w:r>
    </w:p>
    <w:p>
      <w:pPr>
        <w:spacing w:after="0"/>
        <w:rPr>
          <w:sz w:val="20"/>
          <w:szCs w:val="20"/>
          <w:color w:val="auto"/>
        </w:rPr>
      </w:pPr>
      <w:r>
        <w:rPr>
          <w:rFonts w:ascii="Arial" w:cs="Arial" w:eastAsia="Arial" w:hAnsi="Arial"/>
          <w:sz w:val="16"/>
          <w:szCs w:val="16"/>
          <w:color w:val="auto"/>
        </w:rPr>
        <w:t>notes of the same tenor of Extra Space Storage L.P. The remaining Life Storage senior note balances which were not exchanged total $48,900 and no longer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have any financial reporting requirements or covenants.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Consideration and Purchase Price Allocation</w:t>
      </w:r>
    </w:p>
    <w:p>
      <w:pPr>
        <w:spacing w:after="0" w:line="290" w:lineRule="exact"/>
        <w:rPr>
          <w:sz w:val="20"/>
          <w:szCs w:val="20"/>
          <w:color w:val="auto"/>
        </w:rPr>
      </w:pPr>
    </w:p>
    <w:p>
      <w:pPr>
        <w:jc w:val="both"/>
        <w:ind w:right="100" w:firstLine="433"/>
        <w:spacing w:after="0" w:line="241" w:lineRule="auto"/>
        <w:rPr>
          <w:sz w:val="20"/>
          <w:szCs w:val="20"/>
          <w:color w:val="auto"/>
        </w:rPr>
      </w:pPr>
      <w:r>
        <w:rPr>
          <w:rFonts w:ascii="Arial" w:cs="Arial" w:eastAsia="Arial" w:hAnsi="Arial"/>
          <w:sz w:val="17"/>
          <w:szCs w:val="17"/>
          <w:color w:val="auto"/>
        </w:rPr>
        <w:t>The Merger was accounted for as an asset acquisition in accordance with ASC Topic 805 which requires that the cost of an acquisition be allocated on a relative fair value basis to the assets acquired and the liabilities assumed. The following table summarizes the fair value of total consideration transferred in the Life Storage Merger:</w:t>
      </w:r>
    </w:p>
    <w:p>
      <w:pPr>
        <w:spacing w:after="0" w:line="21" w:lineRule="exact"/>
        <w:rPr>
          <w:sz w:val="20"/>
          <w:szCs w:val="20"/>
          <w:color w:val="auto"/>
        </w:rPr>
      </w:pPr>
    </w:p>
    <w:tbl>
      <w:tblPr>
        <w:tblLayout w:type="fixed"/>
        <w:tblInd w:w="760" w:type="dxa"/>
        <w:tblCellMar>
          <w:top w:w="0" w:type="dxa"/>
          <w:left w:w="0" w:type="dxa"/>
          <w:bottom w:w="0" w:type="dxa"/>
          <w:right w:w="0" w:type="dxa"/>
        </w:tblCellMar>
      </w:tblPr>
      <w:tr>
        <w:trPr>
          <w:trHeight w:val="228"/>
        </w:trPr>
        <w:tc>
          <w:tcPr>
            <w:tcW w:w="76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Consideration Type</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July 20, 2023</w:t>
            </w:r>
          </w:p>
        </w:tc>
      </w:tr>
      <w:tr>
        <w:trPr>
          <w:trHeight w:val="216"/>
        </w:trPr>
        <w:tc>
          <w:tcPr>
            <w:tcW w:w="7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Common stock</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11,353,338</w:t>
            </w:r>
          </w:p>
        </w:tc>
      </w:tr>
      <w:tr>
        <w:trPr>
          <w:trHeight w:val="223"/>
        </w:trPr>
        <w:tc>
          <w:tcPr>
            <w:tcW w:w="7660" w:type="dxa"/>
            <w:vAlign w:val="bottom"/>
          </w:tcPr>
          <w:p>
            <w:pPr>
              <w:ind w:left="100"/>
              <w:spacing w:after="0"/>
              <w:rPr>
                <w:sz w:val="20"/>
                <w:szCs w:val="20"/>
                <w:color w:val="auto"/>
              </w:rPr>
            </w:pPr>
            <w:r>
              <w:rPr>
                <w:rFonts w:ascii="Arial" w:cs="Arial" w:eastAsia="Arial" w:hAnsi="Arial"/>
                <w:sz w:val="17"/>
                <w:szCs w:val="17"/>
                <w:color w:val="auto"/>
              </w:rPr>
              <w:t>OP units</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249,470</w:t>
            </w:r>
          </w:p>
        </w:tc>
      </w:tr>
      <w:tr>
        <w:trPr>
          <w:trHeight w:val="223"/>
        </w:trPr>
        <w:tc>
          <w:tcPr>
            <w:tcW w:w="7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for payoff of Life Storage credit facility and debt</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1,192,000</w:t>
            </w:r>
          </w:p>
        </w:tc>
      </w:tr>
      <w:tr>
        <w:trPr>
          <w:trHeight w:val="223"/>
        </w:trPr>
        <w:tc>
          <w:tcPr>
            <w:tcW w:w="76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Transaction Costs</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55,318</w:t>
            </w:r>
          </w:p>
        </w:tc>
      </w:tr>
      <w:tr>
        <w:trPr>
          <w:trHeight w:val="241"/>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consideration</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12,850,127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80" w:type="dxa"/>
            <w:vAlign w:val="bottom"/>
            <w:gridSpan w:val="2"/>
          </w:tcPr>
          <w:p>
            <w:pPr>
              <w:spacing w:after="0"/>
              <w:rPr>
                <w:sz w:val="20"/>
                <w:szCs w:val="20"/>
                <w:color w:val="auto"/>
              </w:rPr>
            </w:pPr>
            <w:r>
              <w:rPr>
                <w:rFonts w:ascii="Arial" w:cs="Arial" w:eastAsia="Arial" w:hAnsi="Arial"/>
                <w:sz w:val="17"/>
                <w:szCs w:val="17"/>
                <w:color w:val="auto"/>
                <w:w w:val="97"/>
              </w:rPr>
              <w:t>The following table summarizes the estimated fair values assigned to the assets acquired and liabilities assumed:</w:t>
            </w:r>
          </w:p>
        </w:tc>
        <w:tc>
          <w:tcPr>
            <w:tcW w:w="3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02"/>
        </w:trPr>
        <w:tc>
          <w:tcPr>
            <w:tcW w:w="660" w:type="dxa"/>
            <w:vAlign w:val="bottom"/>
          </w:tcPr>
          <w:p>
            <w:pPr>
              <w:spacing w:after="0"/>
              <w:rPr>
                <w:sz w:val="24"/>
                <w:szCs w:val="24"/>
                <w:color w:val="auto"/>
              </w:rPr>
            </w:pPr>
          </w:p>
        </w:tc>
        <w:tc>
          <w:tcPr>
            <w:tcW w:w="76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July 20, 2023</w:t>
            </w:r>
          </w:p>
        </w:tc>
      </w:tr>
      <w:tr>
        <w:trPr>
          <w:trHeight w:val="216"/>
        </w:trPr>
        <w:tc>
          <w:tcPr>
            <w:tcW w:w="66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Real estate assets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14,587,735</w:t>
            </w:r>
          </w:p>
        </w:tc>
      </w:tr>
      <w:tr>
        <w:trPr>
          <w:trHeight w:val="223"/>
        </w:trPr>
        <w:tc>
          <w:tcPr>
            <w:tcW w:w="66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7"/>
                <w:szCs w:val="17"/>
                <w:color w:val="auto"/>
              </w:rPr>
              <w:t>Equity investment in joint venture partnerships</w:t>
            </w: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325,250</w:t>
            </w:r>
          </w:p>
        </w:tc>
      </w:tr>
      <w:tr>
        <w:trPr>
          <w:trHeight w:val="223"/>
        </w:trPr>
        <w:tc>
          <w:tcPr>
            <w:tcW w:w="660" w:type="dxa"/>
            <w:vAlign w:val="bottom"/>
          </w:tcPr>
          <w:p>
            <w:pPr>
              <w:spacing w:after="0"/>
              <w:rPr>
                <w:sz w:val="19"/>
                <w:szCs w:val="19"/>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other assets</w:t>
            </w: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107,423</w:t>
            </w:r>
          </w:p>
        </w:tc>
      </w:tr>
      <w:tr>
        <w:trPr>
          <w:trHeight w:val="223"/>
        </w:trPr>
        <w:tc>
          <w:tcPr>
            <w:tcW w:w="66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7"/>
                <w:szCs w:val="17"/>
                <w:color w:val="auto"/>
              </w:rPr>
              <w:t>Intangible assets - other</w:t>
            </w: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82,000</w:t>
            </w:r>
          </w:p>
        </w:tc>
      </w:tr>
      <w:tr>
        <w:trPr>
          <w:trHeight w:val="223"/>
        </w:trPr>
        <w:tc>
          <w:tcPr>
            <w:tcW w:w="660" w:type="dxa"/>
            <w:vAlign w:val="bottom"/>
          </w:tcPr>
          <w:p>
            <w:pPr>
              <w:spacing w:after="0"/>
              <w:rPr>
                <w:sz w:val="19"/>
                <w:szCs w:val="19"/>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Trade name</w:t>
            </w: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r>
      <w:tr>
        <w:trPr>
          <w:trHeight w:val="223"/>
        </w:trPr>
        <w:tc>
          <w:tcPr>
            <w:tcW w:w="66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7"/>
                <w:szCs w:val="17"/>
                <w:color w:val="auto"/>
              </w:rPr>
              <w:t>Unsecured senior notes</w:t>
            </w: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(2,106,866)</w:t>
            </w:r>
          </w:p>
        </w:tc>
      </w:tr>
      <w:tr>
        <w:trPr>
          <w:trHeight w:val="223"/>
        </w:trPr>
        <w:tc>
          <w:tcPr>
            <w:tcW w:w="660" w:type="dxa"/>
            <w:vAlign w:val="bottom"/>
          </w:tcPr>
          <w:p>
            <w:pPr>
              <w:spacing w:after="0"/>
              <w:rPr>
                <w:sz w:val="19"/>
                <w:szCs w:val="19"/>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 accrued expenses and other liabilities</w:t>
            </w: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(191,077)</w:t>
            </w:r>
          </w:p>
        </w:tc>
      </w:tr>
      <w:tr>
        <w:trPr>
          <w:trHeight w:val="223"/>
        </w:trPr>
        <w:tc>
          <w:tcPr>
            <w:tcW w:w="660" w:type="dxa"/>
            <w:vAlign w:val="bottom"/>
          </w:tcPr>
          <w:p>
            <w:pPr>
              <w:spacing w:after="0"/>
              <w:rPr>
                <w:sz w:val="19"/>
                <w:szCs w:val="19"/>
                <w:color w:val="auto"/>
              </w:rPr>
            </w:pPr>
          </w:p>
        </w:tc>
        <w:tc>
          <w:tcPr>
            <w:tcW w:w="76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Noncontrolling interests</w:t>
            </w: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(4,338)</w:t>
            </w:r>
          </w:p>
        </w:tc>
      </w:tr>
      <w:tr>
        <w:trPr>
          <w:trHeight w:val="241"/>
        </w:trPr>
        <w:tc>
          <w:tcPr>
            <w:tcW w:w="660" w:type="dxa"/>
            <w:vAlign w:val="bottom"/>
          </w:tcPr>
          <w:p>
            <w:pPr>
              <w:spacing w:after="0"/>
              <w:rPr>
                <w:sz w:val="20"/>
                <w:szCs w:val="20"/>
                <w:color w:val="auto"/>
              </w:rPr>
            </w:pPr>
          </w:p>
        </w:tc>
        <w:tc>
          <w:tcPr>
            <w:tcW w:w="7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Fair value of net assets acquired</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12,850,127</w:t>
            </w:r>
          </w:p>
        </w:tc>
      </w:tr>
      <w:tr>
        <w:trPr>
          <w:trHeight w:val="20"/>
        </w:trPr>
        <w:tc>
          <w:tcPr>
            <w:tcW w:w="660" w:type="dxa"/>
            <w:vAlign w:val="bottom"/>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Measurement</w:t>
      </w:r>
    </w:p>
    <w:p>
      <w:pPr>
        <w:spacing w:after="0" w:line="237" w:lineRule="exact"/>
        <w:rPr>
          <w:sz w:val="20"/>
          <w:szCs w:val="20"/>
          <w:color w:val="auto"/>
        </w:rPr>
      </w:pPr>
    </w:p>
    <w:p>
      <w:pPr>
        <w:ind w:right="240" w:firstLine="433"/>
        <w:spacing w:after="0" w:line="241" w:lineRule="auto"/>
        <w:rPr>
          <w:sz w:val="20"/>
          <w:szCs w:val="20"/>
          <w:color w:val="auto"/>
        </w:rPr>
      </w:pPr>
      <w:r>
        <w:rPr>
          <w:rFonts w:ascii="Arial" w:cs="Arial" w:eastAsia="Arial" w:hAnsi="Arial"/>
          <w:sz w:val="17"/>
          <w:szCs w:val="17"/>
          <w:color w:val="auto"/>
        </w:rPr>
        <w:t>The estimated fair values of assets acquired and liabilities assumed were primarily based on information that was available as of the closing date of the Life Storage Merger. The methodology used to estimate the fair values to apply purchase accounting and the ongoing financial statement impact, if any, are summarized below.</w:t>
      </w:r>
    </w:p>
    <w:p>
      <w:pPr>
        <w:spacing w:after="0" w:line="264" w:lineRule="exact"/>
        <w:rPr>
          <w:sz w:val="20"/>
          <w:szCs w:val="20"/>
          <w:color w:val="auto"/>
        </w:rPr>
      </w:pPr>
    </w:p>
    <w:p>
      <w:pPr>
        <w:ind w:left="480" w:right="20" w:hanging="318"/>
        <w:spacing w:after="0" w:line="265" w:lineRule="auto"/>
        <w:tabs>
          <w:tab w:leader="none" w:pos="47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Real estate assets – the Company engaged third party valuation specialists to calculate the fair value of the real estate assets acquired by the Company using standard valuation methodologies, including the cost and market approaches. The remaining useful lives for real estate assets, excluding land, were reset to 39 years. The Company also engaged third party valuation specialists to calculate the fair value of tenant relationships for storage leases based on estimated costs the Company avoided to replace them. Tenant relationships are amortized to expense over 18 months, which is based on the Company’s historical experience with turnover in its stores.</w:t>
      </w:r>
    </w:p>
    <w:p>
      <w:pPr>
        <w:spacing w:after="0" w:line="22" w:lineRule="exact"/>
        <w:rPr>
          <w:rFonts w:ascii="Arial" w:cs="Arial" w:eastAsia="Arial" w:hAnsi="Arial"/>
          <w:sz w:val="17"/>
          <w:szCs w:val="17"/>
          <w:color w:val="auto"/>
        </w:rPr>
      </w:pPr>
    </w:p>
    <w:p>
      <w:pPr>
        <w:ind w:left="480" w:right="380" w:hanging="318"/>
        <w:spacing w:after="0" w:line="289" w:lineRule="auto"/>
        <w:tabs>
          <w:tab w:leader="none" w:pos="475" w:val="left"/>
        </w:tabs>
        <w:numPr>
          <w:ilvl w:val="0"/>
          <w:numId w:val="5"/>
        </w:numPr>
        <w:rPr>
          <w:rFonts w:ascii="Arial" w:cs="Arial" w:eastAsia="Arial" w:hAnsi="Arial"/>
          <w:sz w:val="17"/>
          <w:szCs w:val="17"/>
          <w:color w:val="auto"/>
        </w:rPr>
      </w:pPr>
      <w:r>
        <w:rPr>
          <w:rFonts w:ascii="Arial" w:cs="Arial" w:eastAsia="Arial" w:hAnsi="Arial"/>
          <w:sz w:val="17"/>
          <w:szCs w:val="17"/>
          <w:color w:val="auto"/>
        </w:rPr>
        <w:t>Equity investment in joint venture partnerships - the Company calculated the fair value of equity investment in joint venture partnerships based on a direct capitalization of net operating income.</w:t>
      </w:r>
    </w:p>
    <w:p>
      <w:pPr>
        <w:spacing w:after="0" w:line="1" w:lineRule="exact"/>
        <w:rPr>
          <w:rFonts w:ascii="Arial" w:cs="Arial" w:eastAsia="Arial" w:hAnsi="Arial"/>
          <w:sz w:val="17"/>
          <w:szCs w:val="17"/>
          <w:color w:val="auto"/>
        </w:rPr>
      </w:pPr>
    </w:p>
    <w:p>
      <w:pPr>
        <w:ind w:left="480" w:right="200" w:hanging="318"/>
        <w:spacing w:after="0" w:line="316" w:lineRule="auto"/>
        <w:tabs>
          <w:tab w:leader="none" w:pos="475"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Intangible assets - other – the Company engaged third party valuation specialists to calculate the fair value of customer relationships relating to tenant reinsurance contracts based on the income approach which estimates the potential revenue loss the Company avoided to replace them. These assets are amortized to expense over 36 months, which is based on the Company’s historical experience with average length of stay for tenants.</w:t>
      </w:r>
    </w:p>
    <w:p>
      <w:pPr>
        <w:ind w:left="480" w:hanging="318"/>
        <w:spacing w:after="0" w:line="268" w:lineRule="auto"/>
        <w:tabs>
          <w:tab w:leader="none" w:pos="4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Trade name – the Company engaged third party valuation specialists to calculate the fair value of trade names based on royalty payments avoided had the trade name been owned by a third party. This is determined using market royalty rates and a discounted cash flow analysis under the relief-from-royalty method to estimate the fair value of the trade name. This method incorporates various assumptions, including projected revenue growth rates, the terminal growth rate, the royalty rate to be applied, and the discount rate utilized.</w:t>
      </w:r>
    </w:p>
    <w:p>
      <w:pPr>
        <w:spacing w:after="0" w:line="18" w:lineRule="exact"/>
        <w:rPr>
          <w:rFonts w:ascii="Arial" w:cs="Arial" w:eastAsia="Arial" w:hAnsi="Arial"/>
          <w:sz w:val="17"/>
          <w:szCs w:val="17"/>
          <w:color w:val="auto"/>
        </w:rPr>
      </w:pPr>
    </w:p>
    <w:p>
      <w:pPr>
        <w:ind w:left="480" w:hanging="318"/>
        <w:spacing w:after="0" w:line="268" w:lineRule="auto"/>
        <w:tabs>
          <w:tab w:leader="none" w:pos="475" w:val="left"/>
        </w:tabs>
        <w:numPr>
          <w:ilvl w:val="0"/>
          <w:numId w:val="5"/>
        </w:numPr>
        <w:rPr>
          <w:rFonts w:ascii="Arial" w:cs="Arial" w:eastAsia="Arial" w:hAnsi="Arial"/>
          <w:sz w:val="17"/>
          <w:szCs w:val="17"/>
          <w:color w:val="auto"/>
        </w:rPr>
      </w:pPr>
      <w:r>
        <w:rPr>
          <w:rFonts w:ascii="Arial" w:cs="Arial" w:eastAsia="Arial" w:hAnsi="Arial"/>
          <w:sz w:val="17"/>
          <w:szCs w:val="17"/>
          <w:color w:val="auto"/>
        </w:rPr>
        <w:t>Unsecured senior notes – the Company calculated the fair value of the unsecured senior notes using standard valuation methodology, including readily available market data. The below-market value of debt is recorded as a debt discount and reported as a reduction of the unsecured senior notes balance on the condensed consolidated balance sheets. The discount is amortized using effective interest method as an increase to interest expense over the remaining terms of the unsecured senior notes.</w:t>
      </w:r>
    </w:p>
    <w:p>
      <w:pPr>
        <w:spacing w:after="0" w:line="18" w:lineRule="exact"/>
        <w:rPr>
          <w:rFonts w:ascii="Arial" w:cs="Arial" w:eastAsia="Arial" w:hAnsi="Arial"/>
          <w:sz w:val="17"/>
          <w:szCs w:val="17"/>
          <w:color w:val="auto"/>
        </w:rPr>
      </w:pPr>
    </w:p>
    <w:p>
      <w:pPr>
        <w:ind w:left="480" w:right="280" w:hanging="318"/>
        <w:spacing w:after="0" w:line="289" w:lineRule="auto"/>
        <w:tabs>
          <w:tab w:leader="none" w:pos="475"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assets and liabilities – the carrying values of cash, accounts receivable, prepaids and other assets, accounts payable, accrued expenses and other liabilities represented the fair values.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40" w:type="dxa"/>
            <w:vAlign w:val="bottom"/>
            <w:gridSpan w:val="3"/>
            <w:vMerge w:val="restart"/>
          </w:tcPr>
          <w:p>
            <w:pPr>
              <w:jc w:val="center"/>
              <w:ind w:right="275"/>
              <w:spacing w:after="0"/>
              <w:rPr>
                <w:sz w:val="20"/>
                <w:szCs w:val="20"/>
                <w:color w:val="auto"/>
              </w:rPr>
            </w:pPr>
            <w:r>
              <w:rPr>
                <w:rFonts w:ascii="Arial" w:cs="Arial" w:eastAsia="Arial" w:hAnsi="Arial"/>
                <w:sz w:val="16"/>
                <w:szCs w:val="16"/>
                <w:b w:val="1"/>
                <w:bCs w:val="1"/>
                <w:color w:val="auto"/>
                <w:w w:val="88"/>
              </w:rPr>
              <w:t>September 30, 2023</w:t>
            </w:r>
          </w:p>
        </w:tc>
        <w:tc>
          <w:tcPr>
            <w:tcW w:w="1860" w:type="dxa"/>
            <w:vAlign w:val="bottom"/>
          </w:tcPr>
          <w:p>
            <w:pPr>
              <w:jc w:val="center"/>
              <w:ind w:right="200"/>
              <w:spacing w:after="0"/>
              <w:rPr>
                <w:sz w:val="20"/>
                <w:szCs w:val="20"/>
                <w:color w:val="auto"/>
              </w:rPr>
            </w:pPr>
            <w:r>
              <w:rPr>
                <w:rFonts w:ascii="Arial" w:cs="Arial" w:eastAsia="Arial" w:hAnsi="Arial"/>
                <w:sz w:val="14"/>
                <w:szCs w:val="14"/>
                <w:b w:val="1"/>
                <w:bCs w:val="1"/>
                <w:color w:val="auto"/>
                <w:w w:val="90"/>
              </w:rPr>
              <w:t>Three Months Ended</w:t>
            </w:r>
          </w:p>
        </w:tc>
        <w:tc>
          <w:tcPr>
            <w:tcW w:w="172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gridSpan w:val="3"/>
            <w:vMerge w:val="continue"/>
          </w:tcPr>
          <w:p>
            <w:pPr>
              <w:spacing w:after="0"/>
              <w:rPr>
                <w:sz w:val="16"/>
                <w:szCs w:val="16"/>
                <w:color w:val="auto"/>
              </w:rPr>
            </w:pPr>
          </w:p>
        </w:tc>
        <w:tc>
          <w:tcPr>
            <w:tcW w:w="18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0"/>
              </w:rPr>
              <w:t>September 30, 2023</w:t>
            </w:r>
          </w:p>
        </w:tc>
        <w:tc>
          <w:tcPr>
            <w:tcW w:w="17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September 30, 2023</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Intangible Assets:</w:t>
            </w: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w w:val="95"/>
              </w:rPr>
              <w:t>Gross Carrying Amount</w:t>
            </w: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w w:val="93"/>
              </w:rPr>
              <w:t>Accumulated Amortization</w:t>
            </w:r>
          </w:p>
        </w:tc>
        <w:tc>
          <w:tcPr>
            <w:tcW w:w="1860" w:type="dxa"/>
            <w:vAlign w:val="bottom"/>
            <w:tcBorders>
              <w:bottom w:val="single" w:sz="8" w:color="auto"/>
            </w:tcBorders>
          </w:tcPr>
          <w:p>
            <w:pPr>
              <w:jc w:val="center"/>
              <w:ind w:right="200"/>
              <w:spacing w:after="0"/>
              <w:rPr>
                <w:sz w:val="20"/>
                <w:szCs w:val="20"/>
                <w:color w:val="auto"/>
              </w:rPr>
            </w:pPr>
            <w:r>
              <w:rPr>
                <w:rFonts w:ascii="Arial" w:cs="Arial" w:eastAsia="Arial" w:hAnsi="Arial"/>
                <w:sz w:val="16"/>
                <w:szCs w:val="16"/>
                <w:b w:val="1"/>
                <w:bCs w:val="1"/>
                <w:color w:val="auto"/>
                <w:w w:val="89"/>
              </w:rPr>
              <w:t>Amortization Expense</w:t>
            </w:r>
          </w:p>
        </w:tc>
        <w:tc>
          <w:tcPr>
            <w:tcW w:w="17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9"/>
              </w:rPr>
              <w:t>Amortization Expense</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assets - other</w:t>
            </w: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82,000</w:t>
            </w: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4,723</w:t>
            </w:r>
          </w:p>
        </w:tc>
        <w:tc>
          <w:tcPr>
            <w:tcW w:w="186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4,723</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4,723</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132,000</w:t>
            </w:r>
          </w:p>
        </w:tc>
        <w:tc>
          <w:tcPr>
            <w:tcW w:w="220" w:type="dxa"/>
            <w:vAlign w:val="bottom"/>
            <w:tcBorders>
              <w:bottom w:val="single" w:sz="8" w:color="auto"/>
            </w:tcBorders>
            <w:shd w:val="clear" w:color="auto" w:fill="CCEEFF"/>
          </w:tcPr>
          <w:p>
            <w:pPr>
              <w:spacing w:after="0"/>
              <w:rPr>
                <w:sz w:val="20"/>
                <w:szCs w:val="20"/>
                <w:color w:val="auto"/>
              </w:rPr>
            </w:pPr>
          </w:p>
        </w:tc>
        <w:tc>
          <w:tcPr>
            <w:tcW w:w="23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4,723</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4,723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tbl>
      <w:tblPr>
        <w:tblLayout w:type="fixed"/>
        <w:tblInd w:w="202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6"/>
                <w:szCs w:val="16"/>
                <w:b w:val="1"/>
                <w:bCs w:val="1"/>
                <w:color w:val="auto"/>
              </w:rPr>
              <w:t>Estimated Aggregate Amortization Expense</w:t>
            </w:r>
          </w:p>
        </w:tc>
      </w:tr>
      <w:tr>
        <w:trPr>
          <w:trHeight w:val="209"/>
        </w:trPr>
        <w:tc>
          <w:tcPr>
            <w:tcW w:w="26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Intangible Assets: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78"/>
              <w:spacing w:after="0"/>
              <w:rPr>
                <w:sz w:val="20"/>
                <w:szCs w:val="20"/>
                <w:color w:val="auto"/>
              </w:rPr>
            </w:pPr>
            <w:r>
              <w:rPr>
                <w:rFonts w:ascii="Arial" w:cs="Arial" w:eastAsia="Arial" w:hAnsi="Arial"/>
                <w:sz w:val="14"/>
                <w:szCs w:val="14"/>
                <w:b w:val="1"/>
                <w:bCs w:val="1"/>
                <w:color w:val="auto"/>
              </w:rPr>
              <w:t>2024</w:t>
            </w:r>
          </w:p>
        </w:tc>
        <w:tc>
          <w:tcPr>
            <w:tcW w:w="152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2026</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 $</w:t>
            </w: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Intangible assets - other</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8"/>
              <w:spacing w:after="0"/>
              <w:rPr>
                <w:sz w:val="20"/>
                <w:szCs w:val="20"/>
                <w:color w:val="auto"/>
              </w:rPr>
            </w:pPr>
            <w:r>
              <w:rPr>
                <w:rFonts w:ascii="Arial" w:cs="Arial" w:eastAsia="Arial" w:hAnsi="Arial"/>
                <w:sz w:val="17"/>
                <w:szCs w:val="17"/>
                <w:color w:val="auto"/>
              </w:rPr>
              <w:t>23,375</w:t>
            </w:r>
          </w:p>
        </w:tc>
        <w:tc>
          <w:tcPr>
            <w:tcW w:w="152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color w:val="auto"/>
              </w:rPr>
              <w:t>19,833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11,569</w:t>
            </w:r>
          </w:p>
        </w:tc>
      </w:tr>
      <w:tr>
        <w:trPr>
          <w:trHeight w:val="241"/>
        </w:trPr>
        <w:tc>
          <w:tcPr>
            <w:tcW w:w="2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rPr>
              <w:t>23,375 $</w:t>
            </w: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19,833 $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11,569</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Acquisitions</w:t>
      </w:r>
    </w:p>
    <w:p>
      <w:pPr>
        <w:spacing w:after="0" w:line="250" w:lineRule="exact"/>
        <w:rPr>
          <w:sz w:val="20"/>
          <w:szCs w:val="20"/>
          <w:color w:val="auto"/>
        </w:rPr>
      </w:pPr>
    </w:p>
    <w:p>
      <w:pPr>
        <w:ind w:right="280" w:firstLine="433"/>
        <w:spacing w:after="0" w:line="269" w:lineRule="auto"/>
        <w:rPr>
          <w:sz w:val="20"/>
          <w:szCs w:val="20"/>
          <w:color w:val="auto"/>
        </w:rPr>
      </w:pPr>
      <w:r>
        <w:rPr>
          <w:rFonts w:ascii="Arial" w:cs="Arial" w:eastAsia="Arial" w:hAnsi="Arial"/>
          <w:sz w:val="17"/>
          <w:szCs w:val="17"/>
          <w:color w:val="auto"/>
        </w:rPr>
        <w:t>The following table shows the Company’s acquisitions of stores, excluding the Life Storage Merger, for the three and nine months ended September 30, 2023 and 2022. The table excludes purchases of raw land and improvements made to existing assets. All store acquisitions are considered asset acquisitions under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83"/>
        </w:trPr>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1980" w:type="dxa"/>
            <w:vAlign w:val="bottom"/>
          </w:tcPr>
          <w:p>
            <w:pPr>
              <w:spacing w:after="0"/>
              <w:rPr>
                <w:sz w:val="2"/>
                <w:szCs w:val="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1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Cash Paid</w:t>
            </w:r>
          </w:p>
        </w:tc>
        <w:tc>
          <w:tcPr>
            <w:tcW w:w="960" w:type="dxa"/>
            <w:vAlign w:val="bottom"/>
            <w:gridSpan w:val="2"/>
          </w:tcPr>
          <w:p>
            <w:pPr>
              <w:jc w:val="right"/>
              <w:spacing w:after="0" w:line="128" w:lineRule="exact"/>
              <w:rPr>
                <w:sz w:val="20"/>
                <w:szCs w:val="20"/>
                <w:color w:val="auto"/>
              </w:rPr>
            </w:pPr>
            <w:r>
              <w:rPr>
                <w:rFonts w:ascii="Arial" w:cs="Arial" w:eastAsia="Arial" w:hAnsi="Arial"/>
                <w:sz w:val="14"/>
                <w:szCs w:val="14"/>
                <w:b w:val="1"/>
                <w:bCs w:val="1"/>
                <w:color w:val="auto"/>
                <w:w w:val="93"/>
              </w:rPr>
              <w:t>Finance Lease</w:t>
            </w:r>
          </w:p>
        </w:tc>
        <w:tc>
          <w:tcPr>
            <w:tcW w:w="140" w:type="dxa"/>
            <w:vAlign w:val="bottom"/>
          </w:tcPr>
          <w:p>
            <w:pPr>
              <w:spacing w:after="0"/>
              <w:rPr>
                <w:sz w:val="11"/>
                <w:szCs w:val="11"/>
                <w:color w:val="auto"/>
              </w:rPr>
            </w:pPr>
          </w:p>
        </w:tc>
        <w:tc>
          <w:tcPr>
            <w:tcW w:w="1300" w:type="dxa"/>
            <w:vAlign w:val="bottom"/>
          </w:tcPr>
          <w:p>
            <w:pPr>
              <w:jc w:val="right"/>
              <w:ind w:right="23"/>
              <w:spacing w:after="0" w:line="128" w:lineRule="exact"/>
              <w:rPr>
                <w:sz w:val="20"/>
                <w:szCs w:val="20"/>
                <w:color w:val="auto"/>
              </w:rPr>
            </w:pPr>
            <w:r>
              <w:rPr>
                <w:rFonts w:ascii="Arial" w:cs="Arial" w:eastAsia="Arial" w:hAnsi="Arial"/>
                <w:sz w:val="14"/>
                <w:szCs w:val="14"/>
                <w:b w:val="1"/>
                <w:bCs w:val="1"/>
                <w:color w:val="auto"/>
                <w:w w:val="89"/>
              </w:rPr>
              <w:t>Investments in Real</w:t>
            </w:r>
          </w:p>
        </w:tc>
        <w:tc>
          <w:tcPr>
            <w:tcW w:w="1460" w:type="dxa"/>
            <w:vAlign w:val="bottom"/>
            <w:gridSpan w:val="2"/>
          </w:tcPr>
          <w:p>
            <w:pPr>
              <w:jc w:val="right"/>
              <w:spacing w:after="0" w:line="128" w:lineRule="exact"/>
              <w:rPr>
                <w:sz w:val="20"/>
                <w:szCs w:val="20"/>
                <w:color w:val="auto"/>
              </w:rPr>
            </w:pPr>
            <w:r>
              <w:rPr>
                <w:rFonts w:ascii="Arial" w:cs="Arial" w:eastAsia="Arial" w:hAnsi="Arial"/>
                <w:sz w:val="14"/>
                <w:szCs w:val="14"/>
                <w:b w:val="1"/>
                <w:bCs w:val="1"/>
                <w:color w:val="auto"/>
                <w:w w:val="92"/>
              </w:rPr>
              <w:t>Net Liabilities/ (Assets)</w:t>
            </w:r>
          </w:p>
        </w:tc>
        <w:tc>
          <w:tcPr>
            <w:tcW w:w="1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Value of Equity Issued</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Real estate a</w:t>
            </w:r>
          </w:p>
        </w:tc>
        <w:tc>
          <w:tcPr>
            <w:tcW w:w="0" w:type="dxa"/>
            <w:vAlign w:val="bottom"/>
          </w:tcPr>
          <w:p>
            <w:pPr>
              <w:spacing w:after="0"/>
              <w:rPr>
                <w:sz w:val="1"/>
                <w:szCs w:val="1"/>
                <w:color w:val="auto"/>
              </w:rPr>
            </w:pPr>
          </w:p>
        </w:tc>
      </w:tr>
      <w:tr>
        <w:trPr>
          <w:trHeight w:val="188"/>
        </w:trPr>
        <w:tc>
          <w:tcPr>
            <w:tcW w:w="19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b w:val="1"/>
                <w:bCs w:val="1"/>
                <w:color w:val="auto"/>
                <w:w w:val="82"/>
              </w:rPr>
              <w:t>Stores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Liability</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Estate Ventures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Assumed</w:t>
            </w:r>
          </w:p>
        </w:tc>
        <w:tc>
          <w:tcPr>
            <w:tcW w:w="15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Q3 2023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160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50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Arial" w:cs="Arial" w:eastAsia="Arial" w:hAnsi="Arial"/>
                <w:sz w:val="16"/>
                <w:szCs w:val="16"/>
                <w:color w:val="auto"/>
              </w:rPr>
              <w:t>Q2 2023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32,888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5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Q1 2023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Total 2023</w:t>
            </w: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64,577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 $</w:t>
            </w:r>
          </w:p>
        </w:tc>
        <w:tc>
          <w:tcPr>
            <w:tcW w:w="1600" w:type="dxa"/>
            <w:vAlign w:val="bottom"/>
            <w:tcBorders>
              <w:top w:val="single" w:sz="8" w:color="auto"/>
              <w:bottom w:val="single" w:sz="8" w:color="auto"/>
            </w:tcBorders>
            <w:gridSpan w:val="2"/>
          </w:tcPr>
          <w:p>
            <w:pPr>
              <w:jc w:val="right"/>
              <w:ind w:right="104"/>
              <w:spacing w:after="0"/>
              <w:rPr>
                <w:sz w:val="20"/>
                <w:szCs w:val="20"/>
                <w:color w:val="auto"/>
              </w:rPr>
            </w:pPr>
            <w:r>
              <w:rPr>
                <w:rFonts w:ascii="Arial" w:cs="Arial" w:eastAsia="Arial" w:hAnsi="Arial"/>
                <w:sz w:val="16"/>
                <w:szCs w:val="16"/>
                <w:b w:val="1"/>
                <w:bCs w:val="1"/>
                <w:color w:val="auto"/>
              </w:rPr>
              <w:t>— $</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w:t>
            </w:r>
          </w:p>
        </w:tc>
        <w:tc>
          <w:tcPr>
            <w:tcW w:w="5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Arial" w:cs="Arial" w:eastAsia="Arial" w:hAnsi="Arial"/>
                <w:sz w:val="16"/>
                <w:szCs w:val="16"/>
                <w:color w:val="auto"/>
              </w:rPr>
              <w:t>Q3 2022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118</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639,106</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 $</w:t>
            </w:r>
          </w:p>
        </w:tc>
        <w:tc>
          <w:tcPr>
            <w:tcW w:w="1300" w:type="dxa"/>
            <w:vAlign w:val="bottom"/>
          </w:tcPr>
          <w:p>
            <w:pPr>
              <w:jc w:val="right"/>
              <w:spacing w:after="0"/>
              <w:rPr>
                <w:sz w:val="20"/>
                <w:szCs w:val="20"/>
                <w:color w:val="auto"/>
              </w:rPr>
            </w:pPr>
            <w:r>
              <w:rPr>
                <w:rFonts w:ascii="Arial" w:cs="Arial" w:eastAsia="Arial" w:hAnsi="Arial"/>
                <w:sz w:val="16"/>
                <w:szCs w:val="16"/>
                <w:color w:val="auto"/>
              </w:rPr>
              <w:t>338</w:t>
            </w:r>
          </w:p>
        </w:tc>
        <w:tc>
          <w:tcPr>
            <w:tcW w:w="30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(2,291)</w:t>
            </w:r>
          </w:p>
        </w:tc>
        <w:tc>
          <w:tcPr>
            <w:tcW w:w="50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1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Q2 2022</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7"/>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Q1 2022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185,910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40,965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1"/>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2022</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1,045,949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1,085</w:t>
            </w: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(1,206)</w:t>
            </w:r>
          </w:p>
        </w:tc>
        <w:tc>
          <w:tcPr>
            <w:tcW w:w="5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165,965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1,218</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Investments</w:t>
      </w:r>
    </w:p>
    <w:p>
      <w:pPr>
        <w:spacing w:after="0" w:line="250" w:lineRule="exact"/>
        <w:rPr>
          <w:sz w:val="20"/>
          <w:szCs w:val="20"/>
          <w:color w:val="auto"/>
        </w:rPr>
      </w:pPr>
    </w:p>
    <w:p>
      <w:pPr>
        <w:ind w:right="180" w:firstLine="433"/>
        <w:spacing w:after="0" w:line="290" w:lineRule="auto"/>
        <w:rPr>
          <w:sz w:val="20"/>
          <w:szCs w:val="20"/>
          <w:color w:val="auto"/>
        </w:rPr>
      </w:pPr>
      <w:r>
        <w:rPr>
          <w:rFonts w:ascii="Arial" w:cs="Arial" w:eastAsia="Arial" w:hAnsi="Arial"/>
          <w:sz w:val="16"/>
          <w:szCs w:val="16"/>
          <w:color w:val="auto"/>
        </w:rPr>
        <w:t>On June 1, 2022, the Company completed the acquisition of Bargold Storage Systems, LLC ("Bargold") for a purchase price of approximately $179.3 million. Bargold leases space in apartment buildings, primarily in New York City and its boroughs, builds out the space as storage units, and subleases the units to tenants. As of the date of the acquisition, Bargold had approximately 17,000 storage units with an approximate occupancy of 97%. This acquisition is considered a business combination under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w:t>
      </w:r>
    </w:p>
    <w:p>
      <w:pPr>
        <w:spacing w:after="0" w:line="186"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7"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34" w:lineRule="exact"/>
        <w:rPr>
          <w:sz w:val="20"/>
          <w:szCs w:val="20"/>
          <w:color w:val="auto"/>
        </w:rPr>
      </w:pPr>
    </w:p>
    <w:tbl>
      <w:tblPr>
        <w:tblLayout w:type="fixed"/>
        <w:tblInd w:w="2680" w:type="dxa"/>
        <w:tblCellMar>
          <w:top w:w="0" w:type="dxa"/>
          <w:left w:w="0" w:type="dxa"/>
          <w:bottom w:w="0" w:type="dxa"/>
          <w:right w:w="0" w:type="dxa"/>
        </w:tblCellMar>
      </w:tblP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23"/>
        </w:trPr>
        <w:tc>
          <w:tcPr>
            <w:tcW w:w="4920" w:type="dxa"/>
            <w:vAlign w:val="bottom"/>
          </w:tcPr>
          <w:p>
            <w:pPr>
              <w:ind w:left="20"/>
              <w:spacing w:after="0"/>
              <w:rPr>
                <w:sz w:val="20"/>
                <w:szCs w:val="20"/>
                <w:color w:val="auto"/>
              </w:rPr>
            </w:pPr>
            <w:r>
              <w:rPr>
                <w:rFonts w:ascii="Arial" w:cs="Arial" w:eastAsia="Arial" w:hAnsi="Arial"/>
                <w:sz w:val="17"/>
                <w:szCs w:val="17"/>
                <w:color w:val="auto"/>
              </w:rPr>
              <w:t>Fixed assets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6,411</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3"/>
        </w:trPr>
        <w:tc>
          <w:tcPr>
            <w:tcW w:w="4920" w:type="dxa"/>
            <w:vAlign w:val="bottom"/>
          </w:tcPr>
          <w:p>
            <w:pPr>
              <w:ind w:left="20"/>
              <w:spacing w:after="0"/>
              <w:rPr>
                <w:sz w:val="20"/>
                <w:szCs w:val="20"/>
                <w:color w:val="auto"/>
              </w:rPr>
            </w:pPr>
            <w:r>
              <w:rPr>
                <w:rFonts w:ascii="Arial" w:cs="Arial" w:eastAsia="Arial" w:hAnsi="Arial"/>
                <w:sz w:val="17"/>
                <w:szCs w:val="17"/>
                <w:color w:val="auto"/>
              </w:rPr>
              <w:t>Trademarks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w:t>
            </w:r>
          </w:p>
        </w:tc>
      </w:tr>
      <w:tr>
        <w:trPr>
          <w:trHeight w:val="223"/>
        </w:trPr>
        <w:tc>
          <w:tcPr>
            <w:tcW w:w="492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payables and accrued liabilities assumed</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w:t>
            </w:r>
          </w:p>
        </w:tc>
      </w:tr>
      <w:tr>
        <w:trPr>
          <w:trHeight w:val="216"/>
        </w:trPr>
        <w:tc>
          <w:tcPr>
            <w:tcW w:w="4920" w:type="dxa"/>
            <w:vAlign w:val="bottom"/>
          </w:tcPr>
          <w:p>
            <w:pPr>
              <w:ind w:left="120"/>
              <w:spacing w:after="0"/>
              <w:rPr>
                <w:sz w:val="20"/>
                <w:szCs w:val="20"/>
                <w:color w:val="auto"/>
              </w:rPr>
            </w:pPr>
            <w:r>
              <w:rPr>
                <w:rFonts w:ascii="Arial" w:cs="Arial" w:eastAsia="Arial" w:hAnsi="Arial"/>
                <w:sz w:val="17"/>
                <w:szCs w:val="17"/>
                <w:color w:val="auto"/>
              </w:rPr>
              <w:t>Nets asset acquired</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8,491</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170,811</w:t>
            </w:r>
          </w:p>
        </w:tc>
      </w:tr>
      <w:tr>
        <w:trPr>
          <w:trHeight w:val="216"/>
        </w:trPr>
        <w:tc>
          <w:tcPr>
            <w:tcW w:w="4920" w:type="dxa"/>
            <w:vAlign w:val="bottom"/>
          </w:tcPr>
          <w:p>
            <w:pPr>
              <w:ind w:left="120"/>
              <w:spacing w:after="0"/>
              <w:rPr>
                <w:sz w:val="20"/>
                <w:szCs w:val="20"/>
                <w:color w:val="auto"/>
              </w:rPr>
            </w:pPr>
            <w:r>
              <w:rPr>
                <w:rFonts w:ascii="Arial" w:cs="Arial" w:eastAsia="Arial" w:hAnsi="Arial"/>
                <w:sz w:val="17"/>
                <w:szCs w:val="17"/>
                <w:color w:val="auto"/>
              </w:rPr>
              <w:t>Total assets acquired</w:t>
            </w: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179,302</w:t>
            </w:r>
          </w:p>
        </w:tc>
      </w:tr>
      <w:tr>
        <w:trPr>
          <w:trHeight w:val="20"/>
        </w:trPr>
        <w:tc>
          <w:tcPr>
            <w:tcW w:w="4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revenues and earnings related to Bargold since the acquisition date of June 1, 2022, which are included in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Company's consolidated statement of operations for the year ended December 31, 2022:</w:t>
      </w:r>
    </w:p>
    <w:p>
      <w:pPr>
        <w:spacing w:after="0" w:line="277" w:lineRule="exact"/>
        <w:rPr>
          <w:sz w:val="20"/>
          <w:szCs w:val="20"/>
          <w:color w:val="auto"/>
        </w:rPr>
      </w:pPr>
    </w:p>
    <w:tbl>
      <w:tblPr>
        <w:tblLayout w:type="fixed"/>
        <w:tblInd w:w="3420" w:type="dxa"/>
        <w:tblCellMar>
          <w:top w:w="0" w:type="dxa"/>
          <w:left w:w="0" w:type="dxa"/>
          <w:bottom w:w="0" w:type="dxa"/>
          <w:right w:w="0" w:type="dxa"/>
        </w:tblCellMar>
      </w:tblP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9,374</w:t>
            </w:r>
          </w:p>
        </w:tc>
      </w:tr>
      <w:tr>
        <w:trPr>
          <w:trHeight w:val="222"/>
        </w:trPr>
        <w:tc>
          <w:tcPr>
            <w:tcW w:w="2820" w:type="dxa"/>
            <w:vAlign w:val="bottom"/>
          </w:tcPr>
          <w:p>
            <w:pPr>
              <w:ind w:left="20"/>
              <w:spacing w:after="0"/>
              <w:rPr>
                <w:sz w:val="20"/>
                <w:szCs w:val="20"/>
                <w:color w:val="auto"/>
              </w:rPr>
            </w:pPr>
            <w:r>
              <w:rPr>
                <w:rFonts w:ascii="Arial" w:cs="Arial" w:eastAsia="Arial" w:hAnsi="Arial"/>
                <w:sz w:val="17"/>
                <w:szCs w:val="17"/>
                <w:color w:val="auto"/>
              </w:rPr>
              <w:t>Net income from operations</w:t>
            </w:r>
          </w:p>
        </w:tc>
        <w:tc>
          <w:tcPr>
            <w:tcW w:w="12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1,718</w:t>
            </w:r>
          </w:p>
        </w:tc>
      </w:tr>
    </w:tbl>
    <w:p>
      <w:pPr>
        <w:spacing w:after="0" w:line="29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Pro Forma Information</w:t>
      </w:r>
    </w:p>
    <w:p>
      <w:pPr>
        <w:spacing w:after="0" w:line="256" w:lineRule="exact"/>
        <w:rPr>
          <w:sz w:val="20"/>
          <w:szCs w:val="20"/>
          <w:color w:val="auto"/>
        </w:rPr>
      </w:pPr>
    </w:p>
    <w:p>
      <w:pPr>
        <w:jc w:val="both"/>
        <w:ind w:right="400" w:firstLine="433"/>
        <w:spacing w:after="0" w:line="326" w:lineRule="auto"/>
        <w:rPr>
          <w:sz w:val="20"/>
          <w:szCs w:val="20"/>
          <w:color w:val="auto"/>
        </w:rPr>
      </w:pPr>
      <w:r>
        <w:rPr>
          <w:rFonts w:ascii="Arial" w:cs="Arial" w:eastAsia="Arial" w:hAnsi="Arial"/>
          <w:sz w:val="15"/>
          <w:szCs w:val="15"/>
          <w:color w:val="auto"/>
        </w:rPr>
        <w:t>During the year ended December 31, 2022, the Company acquired Bargold. The following pro forma financial information is based on the combined historical financial statements of the Company and Bargold, however, it only includes revenue and presents the Company's results as if the acquisition had occurred on January 1, 2021. Net income was excluded as it was impracticable to report expenses due to the lack of historical accrual basis accounting.</w:t>
      </w:r>
    </w:p>
    <w:p>
      <w:pPr>
        <w:spacing w:after="0" w:line="184" w:lineRule="exact"/>
        <w:rPr>
          <w:sz w:val="20"/>
          <w:szCs w:val="20"/>
          <w:color w:val="auto"/>
        </w:rPr>
      </w:pPr>
    </w:p>
    <w:tbl>
      <w:tblPr>
        <w:tblLayout w:type="fixed"/>
        <w:tblInd w:w="186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27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3"/>
              </w:rPr>
              <w:t>For the Year Ended December 31,</w:t>
            </w:r>
          </w:p>
        </w:tc>
        <w:tc>
          <w:tcPr>
            <w:tcW w:w="26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For the Year Ended December 31,</w:t>
            </w:r>
          </w:p>
        </w:tc>
      </w:tr>
      <w:tr>
        <w:trPr>
          <w:trHeight w:val="228"/>
        </w:trPr>
        <w:tc>
          <w:tcPr>
            <w:tcW w:w="25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right="433"/>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right="433"/>
              <w:spacing w:after="0"/>
              <w:rPr>
                <w:sz w:val="20"/>
                <w:szCs w:val="20"/>
                <w:color w:val="auto"/>
              </w:rPr>
            </w:pPr>
            <w:r>
              <w:rPr>
                <w:rFonts w:ascii="Arial" w:cs="Arial" w:eastAsia="Arial" w:hAnsi="Arial"/>
                <w:sz w:val="17"/>
                <w:szCs w:val="17"/>
                <w:b w:val="1"/>
                <w:bCs w:val="1"/>
                <w:color w:val="auto"/>
                <w:w w:val="95"/>
              </w:rPr>
              <w:t>2021</w:t>
            </w:r>
          </w:p>
        </w:tc>
      </w:tr>
      <w:tr>
        <w:trPr>
          <w:trHeight w:val="216"/>
        </w:trPr>
        <w:tc>
          <w:tcPr>
            <w:tcW w:w="2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jc w:val="center"/>
              <w:ind w:right="453"/>
              <w:spacing w:after="0"/>
              <w:rPr>
                <w:sz w:val="20"/>
                <w:szCs w:val="20"/>
                <w:color w:val="auto"/>
              </w:rPr>
            </w:pPr>
            <w:r>
              <w:rPr>
                <w:rFonts w:ascii="Arial" w:cs="Arial" w:eastAsia="Arial" w:hAnsi="Arial"/>
                <w:sz w:val="17"/>
                <w:szCs w:val="17"/>
                <w:b w:val="1"/>
                <w:bCs w:val="1"/>
                <w:color w:val="auto"/>
                <w:w w:val="96"/>
              </w:rPr>
              <w:t>Pro Forma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jc w:val="center"/>
              <w:ind w:right="453"/>
              <w:spacing w:after="0"/>
              <w:rPr>
                <w:sz w:val="20"/>
                <w:szCs w:val="20"/>
                <w:color w:val="auto"/>
              </w:rPr>
            </w:pPr>
            <w:r>
              <w:rPr>
                <w:rFonts w:ascii="Arial" w:cs="Arial" w:eastAsia="Arial" w:hAnsi="Arial"/>
                <w:sz w:val="17"/>
                <w:szCs w:val="17"/>
                <w:b w:val="1"/>
                <w:bCs w:val="1"/>
                <w:color w:val="auto"/>
                <w:w w:val="96"/>
              </w:rPr>
              <w:t>Pro Forma</w:t>
            </w:r>
          </w:p>
        </w:tc>
      </w:tr>
      <w:tr>
        <w:trPr>
          <w:trHeight w:val="223"/>
        </w:trPr>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Total revenues</w:t>
            </w: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1,930,816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5.</w:t>
        <w:tab/>
        <w:t>REAL ESTATE ASSETS</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real estate assets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1"/>
              </w:rPr>
              <w:t>December 31, 2022</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4,895,651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2,356,746</w:t>
            </w:r>
          </w:p>
        </w:tc>
      </w:tr>
      <w:tr>
        <w:trPr>
          <w:trHeight w:val="223"/>
        </w:trPr>
        <w:tc>
          <w:tcPr>
            <w:tcW w:w="7620" w:type="dxa"/>
            <w:vAlign w:val="bottom"/>
          </w:tcPr>
          <w:p>
            <w:pPr>
              <w:ind w:left="20"/>
              <w:spacing w:after="0"/>
              <w:rPr>
                <w:sz w:val="20"/>
                <w:szCs w:val="20"/>
                <w:color w:val="auto"/>
              </w:rPr>
            </w:pPr>
            <w:r>
              <w:rPr>
                <w:rFonts w:ascii="Arial" w:cs="Arial" w:eastAsia="Arial" w:hAnsi="Arial"/>
                <w:sz w:val="17"/>
                <w:szCs w:val="17"/>
                <w:color w:val="auto"/>
              </w:rPr>
              <w:t>Buildings, improvements and other intangibles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21,502,492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9,425,468</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 - finance lease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136,259</w:t>
            </w:r>
          </w:p>
        </w:tc>
      </w:tr>
      <w:tr>
        <w:trPr>
          <w:trHeight w:val="223"/>
        </w:trPr>
        <w:tc>
          <w:tcPr>
            <w:tcW w:w="7620" w:type="dxa"/>
            <w:vAlign w:val="bottom"/>
          </w:tcPr>
          <w:p>
            <w:pPr>
              <w:ind w:left="20"/>
              <w:spacing w:after="0"/>
              <w:rPr>
                <w:sz w:val="20"/>
                <w:szCs w:val="20"/>
                <w:color w:val="auto"/>
              </w:rPr>
            </w:pPr>
            <w:r>
              <w:rPr>
                <w:rFonts w:ascii="Arial" w:cs="Arial" w:eastAsia="Arial" w:hAnsi="Arial"/>
                <w:sz w:val="17"/>
                <w:szCs w:val="17"/>
                <w:color w:val="auto"/>
              </w:rPr>
              <w:t>Intangible assets - tenant relationships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320,333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152,775</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lease rights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12,943</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26,874,270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12,084,191</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(2,440,327)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(2,138,524)</w:t>
            </w:r>
          </w:p>
        </w:tc>
      </w:tr>
      <w:tr>
        <w:trPr>
          <w:trHeight w:val="216"/>
        </w:trPr>
        <w:tc>
          <w:tcPr>
            <w:tcW w:w="7620" w:type="dxa"/>
            <w:vAlign w:val="bottom"/>
          </w:tcPr>
          <w:p>
            <w:pPr>
              <w:ind w:left="340"/>
              <w:spacing w:after="0"/>
              <w:rPr>
                <w:sz w:val="20"/>
                <w:szCs w:val="20"/>
                <w:color w:val="auto"/>
              </w:rPr>
            </w:pPr>
            <w:r>
              <w:rPr>
                <w:rFonts w:ascii="Arial" w:cs="Arial" w:eastAsia="Arial" w:hAnsi="Arial"/>
                <w:sz w:val="17"/>
                <w:szCs w:val="17"/>
                <w:color w:val="auto"/>
              </w:rPr>
              <w:t>Net operating real estate assets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24,433,943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9,945,667</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under development/redevelopment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52,311</w:t>
            </w:r>
          </w:p>
        </w:tc>
      </w:tr>
      <w:tr>
        <w:trPr>
          <w:trHeight w:val="216"/>
        </w:trPr>
        <w:tc>
          <w:tcPr>
            <w:tcW w:w="7620" w:type="dxa"/>
            <w:vAlign w:val="bottom"/>
          </w:tcPr>
          <w:p>
            <w:pPr>
              <w:ind w:left="340"/>
              <w:spacing w:after="0"/>
              <w:rPr>
                <w:sz w:val="20"/>
                <w:szCs w:val="20"/>
                <w:color w:val="auto"/>
              </w:rPr>
            </w:pPr>
            <w:r>
              <w:rPr>
                <w:rFonts w:ascii="Arial" w:cs="Arial" w:eastAsia="Arial" w:hAnsi="Arial"/>
                <w:sz w:val="17"/>
                <w:szCs w:val="17"/>
                <w:color w:val="auto"/>
              </w:rPr>
              <w:t>Real estate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24,556,678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9,997,978</w:t>
            </w: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0"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6.</w:t>
        <w:tab/>
        <w:t>OTHER ASSETS</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other assets are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560" w:type="dxa"/>
            <w:vAlign w:val="bottom"/>
          </w:tcPr>
          <w:p>
            <w:pPr>
              <w:jc w:val="right"/>
              <w:ind w:right="133"/>
              <w:spacing w:after="0"/>
              <w:rPr>
                <w:sz w:val="20"/>
                <w:szCs w:val="20"/>
                <w:color w:val="auto"/>
              </w:rPr>
            </w:pPr>
            <w:r>
              <w:rPr>
                <w:rFonts w:ascii="Arial" w:cs="Arial" w:eastAsia="Arial" w:hAnsi="Arial"/>
                <w:sz w:val="16"/>
                <w:szCs w:val="16"/>
                <w:b w:val="1"/>
                <w:bCs w:val="1"/>
                <w:color w:val="auto"/>
                <w:w w:val="91"/>
              </w:rPr>
              <w:t>December 31, 2022</w:t>
            </w:r>
          </w:p>
        </w:tc>
      </w:tr>
      <w:tr>
        <w:trPr>
          <w:trHeight w:val="219"/>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170,811</w:t>
            </w:r>
          </w:p>
        </w:tc>
      </w:tr>
      <w:tr>
        <w:trPr>
          <w:trHeight w:val="223"/>
        </w:trPr>
        <w:tc>
          <w:tcPr>
            <w:tcW w:w="7620" w:type="dxa"/>
            <w:vAlign w:val="bottom"/>
          </w:tcPr>
          <w:p>
            <w:pPr>
              <w:ind w:left="20"/>
              <w:spacing w:after="0"/>
              <w:rPr>
                <w:sz w:val="20"/>
                <w:szCs w:val="20"/>
                <w:color w:val="auto"/>
              </w:rPr>
            </w:pPr>
            <w:r>
              <w:rPr>
                <w:rFonts w:ascii="Arial" w:cs="Arial" w:eastAsia="Arial" w:hAnsi="Arial"/>
                <w:sz w:val="17"/>
                <w:szCs w:val="17"/>
                <w:color w:val="auto"/>
              </w:rPr>
              <w:t>Receivables,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131,614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85,937</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deposits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50,318</w:t>
            </w:r>
          </w:p>
        </w:tc>
      </w:tr>
      <w:tr>
        <w:trPr>
          <w:trHeight w:val="223"/>
        </w:trPr>
        <w:tc>
          <w:tcPr>
            <w:tcW w:w="7620" w:type="dxa"/>
            <w:vAlign w:val="bottom"/>
          </w:tcPr>
          <w:p>
            <w:pPr>
              <w:ind w:left="20"/>
              <w:spacing w:after="0"/>
              <w:rPr>
                <w:sz w:val="20"/>
                <w:szCs w:val="20"/>
                <w:color w:val="auto"/>
              </w:rPr>
            </w:pPr>
            <w:r>
              <w:rPr>
                <w:rFonts w:ascii="Arial" w:cs="Arial" w:eastAsia="Arial" w:hAnsi="Arial"/>
                <w:sz w:val="17"/>
                <w:szCs w:val="17"/>
                <w:color w:val="auto"/>
              </w:rPr>
              <w:t>Other intangible assets,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75,749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620" w:type="dxa"/>
            <w:vAlign w:val="bottom"/>
          </w:tcPr>
          <w:p>
            <w:pPr>
              <w:ind w:left="20"/>
              <w:spacing w:after="0"/>
              <w:rPr>
                <w:sz w:val="20"/>
                <w:szCs w:val="20"/>
                <w:color w:val="auto"/>
              </w:rPr>
            </w:pPr>
            <w:r>
              <w:rPr>
                <w:rFonts w:ascii="Arial" w:cs="Arial" w:eastAsia="Arial" w:hAnsi="Arial"/>
                <w:sz w:val="17"/>
                <w:szCs w:val="17"/>
                <w:color w:val="auto"/>
              </w:rPr>
              <w:t>Fair value of interest rate swaps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48,611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54,839</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 and fixtures,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42,808</w:t>
            </w:r>
          </w:p>
        </w:tc>
      </w:tr>
      <w:tr>
        <w:trPr>
          <w:trHeight w:val="223"/>
        </w:trPr>
        <w:tc>
          <w:tcPr>
            <w:tcW w:w="7620" w:type="dxa"/>
            <w:vAlign w:val="bottom"/>
          </w:tcPr>
          <w:p>
            <w:pPr>
              <w:ind w:left="20"/>
              <w:spacing w:after="0"/>
              <w:rPr>
                <w:sz w:val="20"/>
                <w:szCs w:val="20"/>
                <w:color w:val="auto"/>
              </w:rPr>
            </w:pPr>
            <w:r>
              <w:rPr>
                <w:rFonts w:ascii="Arial" w:cs="Arial" w:eastAsia="Arial" w:hAnsi="Arial"/>
                <w:sz w:val="17"/>
                <w:szCs w:val="17"/>
                <w:color w:val="auto"/>
              </w:rPr>
              <w:t>Deferred line of credit financing costs,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11,857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4,846</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4,867</w:t>
            </w:r>
          </w:p>
        </w:tc>
      </w:tr>
      <w:tr>
        <w:trPr>
          <w:trHeight w:val="216"/>
        </w:trPr>
        <w:tc>
          <w:tcPr>
            <w:tcW w:w="76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635,677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414,426</w:t>
            </w: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7.</w:t>
        <w:tab/>
        <w:t>EARNINGS PER COMMON SHARE</w:t>
      </w:r>
    </w:p>
    <w:p>
      <w:pPr>
        <w:spacing w:after="0" w:line="256" w:lineRule="exact"/>
        <w:rPr>
          <w:sz w:val="20"/>
          <w:szCs w:val="20"/>
          <w:color w:val="auto"/>
        </w:rPr>
      </w:pPr>
    </w:p>
    <w:p>
      <w:pPr>
        <w:ind w:right="20" w:firstLine="433"/>
        <w:spacing w:after="0" w:line="279" w:lineRule="auto"/>
        <w:rPr>
          <w:sz w:val="20"/>
          <w:szCs w:val="20"/>
          <w:color w:val="auto"/>
        </w:rPr>
      </w:pPr>
      <w:r>
        <w:rPr>
          <w:rFonts w:ascii="Arial" w:cs="Arial" w:eastAsia="Arial" w:hAnsi="Arial"/>
          <w:sz w:val="16"/>
          <w:szCs w:val="16"/>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195"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September 30, 2023 and 2022 was $134.24 and $189.11, respectively.</w:t>
      </w:r>
    </w:p>
    <w:p>
      <w:pPr>
        <w:spacing w:after="0" w:line="202"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The following table presents the number of Preferred Operating Partnership units as if converted into potential common shares that were excluded from the computation of earnings per share as their effect would have been anti-dilutive.</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183"/>
        </w:trPr>
        <w:tc>
          <w:tcPr>
            <w:tcW w:w="2680" w:type="dxa"/>
            <w:vAlign w:val="bottom"/>
          </w:tcPr>
          <w:p>
            <w:pPr>
              <w:spacing w:after="0"/>
              <w:rPr>
                <w:sz w:val="15"/>
                <w:szCs w:val="15"/>
                <w:color w:val="auto"/>
              </w:rPr>
            </w:pPr>
          </w:p>
        </w:tc>
        <w:tc>
          <w:tcPr>
            <w:tcW w:w="36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Three Months Ended September 30,</w:t>
            </w:r>
          </w:p>
        </w:tc>
        <w:tc>
          <w:tcPr>
            <w:tcW w:w="3460" w:type="dxa"/>
            <w:vAlign w:val="bottom"/>
            <w:gridSpan w:val="3"/>
          </w:tcPr>
          <w:p>
            <w:pPr>
              <w:jc w:val="right"/>
              <w:ind w:right="365"/>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4"/>
        </w:trPr>
        <w:tc>
          <w:tcPr>
            <w:tcW w:w="26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3"/>
        </w:trPr>
        <w:tc>
          <w:tcPr>
            <w:tcW w:w="26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135"/>
        </w:trPr>
        <w:tc>
          <w:tcPr>
            <w:tcW w:w="268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Equivalent Shares (if</w:t>
            </w: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Equivalent Shares (if</w:t>
            </w:r>
          </w:p>
        </w:tc>
        <w:tc>
          <w:tcPr>
            <w:tcW w:w="18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Equivalent Shares (if</w:t>
            </w:r>
          </w:p>
        </w:tc>
        <w:tc>
          <w:tcPr>
            <w:tcW w:w="1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Equivalent Shares (if</w:t>
            </w:r>
          </w:p>
        </w:tc>
      </w:tr>
      <w:tr>
        <w:trPr>
          <w:trHeight w:val="188"/>
        </w:trPr>
        <w:tc>
          <w:tcPr>
            <w:tcW w:w="2680" w:type="dxa"/>
            <w:vAlign w:val="bottom"/>
          </w:tcPr>
          <w:p>
            <w:pPr>
              <w:spacing w:after="0"/>
              <w:rPr>
                <w:sz w:val="16"/>
                <w:szCs w:val="16"/>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converted)</w:t>
            </w: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converted)</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converted)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converted)</w:t>
            </w:r>
          </w:p>
        </w:tc>
      </w:tr>
      <w:tr>
        <w:trPr>
          <w:trHeight w:val="215"/>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OP Units</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8,541,775</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7,661,885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680" w:type="dxa"/>
            <w:vAlign w:val="bottom"/>
          </w:tcPr>
          <w:p>
            <w:pPr>
              <w:ind w:left="20"/>
              <w:spacing w:after="0"/>
              <w:rPr>
                <w:sz w:val="20"/>
                <w:szCs w:val="20"/>
                <w:color w:val="auto"/>
              </w:rPr>
            </w:pPr>
            <w:r>
              <w:rPr>
                <w:rFonts w:ascii="Arial" w:cs="Arial" w:eastAsia="Arial" w:hAnsi="Arial"/>
                <w:sz w:val="16"/>
                <w:szCs w:val="16"/>
                <w:color w:val="auto"/>
              </w:rPr>
              <w:t>Series B Units</w:t>
            </w:r>
          </w:p>
        </w:tc>
        <w:tc>
          <w:tcPr>
            <w:tcW w:w="1620" w:type="dxa"/>
            <w:vAlign w:val="bottom"/>
          </w:tcPr>
          <w:p>
            <w:pPr>
              <w:jc w:val="right"/>
              <w:spacing w:after="0"/>
              <w:rPr>
                <w:sz w:val="20"/>
                <w:szCs w:val="20"/>
                <w:color w:val="auto"/>
              </w:rPr>
            </w:pPr>
            <w:r>
              <w:rPr>
                <w:rFonts w:ascii="Arial" w:cs="Arial" w:eastAsia="Arial" w:hAnsi="Arial"/>
                <w:sz w:val="16"/>
                <w:szCs w:val="16"/>
                <w:color w:val="auto"/>
              </w:rPr>
              <w:t>250,061</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177,506</w:t>
            </w:r>
          </w:p>
        </w:tc>
        <w:tc>
          <w:tcPr>
            <w:tcW w:w="180" w:type="dxa"/>
            <w:vAlign w:val="bottom"/>
          </w:tcPr>
          <w:p>
            <w:pPr>
              <w:spacing w:after="0"/>
              <w:rPr>
                <w:sz w:val="17"/>
                <w:szCs w:val="17"/>
                <w:color w:val="auto"/>
              </w:rPr>
            </w:pPr>
          </w:p>
        </w:tc>
        <w:tc>
          <w:tcPr>
            <w:tcW w:w="1680" w:type="dxa"/>
            <w:vAlign w:val="bottom"/>
          </w:tcPr>
          <w:p>
            <w:pPr>
              <w:jc w:val="right"/>
              <w:ind w:right="6"/>
              <w:spacing w:after="0"/>
              <w:rPr>
                <w:sz w:val="20"/>
                <w:szCs w:val="20"/>
                <w:color w:val="auto"/>
              </w:rPr>
            </w:pPr>
            <w:r>
              <w:rPr>
                <w:rFonts w:ascii="Arial" w:cs="Arial" w:eastAsia="Arial" w:hAnsi="Arial"/>
                <w:sz w:val="16"/>
                <w:szCs w:val="16"/>
                <w:color w:val="auto"/>
              </w:rPr>
              <w:t>228,029</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181,408</w:t>
            </w:r>
          </w:p>
        </w:tc>
      </w:tr>
      <w:tr>
        <w:trPr>
          <w:trHeight w:val="210"/>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D Units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1,409,198</w:t>
            </w:r>
          </w:p>
        </w:tc>
        <w:tc>
          <w:tcPr>
            <w:tcW w:w="10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1,118,056</w:t>
            </w:r>
          </w:p>
        </w:tc>
        <w:tc>
          <w:tcPr>
            <w:tcW w:w="1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1,287,256</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1,089,389</w:t>
            </w:r>
          </w:p>
        </w:tc>
      </w:tr>
      <w:tr>
        <w:trPr>
          <w:trHeight w:val="203"/>
        </w:trPr>
        <w:tc>
          <w:tcPr>
            <w:tcW w:w="268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10,201,034</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1,295,562</w:t>
            </w:r>
          </w:p>
        </w:tc>
        <w:tc>
          <w:tcPr>
            <w:tcW w:w="180" w:type="dxa"/>
            <w:vAlign w:val="bottom"/>
          </w:tcPr>
          <w:p>
            <w:pPr>
              <w:spacing w:after="0"/>
              <w:rPr>
                <w:sz w:val="17"/>
                <w:szCs w:val="17"/>
                <w:color w:val="auto"/>
              </w:rPr>
            </w:pP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9,177,170</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1,270,797</w:t>
            </w:r>
          </w:p>
        </w:tc>
      </w:tr>
      <w:tr>
        <w:trPr>
          <w:trHeight w:val="23"/>
        </w:trPr>
        <w:tc>
          <w:tcPr>
            <w:tcW w:w="2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On January 25, 2023, the remaining Series A Units were redeemed (see Note 13 below). For the purposes of computing the diluted impact on earnings per share of the potential exchange of Series A Units for common shares upon redemption, where the Company had the option to redeem in cash or shares and where the Company had stated the positive intent and ability to settle at least $101,700 of the instrument in cash (or net settle a portion of the Series A Units against the related outstanding note receivable), only the amount of the instrument in excess of $101,700 was considered in the calculation of shares contingently issuable for the purposes of computing diluted earnings per share as allowed by ASC 260-10-45-46. Accordingly, the number of shares included in the computation for diluted earnings per share related to the Series A Units was equal to the number of Series A Units outstanding, with no additional shares included related to the fixed $101,700 amount.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computation of earnings per common share is as follows for the periods presented: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70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For the Three Months Ended September</w:t>
            </w:r>
          </w:p>
        </w:tc>
        <w:tc>
          <w:tcPr>
            <w:tcW w:w="2420" w:type="dxa"/>
            <w:vAlign w:val="bottom"/>
            <w:gridSpan w:val="6"/>
          </w:tcPr>
          <w:p>
            <w:pPr>
              <w:jc w:val="right"/>
              <w:spacing w:after="0"/>
              <w:rPr>
                <w:sz w:val="20"/>
                <w:szCs w:val="20"/>
                <w:color w:val="auto"/>
              </w:rPr>
            </w:pPr>
            <w:r>
              <w:rPr>
                <w:rFonts w:ascii="Arial" w:cs="Arial" w:eastAsia="Arial" w:hAnsi="Arial"/>
                <w:sz w:val="14"/>
                <w:szCs w:val="14"/>
                <w:b w:val="1"/>
                <w:bCs w:val="1"/>
                <w:color w:val="auto"/>
                <w:w w:val="91"/>
              </w:rPr>
              <w:t>For the Nine Months Ended September</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1"/>
              </w:rPr>
              <w:t>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188,350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220,719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587,064</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656,428</w:t>
            </w:r>
          </w:p>
        </w:tc>
        <w:tc>
          <w:tcPr>
            <w:tcW w:w="0" w:type="dxa"/>
            <w:vAlign w:val="bottom"/>
          </w:tcPr>
          <w:p>
            <w:pPr>
              <w:spacing w:after="0"/>
              <w:rPr>
                <w:sz w:val="1"/>
                <w:szCs w:val="1"/>
                <w:color w:val="auto"/>
              </w:rPr>
            </w:pPr>
          </w:p>
        </w:tc>
      </w:tr>
      <w:tr>
        <w:trPr>
          <w:trHeight w:val="207"/>
        </w:trPr>
        <w:tc>
          <w:tcPr>
            <w:tcW w:w="6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Earnings and dividends allocated to participating securities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0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for basic computations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220,406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586,133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655,514</w:t>
            </w:r>
          </w:p>
        </w:tc>
        <w:tc>
          <w:tcPr>
            <w:tcW w:w="0" w:type="dxa"/>
            <w:vAlign w:val="bottom"/>
          </w:tcPr>
          <w:p>
            <w:pPr>
              <w:spacing w:after="0"/>
              <w:rPr>
                <w:sz w:val="1"/>
                <w:szCs w:val="1"/>
                <w:color w:val="auto"/>
              </w:rPr>
            </w:pPr>
          </w:p>
        </w:tc>
      </w:tr>
      <w:tr>
        <w:trPr>
          <w:trHeight w:val="207"/>
        </w:trPr>
        <w:tc>
          <w:tcPr>
            <w:tcW w:w="6120" w:type="dxa"/>
            <w:vAlign w:val="bottom"/>
          </w:tcPr>
          <w:p>
            <w:pPr>
              <w:ind w:left="500"/>
              <w:spacing w:after="0"/>
              <w:rPr>
                <w:sz w:val="20"/>
                <w:szCs w:val="20"/>
                <w:color w:val="auto"/>
              </w:rPr>
            </w:pPr>
            <w:r>
              <w:rPr>
                <w:rFonts w:ascii="Arial" w:cs="Arial" w:eastAsia="Arial" w:hAnsi="Arial"/>
                <w:sz w:val="16"/>
                <w:szCs w:val="16"/>
                <w:color w:val="auto"/>
              </w:rPr>
              <w:t>Earnings and dividends allocated to participating securities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6120" w:type="dxa"/>
            <w:vAlign w:val="bottom"/>
            <w:shd w:val="clear" w:color="auto" w:fill="CCEEFF"/>
          </w:tcPr>
          <w:p>
            <w:pPr>
              <w:ind w:left="500"/>
              <w:spacing w:after="0" w:line="164" w:lineRule="exact"/>
              <w:rPr>
                <w:sz w:val="20"/>
                <w:szCs w:val="20"/>
                <w:color w:val="auto"/>
              </w:rPr>
            </w:pPr>
            <w:r>
              <w:rPr>
                <w:rFonts w:ascii="Arial" w:cs="Arial" w:eastAsia="Arial" w:hAnsi="Arial"/>
                <w:sz w:val="16"/>
                <w:szCs w:val="16"/>
                <w:color w:val="auto"/>
                <w:w w:val="91"/>
              </w:rPr>
              <w:t>Income allocated to noncontrolling interest - Preferred Operating Partnership Units and</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12,954</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37,932</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Operating Partnership Units</w:t>
            </w: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120" w:type="dxa"/>
            <w:vAlign w:val="bottom"/>
          </w:tcPr>
          <w:p>
            <w:pPr>
              <w:ind w:left="500"/>
              <w:spacing w:after="0" w:line="161" w:lineRule="exact"/>
              <w:rPr>
                <w:sz w:val="20"/>
                <w:szCs w:val="20"/>
                <w:color w:val="auto"/>
              </w:rPr>
            </w:pPr>
            <w:r>
              <w:rPr>
                <w:rFonts w:ascii="Arial" w:cs="Arial" w:eastAsia="Arial" w:hAnsi="Arial"/>
                <w:sz w:val="16"/>
                <w:szCs w:val="16"/>
                <w:color w:val="auto"/>
                <w:w w:val="93"/>
              </w:rPr>
              <w:t>Fixed component of income allocated to noncontrolling interest - Preferred Operating</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Partnership (Series A Units)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for diluted computations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188,046</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232,788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586,133</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691,730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20" w:type="dxa"/>
            <w:vAlign w:val="bottom"/>
          </w:tcPr>
          <w:p>
            <w:pPr>
              <w:ind w:left="500"/>
              <w:spacing w:after="0"/>
              <w:rPr>
                <w:sz w:val="20"/>
                <w:szCs w:val="20"/>
                <w:color w:val="auto"/>
              </w:rPr>
            </w:pPr>
            <w:r>
              <w:rPr>
                <w:rFonts w:ascii="Arial" w:cs="Arial" w:eastAsia="Arial" w:hAnsi="Arial"/>
                <w:sz w:val="16"/>
                <w:szCs w:val="16"/>
                <w:color w:val="auto"/>
              </w:rPr>
              <w:t>Average number of common shares outstanding - basic</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195,324,444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w w:val="96"/>
              </w:rPr>
              <w:t>133,913,652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155,112,071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134,094,490</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OP Units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6,709,854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6,592,606</w:t>
            </w:r>
          </w:p>
        </w:tc>
        <w:tc>
          <w:tcPr>
            <w:tcW w:w="0" w:type="dxa"/>
            <w:vAlign w:val="bottom"/>
          </w:tcPr>
          <w:p>
            <w:pPr>
              <w:spacing w:after="0"/>
              <w:rPr>
                <w:sz w:val="1"/>
                <w:szCs w:val="1"/>
                <w:color w:val="auto"/>
              </w:rPr>
            </w:pPr>
          </w:p>
        </w:tc>
      </w:tr>
      <w:tr>
        <w:trPr>
          <w:trHeight w:val="207"/>
        </w:trPr>
        <w:tc>
          <w:tcPr>
            <w:tcW w:w="6120" w:type="dxa"/>
            <w:vAlign w:val="bottom"/>
          </w:tcPr>
          <w:p>
            <w:pPr>
              <w:ind w:left="500"/>
              <w:spacing w:after="0"/>
              <w:rPr>
                <w:sz w:val="20"/>
                <w:szCs w:val="20"/>
                <w:color w:val="auto"/>
              </w:rPr>
            </w:pPr>
            <w:r>
              <w:rPr>
                <w:rFonts w:ascii="Arial" w:cs="Arial" w:eastAsia="Arial" w:hAnsi="Arial"/>
                <w:sz w:val="16"/>
                <w:szCs w:val="16"/>
                <w:color w:val="auto"/>
              </w:rPr>
              <w:t>Series A Units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875,480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875,480</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Series D Units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120" w:type="dxa"/>
            <w:vAlign w:val="bottom"/>
          </w:tcPr>
          <w:p>
            <w:pPr>
              <w:ind w:left="500"/>
              <w:spacing w:after="0"/>
              <w:rPr>
                <w:sz w:val="20"/>
                <w:szCs w:val="20"/>
                <w:color w:val="auto"/>
              </w:rPr>
            </w:pPr>
            <w:r>
              <w:rPr>
                <w:rFonts w:ascii="Arial" w:cs="Arial" w:eastAsia="Arial" w:hAnsi="Arial"/>
                <w:sz w:val="16"/>
                <w:szCs w:val="16"/>
                <w:color w:val="auto"/>
              </w:rPr>
              <w:t>Unvested restricted stock awards included for treasury stock method</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Shares related to dilutive stock options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5,229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5,269</w:t>
            </w:r>
          </w:p>
        </w:tc>
        <w:tc>
          <w:tcPr>
            <w:tcW w:w="0" w:type="dxa"/>
            <w:vAlign w:val="bottom"/>
          </w:tcPr>
          <w:p>
            <w:pPr>
              <w:spacing w:after="0"/>
              <w:rPr>
                <w:sz w:val="1"/>
                <w:szCs w:val="1"/>
                <w:color w:val="auto"/>
              </w:rPr>
            </w:pPr>
          </w:p>
        </w:tc>
      </w:tr>
      <w:tr>
        <w:trPr>
          <w:trHeight w:val="200"/>
        </w:trPr>
        <w:tc>
          <w:tcPr>
            <w:tcW w:w="6120" w:type="dxa"/>
            <w:vAlign w:val="bottom"/>
          </w:tcPr>
          <w:p>
            <w:pPr>
              <w:ind w:left="20"/>
              <w:spacing w:after="0"/>
              <w:rPr>
                <w:sz w:val="20"/>
                <w:szCs w:val="20"/>
                <w:color w:val="auto"/>
              </w:rPr>
            </w:pPr>
            <w:r>
              <w:rPr>
                <w:rFonts w:ascii="Arial" w:cs="Arial" w:eastAsia="Arial" w:hAnsi="Arial"/>
                <w:sz w:val="16"/>
                <w:szCs w:val="16"/>
                <w:color w:val="auto"/>
              </w:rPr>
              <w:t>Average number of common shares outstanding - diluted</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195,328,020</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6"/>
              </w:rPr>
              <w:t>141,504,215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155,116,149</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141,567,845</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120" w:type="dxa"/>
            <w:vAlign w:val="bottom"/>
            <w:shd w:val="clear" w:color="auto" w:fill="CCEEFF"/>
          </w:tcPr>
          <w:p>
            <w:pPr>
              <w:ind w:left="500"/>
              <w:spacing w:after="0" w:line="179" w:lineRule="exact"/>
              <w:rPr>
                <w:sz w:val="20"/>
                <w:szCs w:val="20"/>
                <w:color w:val="auto"/>
              </w:rPr>
            </w:pPr>
            <w:r>
              <w:rPr>
                <w:rFonts w:ascii="Arial" w:cs="Arial" w:eastAsia="Arial" w:hAnsi="Arial"/>
                <w:sz w:val="16"/>
                <w:szCs w:val="16"/>
                <w:color w:val="auto"/>
              </w:rPr>
              <w:t>Earnings per common share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20" w:type="dxa"/>
            <w:vAlign w:val="bottom"/>
          </w:tcPr>
          <w:p>
            <w:pPr>
              <w:ind w:left="500"/>
              <w:spacing w:after="0"/>
              <w:rPr>
                <w:sz w:val="20"/>
                <w:szCs w:val="20"/>
                <w:color w:val="auto"/>
              </w:rPr>
            </w:pPr>
            <w:r>
              <w:rPr>
                <w:rFonts w:ascii="Arial" w:cs="Arial" w:eastAsia="Arial" w:hAnsi="Arial"/>
                <w:sz w:val="16"/>
                <w:szCs w:val="16"/>
                <w:color w:val="auto"/>
              </w:rPr>
              <w:t>Basic</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0.96</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1.65</w:t>
            </w:r>
          </w:p>
        </w:tc>
        <w:tc>
          <w:tcPr>
            <w:tcW w:w="2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3.78</w:t>
            </w: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8.</w:t>
        <w:tab/>
        <w:t>INVESTMENTS IN UNCONSOLIDATED REAL ESTATE ENTITIES</w:t>
      </w:r>
    </w:p>
    <w:p>
      <w:pPr>
        <w:spacing w:after="0" w:line="230" w:lineRule="exact"/>
        <w:rPr>
          <w:sz w:val="20"/>
          <w:szCs w:val="20"/>
          <w:color w:val="auto"/>
        </w:rPr>
      </w:pPr>
    </w:p>
    <w:p>
      <w:pPr>
        <w:ind w:right="60" w:firstLine="433"/>
        <w:spacing w:after="0" w:line="283" w:lineRule="auto"/>
        <w:rPr>
          <w:sz w:val="20"/>
          <w:szCs w:val="20"/>
          <w:color w:val="auto"/>
        </w:rPr>
      </w:pPr>
      <w:r>
        <w:rPr>
          <w:rFonts w:ascii="Arial" w:cs="Arial" w:eastAsia="Arial" w:hAnsi="Arial"/>
          <w:sz w:val="16"/>
          <w:szCs w:val="16"/>
          <w:color w:val="auto"/>
        </w:rPr>
        <w:t>Investments in unconsolidated real estate entities and cash distributions in unconsolidated real estate ventures represent the Company's interest in preferred stock of SmartStop Self Storage REIT, Inc. ("SmartStop") and Strategic Storage Trust VI, Inc. ("Strategic Storage"), an affiliate of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67"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pacing w:after="0" w:line="198" w:lineRule="exact"/>
        <w:rPr>
          <w:sz w:val="20"/>
          <w:szCs w:val="20"/>
          <w:color w:val="auto"/>
        </w:rPr>
      </w:pPr>
    </w:p>
    <w:p>
      <w:pPr>
        <w:ind w:right="80" w:firstLine="433"/>
        <w:spacing w:after="0" w:line="290"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investments in unconsolidated real estate ventures and cash distributions in unconsolidated real estate ventures consist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5"/>
                <w:szCs w:val="15"/>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 xml:space="preserve">Excess Profit % </w:t>
            </w:r>
            <w:r>
              <w:rPr>
                <w:rFonts w:ascii="Arial" w:cs="Arial" w:eastAsia="Arial" w:hAnsi="Arial"/>
                <w:sz w:val="18"/>
                <w:szCs w:val="18"/>
                <w:b w:val="1"/>
                <w:bCs w:val="1"/>
                <w:color w:val="auto"/>
                <w:w w:val="87"/>
                <w:vertAlign w:val="superscript"/>
              </w:rPr>
              <w:t>(1)</w:t>
            </w:r>
          </w:p>
        </w:tc>
        <w:tc>
          <w:tcPr>
            <w:tcW w:w="10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3"/>
        </w:trPr>
        <w:tc>
          <w:tcPr>
            <w:tcW w:w="5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Ownership %</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PRISA Self Storage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84</w:t>
            </w:r>
          </w:p>
        </w:tc>
        <w:tc>
          <w:tcPr>
            <w:tcW w:w="1180" w:type="dxa"/>
            <w:vAlign w:val="bottom"/>
            <w:gridSpan w:val="2"/>
            <w:shd w:val="clear" w:color="auto" w:fill="CCEEFF"/>
          </w:tcPr>
          <w:p>
            <w:pPr>
              <w:jc w:val="center"/>
              <w:ind w:left="33"/>
              <w:spacing w:after="0"/>
              <w:rPr>
                <w:sz w:val="20"/>
                <w:szCs w:val="20"/>
                <w:color w:val="auto"/>
              </w:rPr>
            </w:pPr>
            <w:r>
              <w:rPr>
                <w:rFonts w:ascii="Arial" w:cs="Arial" w:eastAsia="Arial" w:hAnsi="Arial"/>
                <w:sz w:val="17"/>
                <w:szCs w:val="17"/>
                <w:color w:val="auto"/>
                <w:w w:val="89"/>
              </w:rPr>
              <w:t>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8,596</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Sovran HHF Storage Holdings LLC</w:t>
            </w: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37</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106,509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Storage Portfolio II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36</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(7,200)</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Storage Portfolio IV JV LLC</w:t>
            </w: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32</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48,261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49,139</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Storage Portfolio I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24</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34%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PR II EXR JV LLC</w:t>
            </w: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23</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25%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110,172</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Sovran HHF Storage Holdings II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22</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Life Storage-HIERS Storage LLC</w:t>
            </w: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17</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191 V Life Storage Holdings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17</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ESS-CA TIVS JV LP</w:t>
            </w: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16</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55%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30,778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VRS Self Storage,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16</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Life Storage HHF Wasatch Holdings LLC</w:t>
            </w: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16</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GII Life Storage Holdings</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13</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ARA-EXR JV LLC</w:t>
            </w: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18,967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19,137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ESS-NYFL JV LP</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Extra Space Northern Properties Six LLC</w:t>
            </w: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(3,382)</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Alan Jathoo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ESS Bristol Investments LLC</w:t>
            </w:r>
          </w:p>
        </w:tc>
        <w:tc>
          <w:tcPr>
            <w:tcW w:w="1060" w:type="dxa"/>
            <w:vAlign w:val="bottom"/>
          </w:tcPr>
          <w:p>
            <w:pPr>
              <w:jc w:val="center"/>
              <w:spacing w:after="0"/>
              <w:rPr>
                <w:sz w:val="20"/>
                <w:szCs w:val="20"/>
                <w:color w:val="auto"/>
              </w:rPr>
            </w:pPr>
            <w:r>
              <w:rPr>
                <w:rFonts w:ascii="Arial" w:cs="Arial" w:eastAsia="Arial" w:hAnsi="Arial"/>
                <w:sz w:val="17"/>
                <w:szCs w:val="17"/>
                <w:color w:val="auto"/>
              </w:rPr>
              <w:t>8</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2,110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ESS - BGO Atlanta GA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8</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30,467</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Storage Portfolio V JV LLC</w:t>
            </w:r>
          </w:p>
        </w:tc>
        <w:tc>
          <w:tcPr>
            <w:tcW w:w="1060" w:type="dxa"/>
            <w:vAlign w:val="bottom"/>
          </w:tcPr>
          <w:p>
            <w:pPr>
              <w:jc w:val="center"/>
              <w:spacing w:after="0"/>
              <w:rPr>
                <w:sz w:val="20"/>
                <w:szCs w:val="20"/>
                <w:color w:val="auto"/>
              </w:rPr>
            </w:pPr>
            <w:r>
              <w:rPr>
                <w:rFonts w:ascii="Arial" w:cs="Arial" w:eastAsia="Arial" w:hAnsi="Arial"/>
                <w:sz w:val="17"/>
                <w:szCs w:val="17"/>
                <w:color w:val="auto"/>
              </w:rPr>
              <w:t>7</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9,517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ESS - BGO Storage JV I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7,466</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Life Storage Spacemax, LLC</w:t>
            </w:r>
          </w:p>
        </w:tc>
        <w:tc>
          <w:tcPr>
            <w:tcW w:w="1060" w:type="dxa"/>
            <w:vAlign w:val="bottom"/>
          </w:tcPr>
          <w:p>
            <w:pPr>
              <w:jc w:val="center"/>
              <w:spacing w:after="0"/>
              <w:rPr>
                <w:sz w:val="20"/>
                <w:szCs w:val="20"/>
                <w:color w:val="auto"/>
              </w:rPr>
            </w:pPr>
            <w:r>
              <w:rPr>
                <w:rFonts w:ascii="Arial" w:cs="Arial" w:eastAsia="Arial" w:hAnsi="Arial"/>
                <w:sz w:val="17"/>
                <w:szCs w:val="17"/>
                <w:color w:val="auto"/>
              </w:rPr>
              <w:t>6</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40%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33,730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 EXR Self Storage,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25%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58,476</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Storage Portfolio III JV LLC</w:t>
            </w:r>
          </w:p>
        </w:tc>
        <w:tc>
          <w:tcPr>
            <w:tcW w:w="1060" w:type="dxa"/>
            <w:vAlign w:val="bottom"/>
          </w:tcPr>
          <w:p>
            <w:pPr>
              <w:jc w:val="center"/>
              <w:spacing w:after="0"/>
              <w:rPr>
                <w:sz w:val="20"/>
                <w:szCs w:val="20"/>
                <w:color w:val="auto"/>
              </w:rPr>
            </w:pPr>
            <w:r>
              <w:rPr>
                <w:rFonts w:ascii="Arial" w:cs="Arial" w:eastAsia="Arial" w:hAnsi="Arial"/>
                <w:sz w:val="17"/>
                <w:szCs w:val="17"/>
                <w:color w:val="auto"/>
              </w:rPr>
              <w:t>5</w:t>
            </w:r>
          </w:p>
        </w:tc>
        <w:tc>
          <w:tcPr>
            <w:tcW w:w="1180" w:type="dxa"/>
            <w:vAlign w:val="bottom"/>
            <w:gridSpan w:val="2"/>
          </w:tcPr>
          <w:p>
            <w:pPr>
              <w:jc w:val="center"/>
              <w:ind w:left="53"/>
              <w:spacing w:after="0"/>
              <w:rPr>
                <w:sz w:val="20"/>
                <w:szCs w:val="20"/>
                <w:color w:val="auto"/>
              </w:rPr>
            </w:pPr>
            <w:r>
              <w:rPr>
                <w:rFonts w:ascii="Arial" w:cs="Arial" w:eastAsia="Arial" w:hAnsi="Arial"/>
                <w:sz w:val="17"/>
                <w:szCs w:val="17"/>
                <w:color w:val="auto"/>
                <w:w w:val="93"/>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5,467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Lake Wobegon Storage LLC</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18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3"/>
              </w:rPr>
              <w:t>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3,441</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7"/>
                <w:szCs w:val="17"/>
                <w:color w:val="auto"/>
              </w:rPr>
              <w:t>Other unconsolidated real estate ventures</w:t>
            </w: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26</w:t>
            </w:r>
          </w:p>
        </w:tc>
        <w:tc>
          <w:tcPr>
            <w:tcW w:w="1180" w:type="dxa"/>
            <w:vAlign w:val="bottom"/>
            <w:gridSpan w:val="2"/>
          </w:tcPr>
          <w:p>
            <w:pPr>
              <w:jc w:val="center"/>
              <w:ind w:left="33"/>
              <w:spacing w:after="0"/>
              <w:rPr>
                <w:sz w:val="20"/>
                <w:szCs w:val="20"/>
                <w:color w:val="auto"/>
              </w:rPr>
            </w:pPr>
            <w:r>
              <w:rPr>
                <w:rFonts w:ascii="Arial" w:cs="Arial" w:eastAsia="Arial" w:hAnsi="Arial"/>
                <w:sz w:val="17"/>
                <w:szCs w:val="17"/>
                <w:color w:val="auto"/>
                <w:w w:val="94"/>
              </w:rPr>
              <w:t>10%-50%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4"/>
              </w:rPr>
              <w:t>10%-50%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94,045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28,901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SmartStop Self Storage REIT, Inc. Preferred Stock </w:t>
            </w:r>
            <w:r>
              <w:rPr>
                <w:rFonts w:ascii="Arial" w:cs="Arial" w:eastAsia="Arial" w:hAnsi="Arial"/>
                <w:sz w:val="22"/>
                <w:szCs w:val="22"/>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n/a</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n/a</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4"/>
              </w:rPr>
              <w:t>n/a</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 xml:space="preserve">Strategic Storage Trust VI, Inc. Preferred Stock </w:t>
            </w:r>
            <w:r>
              <w:rPr>
                <w:rFonts w:ascii="Arial" w:cs="Arial" w:eastAsia="Arial" w:hAnsi="Arial"/>
                <w:sz w:val="22"/>
                <w:szCs w:val="22"/>
                <w:color w:val="auto"/>
                <w:vertAlign w:val="superscript"/>
              </w:rPr>
              <w:t>(3)</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n/a</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7"/>
                <w:szCs w:val="17"/>
                <w:color w:val="auto"/>
                <w:w w:val="92"/>
              </w:rPr>
              <w:t>n/a</w:t>
            </w:r>
          </w:p>
        </w:tc>
        <w:tc>
          <w:tcPr>
            <w:tcW w:w="12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84"/>
              </w:rPr>
              <w:t>n/a</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1"/>
        </w:trPr>
        <w:tc>
          <w:tcPr>
            <w:tcW w:w="502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w w:val="93"/>
              </w:rPr>
              <w:t>Net Investments in and Cash distributions in unconsolidated real estate</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1"/>
              </w:rPr>
              <w:t>471</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1,008,104</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515,060</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entities</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pro-rata equity ownership share and maximum potential promoted interest.</w:t>
      </w:r>
    </w:p>
    <w:p>
      <w:pPr>
        <w:spacing w:after="0" w:line="119" w:lineRule="exact"/>
        <w:rPr>
          <w:rFonts w:ascii="Arial" w:cs="Arial" w:eastAsia="Arial" w:hAnsi="Arial"/>
          <w:sz w:val="17"/>
          <w:szCs w:val="17"/>
          <w:color w:val="auto"/>
        </w:rPr>
      </w:pPr>
    </w:p>
    <w:p>
      <w:pPr>
        <w:ind w:left="320" w:hanging="315"/>
        <w:spacing w:after="0" w:line="268" w:lineRule="auto"/>
        <w:tabs>
          <w:tab w:leader="none" w:pos="38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October 2019, the Company invested $200,000 in shares of convertible preferred stock of SmartStop with a dividend rate of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71" w:lineRule="exact"/>
        <w:rPr>
          <w:rFonts w:ascii="Arial" w:cs="Arial" w:eastAsia="Arial" w:hAnsi="Arial"/>
          <w:sz w:val="17"/>
          <w:szCs w:val="17"/>
          <w:color w:val="auto"/>
        </w:rPr>
      </w:pPr>
    </w:p>
    <w:p>
      <w:pPr>
        <w:ind w:left="320" w:right="360" w:hanging="315"/>
        <w:spacing w:after="0" w:line="268" w:lineRule="auto"/>
        <w:tabs>
          <w:tab w:leader="none" w:pos="38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May 2023, the Company invested $150,000 in shares of convertible preferred stock of Strategic Storage with a dividend rate of 8.35% per annum, subject to increase after five years. The preferred shares are generally not redeemable for three years, except in the case of a change of control or initial listing of Strategic Storage. Dividend income from this investment is included on the equity in earnings and dividend income from unconsolidated real estate entities line on the Company's condensed consolidated statements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During the nine months ended September 30, 2023, the Company contributed a total of $28,611 of cash to its joint ventures (not including joint ventures added as a result of the Life Storage Merger), for its pro-rata portion of the purchase price of seven operating stores.</w:t>
      </w:r>
    </w:p>
    <w:p>
      <w:pPr>
        <w:spacing w:after="0" w:line="258"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9.</w:t>
        <w:tab/>
        <w:t>INVESTMENTS IN DEBT SECURITIES AND NOTES RECEIVABLE</w:t>
      </w:r>
    </w:p>
    <w:p>
      <w:pPr>
        <w:spacing w:after="0" w:line="230" w:lineRule="exact"/>
        <w:rPr>
          <w:sz w:val="20"/>
          <w:szCs w:val="20"/>
          <w:color w:val="auto"/>
        </w:rPr>
      </w:pPr>
    </w:p>
    <w:p>
      <w:pPr>
        <w:ind w:right="160" w:firstLine="433"/>
        <w:spacing w:after="0" w:line="273" w:lineRule="auto"/>
        <w:rPr>
          <w:sz w:val="20"/>
          <w:szCs w:val="20"/>
          <w:color w:val="auto"/>
        </w:rPr>
      </w:pPr>
      <w:r>
        <w:rPr>
          <w:rFonts w:ascii="Arial" w:cs="Arial" w:eastAsia="Arial" w:hAnsi="Arial"/>
          <w:sz w:val="17"/>
          <w:szCs w:val="17"/>
          <w:color w:val="auto"/>
        </w:rPr>
        <w:t>Investments in debt securities and notes receivable consists of the Company's investment in mandatorily redeemable preferred stock of Jernigan Capital, Inc. ("JCAP") in connection with JCAP's acquisition by affiliates of NexPoint Advisors, L.P. ("NexPoint Investment") and receivables due to the Company under its bridge loan program. Information about these balances is as follows:</w:t>
      </w: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540" w:type="dxa"/>
            <w:vAlign w:val="bottom"/>
          </w:tcPr>
          <w:p>
            <w:pPr>
              <w:jc w:val="right"/>
              <w:ind w:right="134"/>
              <w:spacing w:after="0"/>
              <w:rPr>
                <w:sz w:val="20"/>
                <w:szCs w:val="20"/>
                <w:color w:val="auto"/>
              </w:rPr>
            </w:pPr>
            <w:r>
              <w:rPr>
                <w:rFonts w:ascii="Arial" w:cs="Arial" w:eastAsia="Arial" w:hAnsi="Arial"/>
                <w:sz w:val="16"/>
                <w:szCs w:val="16"/>
                <w:b w:val="1"/>
                <w:bCs w:val="1"/>
                <w:color w:val="auto"/>
                <w:w w:val="90"/>
              </w:rPr>
              <w:t>December 31, 2022</w:t>
            </w:r>
          </w:p>
        </w:tc>
      </w:tr>
      <w:tr>
        <w:trPr>
          <w:trHeight w:val="21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Debt securities - NexPoint Preferred Stock</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w:t>
            </w:r>
          </w:p>
        </w:tc>
      </w:tr>
      <w:tr>
        <w:trPr>
          <w:trHeight w:val="223"/>
        </w:trPr>
        <w:tc>
          <w:tcPr>
            <w:tcW w:w="7520" w:type="dxa"/>
            <w:vAlign w:val="bottom"/>
          </w:tcPr>
          <w:p>
            <w:pPr>
              <w:ind w:left="20"/>
              <w:spacing w:after="0"/>
              <w:rPr>
                <w:sz w:val="20"/>
                <w:szCs w:val="20"/>
                <w:color w:val="auto"/>
              </w:rPr>
            </w:pPr>
            <w:r>
              <w:rPr>
                <w:rFonts w:ascii="Arial" w:cs="Arial" w:eastAsia="Arial" w:hAnsi="Arial"/>
                <w:sz w:val="17"/>
                <w:szCs w:val="17"/>
                <w:color w:val="auto"/>
              </w:rPr>
              <w:t>Notes Receivable - Bridge Loans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533,000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491,879</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 and Interest Receivable</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58,311</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66,170</w:t>
            </w:r>
          </w:p>
        </w:tc>
      </w:tr>
      <w:tr>
        <w:trPr>
          <w:trHeight w:val="216"/>
        </w:trPr>
        <w:tc>
          <w:tcPr>
            <w:tcW w:w="75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891,311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858,049</w:t>
            </w: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right="120" w:firstLine="433"/>
        <w:spacing w:after="0" w:line="281" w:lineRule="auto"/>
        <w:rPr>
          <w:sz w:val="20"/>
          <w:szCs w:val="20"/>
          <w:color w:val="auto"/>
        </w:rPr>
      </w:pPr>
      <w:r>
        <w:rPr>
          <w:rFonts w:ascii="Arial" w:cs="Arial" w:eastAsia="Arial" w:hAnsi="Arial"/>
          <w:sz w:val="16"/>
          <w:szCs w:val="16"/>
          <w:color w:val="auto"/>
        </w:rPr>
        <w:t>In November 2020, the Company invested $300,000 in the preferred stock of JCAP in connection with the acquisition of JCAP by affiliates of NexPoint Advisors, L.P. This investment consisted of 200,000 Series A Preferred Shares valued at a total of $200,000, and 100,000 Series B Preferred Shares valued at a total of $100,000. In December 2022, a modification was completed that exchanged the Series A and Series B Preferred Shares for 300,000 Series D Preferred Shares, valued at a total of $300,000. The Series D Preferred Shares are mandatorily redeemable after six years from the modification in December 2022, with two one-year extension options. NexPoint may redeem the Series D Preferred Shares at any time, subject to certain prepayment penalties. The Company accounts for the Series D Preferred Shares as a held to maturity debt security at amortized cost. The Series D Preferred Shares have an initial dividend rate of 8.5%. If the investment is not retired after six years, the preferred dividends increase annually.</w:t>
      </w:r>
    </w:p>
    <w:p>
      <w:pPr>
        <w:spacing w:after="0" w:line="197" w:lineRule="exact"/>
        <w:rPr>
          <w:sz w:val="20"/>
          <w:szCs w:val="20"/>
          <w:color w:val="auto"/>
        </w:rPr>
      </w:pPr>
    </w:p>
    <w:p>
      <w:pPr>
        <w:ind w:right="60" w:firstLine="433"/>
        <w:spacing w:after="0" w:line="286" w:lineRule="auto"/>
        <w:rPr>
          <w:sz w:val="20"/>
          <w:szCs w:val="20"/>
          <w:color w:val="auto"/>
        </w:rPr>
      </w:pPr>
      <w:r>
        <w:rPr>
          <w:rFonts w:ascii="Arial" w:cs="Arial" w:eastAsia="Arial" w:hAnsi="Arial"/>
          <w:sz w:val="16"/>
          <w:szCs w:val="16"/>
          <w:color w:val="auto"/>
        </w:rPr>
        <w:t>The Company provides bridge loan financing to third-party self-storage operators. These notes receivable consist of mortgage loans receivable, which are collateralized by self-storage properties and unsecured mezzanine loans receivable. These notes receivable typically have a term of three years with two one-year extensions, and have variable interest rates. The Company intends to sell a portion of the mortgage receivables. During the nine months ended September 30, 2023 the Company sold a total principal amount of $134,064 of its mortgage bridge loans receivable to third parties for a total of $134,064 in cash, closed on $173,980 in initial loan draws, and recorded $20,981 of draws from interest holdbacks.</w:t>
      </w:r>
    </w:p>
    <w:p>
      <w:pPr>
        <w:spacing w:after="0" w:line="189" w:lineRule="exact"/>
        <w:rPr>
          <w:sz w:val="20"/>
          <w:szCs w:val="20"/>
          <w:color w:val="auto"/>
        </w:rPr>
      </w:pPr>
    </w:p>
    <w:p>
      <w:pPr>
        <w:ind w:right="120" w:firstLine="433"/>
        <w:spacing w:after="0" w:line="289" w:lineRule="auto"/>
        <w:rPr>
          <w:sz w:val="20"/>
          <w:szCs w:val="20"/>
          <w:color w:val="auto"/>
        </w:rPr>
      </w:pPr>
      <w:r>
        <w:rPr>
          <w:rFonts w:ascii="Arial" w:cs="Arial" w:eastAsia="Arial" w:hAnsi="Arial"/>
          <w:sz w:val="17"/>
          <w:szCs w:val="17"/>
          <w:color w:val="auto"/>
        </w:rPr>
        <w:t>The bridge loans typically have a loan to value ratio between 70% and 80%. None of the debt securities or notes receivable are in past-due or nonaccrual status and the allowance for potential credit losses is immaterial.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10.</w:t>
        <w:tab/>
        <w:t>DEBT</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term debt are summarized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 Debt</w:t>
            </w: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8"/>
              </w:rPr>
              <w:t>September 30, 2023</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7"/>
              </w:rPr>
              <w:t>December 31, 2022</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Fixed Rate</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ind w:right="358"/>
              <w:spacing w:after="0"/>
              <w:rPr>
                <w:sz w:val="20"/>
                <w:szCs w:val="20"/>
                <w:color w:val="auto"/>
              </w:rPr>
            </w:pPr>
            <w:r>
              <w:rPr>
                <w:rFonts w:ascii="Arial" w:cs="Arial" w:eastAsia="Arial" w:hAnsi="Arial"/>
                <w:sz w:val="17"/>
                <w:szCs w:val="17"/>
                <w:b w:val="1"/>
                <w:bCs w:val="1"/>
                <w:color w:val="auto"/>
                <w:w w:val="92"/>
              </w:rPr>
              <w:t xml:space="preserve">Variable Rate </w:t>
            </w:r>
            <w:r>
              <w:rPr>
                <w:rFonts w:ascii="Arial" w:cs="Arial" w:eastAsia="Arial" w:hAnsi="Arial"/>
                <w:sz w:val="22"/>
                <w:szCs w:val="22"/>
                <w:b w:val="1"/>
                <w:bCs w:val="1"/>
                <w:color w:val="auto"/>
                <w:w w:val="92"/>
                <w:vertAlign w:val="superscript"/>
              </w:rPr>
              <w:t>(2)</w:t>
            </w:r>
          </w:p>
        </w:tc>
        <w:tc>
          <w:tcPr>
            <w:tcW w:w="14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Maturity Dates</w:t>
            </w:r>
          </w:p>
        </w:tc>
        <w:tc>
          <w:tcPr>
            <w:tcW w:w="0" w:type="dxa"/>
            <w:vAlign w:val="bottom"/>
          </w:tcPr>
          <w:p>
            <w:pPr>
              <w:spacing w:after="0"/>
              <w:rPr>
                <w:sz w:val="1"/>
                <w:szCs w:val="1"/>
                <w:color w:val="auto"/>
              </w:rPr>
            </w:pPr>
          </w:p>
        </w:tc>
      </w:tr>
      <w:tr>
        <w:trPr>
          <w:trHeight w:val="154"/>
        </w:trPr>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xml:space="preserve">Secured fixed-rate </w:t>
            </w:r>
            <w:r>
              <w:rPr>
                <w:rFonts w:ascii="Arial" w:cs="Arial" w:eastAsia="Arial" w:hAnsi="Arial"/>
                <w:sz w:val="20"/>
                <w:szCs w:val="20"/>
                <w:color w:val="auto"/>
                <w:vertAlign w:val="superscript"/>
              </w:rPr>
              <w:t>(1)</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402,896</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521,820</w:t>
            </w:r>
          </w:p>
        </w:tc>
        <w:tc>
          <w:tcPr>
            <w:tcW w:w="1640" w:type="dxa"/>
            <w:vAlign w:val="bottom"/>
            <w:gridSpan w:val="2"/>
            <w:vMerge w:val="restart"/>
            <w:shd w:val="clear" w:color="auto" w:fill="CCEEFF"/>
          </w:tcPr>
          <w:p>
            <w:pPr>
              <w:jc w:val="center"/>
              <w:ind w:left="21"/>
              <w:spacing w:after="0"/>
              <w:rPr>
                <w:sz w:val="20"/>
                <w:szCs w:val="20"/>
                <w:color w:val="auto"/>
              </w:rPr>
            </w:pPr>
            <w:r>
              <w:rPr>
                <w:rFonts w:ascii="Arial" w:cs="Arial" w:eastAsia="Arial" w:hAnsi="Arial"/>
                <w:sz w:val="16"/>
                <w:szCs w:val="16"/>
                <w:color w:val="auto"/>
                <w:w w:val="89"/>
              </w:rPr>
              <w:t>2.67% - 4.56%</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93"/>
              </w:rPr>
              <w:t>April 2025 - February</w:t>
            </w:r>
          </w:p>
        </w:tc>
        <w:tc>
          <w:tcPr>
            <w:tcW w:w="0" w:type="dxa"/>
            <w:vAlign w:val="bottom"/>
          </w:tcPr>
          <w:p>
            <w:pPr>
              <w:spacing w:after="0"/>
              <w:rPr>
                <w:sz w:val="1"/>
                <w:szCs w:val="1"/>
                <w:color w:val="auto"/>
              </w:rPr>
            </w:pPr>
          </w:p>
        </w:tc>
      </w:tr>
      <w:tr>
        <w:trPr>
          <w:trHeight w:val="207"/>
        </w:trPr>
        <w:tc>
          <w:tcPr>
            <w:tcW w:w="31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0" w:type="dxa"/>
            <w:vAlign w:val="bottom"/>
          </w:tcPr>
          <w:p>
            <w:pPr>
              <w:spacing w:after="0"/>
              <w:rPr>
                <w:sz w:val="1"/>
                <w:szCs w:val="1"/>
                <w:color w:val="auto"/>
              </w:rPr>
            </w:pPr>
          </w:p>
        </w:tc>
      </w:tr>
      <w:tr>
        <w:trPr>
          <w:trHeight w:val="161"/>
        </w:trPr>
        <w:tc>
          <w:tcPr>
            <w:tcW w:w="3180" w:type="dxa"/>
            <w:vAlign w:val="bottom"/>
            <w:vMerge w:val="restart"/>
          </w:tcPr>
          <w:p>
            <w:pPr>
              <w:ind w:left="20"/>
              <w:spacing w:after="0"/>
              <w:rPr>
                <w:sz w:val="20"/>
                <w:szCs w:val="20"/>
                <w:color w:val="auto"/>
              </w:rPr>
            </w:pPr>
            <w:r>
              <w:rPr>
                <w:rFonts w:ascii="Arial" w:cs="Arial" w:eastAsia="Arial" w:hAnsi="Arial"/>
                <w:sz w:val="16"/>
                <w:szCs w:val="16"/>
                <w:color w:val="auto"/>
              </w:rPr>
              <w:t xml:space="preserve">Secured variable-rate </w:t>
            </w:r>
            <w:r>
              <w:rPr>
                <w:rFonts w:ascii="Arial" w:cs="Arial" w:eastAsia="Arial" w:hAnsi="Arial"/>
                <w:sz w:val="20"/>
                <w:szCs w:val="20"/>
                <w:color w:val="auto"/>
                <w:vertAlign w:val="superscript"/>
              </w:rPr>
              <w:t>(1)</w:t>
            </w:r>
          </w:p>
        </w:tc>
        <w:tc>
          <w:tcPr>
            <w:tcW w:w="3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880,438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772,604</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right"/>
              <w:ind w:right="278"/>
              <w:spacing w:after="0"/>
              <w:rPr>
                <w:sz w:val="20"/>
                <w:szCs w:val="20"/>
                <w:color w:val="auto"/>
              </w:rPr>
            </w:pPr>
            <w:r>
              <w:rPr>
                <w:rFonts w:ascii="Arial" w:cs="Arial" w:eastAsia="Arial" w:hAnsi="Arial"/>
                <w:sz w:val="16"/>
                <w:szCs w:val="16"/>
                <w:color w:val="auto"/>
              </w:rPr>
              <w:t>6.32% - 6.81%</w:t>
            </w:r>
          </w:p>
        </w:tc>
        <w:tc>
          <w:tcPr>
            <w:tcW w:w="140" w:type="dxa"/>
            <w:vAlign w:val="bottom"/>
          </w:tcPr>
          <w:p>
            <w:pPr>
              <w:spacing w:after="0"/>
              <w:rPr>
                <w:sz w:val="13"/>
                <w:szCs w:val="13"/>
                <w:color w:val="auto"/>
              </w:rPr>
            </w:pPr>
          </w:p>
        </w:tc>
        <w:tc>
          <w:tcPr>
            <w:tcW w:w="1560" w:type="dxa"/>
            <w:vAlign w:val="bottom"/>
          </w:tcPr>
          <w:p>
            <w:pPr>
              <w:jc w:val="center"/>
              <w:spacing w:after="0" w:line="161" w:lineRule="exact"/>
              <w:rPr>
                <w:sz w:val="20"/>
                <w:szCs w:val="20"/>
                <w:color w:val="auto"/>
              </w:rPr>
            </w:pPr>
            <w:r>
              <w:rPr>
                <w:rFonts w:ascii="Arial" w:cs="Arial" w:eastAsia="Arial" w:hAnsi="Arial"/>
                <w:sz w:val="16"/>
                <w:szCs w:val="16"/>
                <w:color w:val="auto"/>
                <w:w w:val="90"/>
              </w:rPr>
              <w:t>November 2023 -</w:t>
            </w:r>
          </w:p>
        </w:tc>
        <w:tc>
          <w:tcPr>
            <w:tcW w:w="0" w:type="dxa"/>
            <w:vAlign w:val="bottom"/>
          </w:tcPr>
          <w:p>
            <w:pPr>
              <w:spacing w:after="0"/>
              <w:rPr>
                <w:sz w:val="1"/>
                <w:szCs w:val="1"/>
                <w:color w:val="auto"/>
              </w:rPr>
            </w:pPr>
          </w:p>
        </w:tc>
      </w:tr>
      <w:tr>
        <w:trPr>
          <w:trHeight w:val="207"/>
        </w:trPr>
        <w:tc>
          <w:tcPr>
            <w:tcW w:w="3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September 2030</w:t>
            </w:r>
          </w:p>
        </w:tc>
        <w:tc>
          <w:tcPr>
            <w:tcW w:w="0" w:type="dxa"/>
            <w:vAlign w:val="bottom"/>
          </w:tcPr>
          <w:p>
            <w:pPr>
              <w:spacing w:after="0"/>
              <w:rPr>
                <w:sz w:val="1"/>
                <w:szCs w:val="1"/>
                <w:color w:val="auto"/>
              </w:rPr>
            </w:pPr>
          </w:p>
        </w:tc>
      </w:tr>
      <w:tr>
        <w:trPr>
          <w:trHeight w:val="161"/>
        </w:trPr>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Unsecured fixed-rate</w:t>
            </w:r>
          </w:p>
        </w:tc>
        <w:tc>
          <w:tcPr>
            <w:tcW w:w="3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7,536,633</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4,240,376</w:t>
            </w:r>
          </w:p>
        </w:tc>
        <w:tc>
          <w:tcPr>
            <w:tcW w:w="1640" w:type="dxa"/>
            <w:vAlign w:val="bottom"/>
            <w:gridSpan w:val="2"/>
            <w:vMerge w:val="restart"/>
            <w:shd w:val="clear" w:color="auto" w:fill="CCEEFF"/>
          </w:tcPr>
          <w:p>
            <w:pPr>
              <w:jc w:val="center"/>
              <w:ind w:left="21"/>
              <w:spacing w:after="0"/>
              <w:rPr>
                <w:sz w:val="20"/>
                <w:szCs w:val="20"/>
                <w:color w:val="auto"/>
              </w:rPr>
            </w:pPr>
            <w:r>
              <w:rPr>
                <w:rFonts w:ascii="Arial" w:cs="Arial" w:eastAsia="Arial" w:hAnsi="Arial"/>
                <w:sz w:val="16"/>
                <w:szCs w:val="16"/>
                <w:color w:val="auto"/>
                <w:w w:val="89"/>
              </w:rPr>
              <w:t>2.20% - 5.70%</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January 2025 - March</w:t>
            </w:r>
          </w:p>
        </w:tc>
        <w:tc>
          <w:tcPr>
            <w:tcW w:w="0" w:type="dxa"/>
            <w:vAlign w:val="bottom"/>
          </w:tcPr>
          <w:p>
            <w:pPr>
              <w:spacing w:after="0"/>
              <w:rPr>
                <w:sz w:val="1"/>
                <w:szCs w:val="1"/>
                <w:color w:val="auto"/>
              </w:rPr>
            </w:pPr>
          </w:p>
        </w:tc>
      </w:tr>
      <w:tr>
        <w:trPr>
          <w:trHeight w:val="207"/>
        </w:trPr>
        <w:tc>
          <w:tcPr>
            <w:tcW w:w="318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c>
          <w:tcPr>
            <w:tcW w:w="0" w:type="dxa"/>
            <w:vAlign w:val="bottom"/>
          </w:tcPr>
          <w:p>
            <w:pPr>
              <w:spacing w:after="0"/>
              <w:rPr>
                <w:sz w:val="1"/>
                <w:szCs w:val="1"/>
                <w:color w:val="auto"/>
              </w:rPr>
            </w:pPr>
          </w:p>
        </w:tc>
      </w:tr>
      <w:tr>
        <w:trPr>
          <w:trHeight w:val="161"/>
        </w:trPr>
        <w:tc>
          <w:tcPr>
            <w:tcW w:w="3180" w:type="dxa"/>
            <w:vAlign w:val="bottom"/>
            <w:vMerge w:val="restart"/>
          </w:tcPr>
          <w:p>
            <w:pPr>
              <w:ind w:left="20"/>
              <w:spacing w:after="0"/>
              <w:rPr>
                <w:sz w:val="20"/>
                <w:szCs w:val="20"/>
                <w:color w:val="auto"/>
              </w:rPr>
            </w:pPr>
            <w:r>
              <w:rPr>
                <w:rFonts w:ascii="Arial" w:cs="Arial" w:eastAsia="Arial" w:hAnsi="Arial"/>
                <w:sz w:val="16"/>
                <w:szCs w:val="16"/>
                <w:color w:val="auto"/>
              </w:rPr>
              <w:t>Unsecured variable-rate</w:t>
            </w:r>
          </w:p>
        </w:tc>
        <w:tc>
          <w:tcPr>
            <w:tcW w:w="3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1,848,367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884,624</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right"/>
              <w:ind w:right="278"/>
              <w:spacing w:after="0"/>
              <w:rPr>
                <w:sz w:val="20"/>
                <w:szCs w:val="20"/>
                <w:color w:val="auto"/>
              </w:rPr>
            </w:pPr>
            <w:r>
              <w:rPr>
                <w:rFonts w:ascii="Arial" w:cs="Arial" w:eastAsia="Arial" w:hAnsi="Arial"/>
                <w:sz w:val="16"/>
                <w:szCs w:val="16"/>
                <w:color w:val="auto"/>
              </w:rPr>
              <w:t>6.26% - 6.27%</w:t>
            </w:r>
          </w:p>
        </w:tc>
        <w:tc>
          <w:tcPr>
            <w:tcW w:w="140" w:type="dxa"/>
            <w:vAlign w:val="bottom"/>
          </w:tcPr>
          <w:p>
            <w:pPr>
              <w:spacing w:after="0"/>
              <w:rPr>
                <w:sz w:val="13"/>
                <w:szCs w:val="13"/>
                <w:color w:val="auto"/>
              </w:rPr>
            </w:pPr>
          </w:p>
        </w:tc>
        <w:tc>
          <w:tcPr>
            <w:tcW w:w="1560" w:type="dxa"/>
            <w:vAlign w:val="bottom"/>
          </w:tcPr>
          <w:p>
            <w:pPr>
              <w:jc w:val="center"/>
              <w:spacing w:after="0" w:line="161" w:lineRule="exact"/>
              <w:rPr>
                <w:sz w:val="20"/>
                <w:szCs w:val="20"/>
                <w:color w:val="auto"/>
              </w:rPr>
            </w:pPr>
            <w:r>
              <w:rPr>
                <w:rFonts w:ascii="Arial" w:cs="Arial" w:eastAsia="Arial" w:hAnsi="Arial"/>
                <w:sz w:val="16"/>
                <w:szCs w:val="16"/>
                <w:color w:val="auto"/>
                <w:w w:val="88"/>
              </w:rPr>
              <w:t>January 2024 - January</w:t>
            </w:r>
          </w:p>
        </w:tc>
        <w:tc>
          <w:tcPr>
            <w:tcW w:w="0" w:type="dxa"/>
            <w:vAlign w:val="bottom"/>
          </w:tcPr>
          <w:p>
            <w:pPr>
              <w:spacing w:after="0"/>
              <w:rPr>
                <w:sz w:val="1"/>
                <w:szCs w:val="1"/>
                <w:color w:val="auto"/>
              </w:rPr>
            </w:pPr>
          </w:p>
        </w:tc>
      </w:tr>
      <w:tr>
        <w:trPr>
          <w:trHeight w:val="203"/>
        </w:trPr>
        <w:tc>
          <w:tcPr>
            <w:tcW w:w="318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20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10,668,334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6,419,424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line="223" w:lineRule="exact"/>
              <w:rPr>
                <w:sz w:val="20"/>
                <w:szCs w:val="20"/>
                <w:color w:val="auto"/>
              </w:rPr>
            </w:pPr>
            <w:r>
              <w:rPr>
                <w:rFonts w:ascii="Arial" w:cs="Arial" w:eastAsia="Arial" w:hAnsi="Arial"/>
                <w:sz w:val="17"/>
                <w:szCs w:val="17"/>
                <w:color w:val="auto"/>
                <w:w w:val="92"/>
              </w:rPr>
              <w:t xml:space="preserve">Less: Discount on unsecured senior notes </w:t>
            </w:r>
            <w:r>
              <w:rPr>
                <w:rFonts w:ascii="Arial" w:cs="Arial" w:eastAsia="Arial" w:hAnsi="Arial"/>
                <w:sz w:val="22"/>
                <w:szCs w:val="22"/>
                <w:color w:val="auto"/>
                <w:w w:val="92"/>
                <w:vertAlign w:val="superscript"/>
              </w:rPr>
              <w:t>(3)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(284,906)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(54,349)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(32,962)</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10,329,079</w:t>
            </w:r>
          </w:p>
        </w:tc>
        <w:tc>
          <w:tcPr>
            <w:tcW w:w="12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6,386,462</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40" w:hanging="218"/>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loans are collateralized by mortgages on real estate assets and the assignment of rents.</w:t>
      </w:r>
    </w:p>
    <w:p>
      <w:pPr>
        <w:spacing w:after="0" w:line="25" w:lineRule="exact"/>
        <w:rPr>
          <w:rFonts w:ascii="Arial" w:cs="Arial" w:eastAsia="Arial" w:hAnsi="Arial"/>
          <w:sz w:val="16"/>
          <w:szCs w:val="16"/>
          <w:color w:val="auto"/>
        </w:rPr>
      </w:pPr>
    </w:p>
    <w:p>
      <w:pPr>
        <w:ind w:left="240" w:hanging="218"/>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Basis rates include Adjusted Term SOFR and Adjusted Daily Simple SOFR.</w:t>
      </w:r>
    </w:p>
    <w:p>
      <w:pPr>
        <w:spacing w:after="0" w:line="25" w:lineRule="exact"/>
        <w:rPr>
          <w:rFonts w:ascii="Arial" w:cs="Arial" w:eastAsia="Arial" w:hAnsi="Arial"/>
          <w:sz w:val="16"/>
          <w:szCs w:val="16"/>
          <w:color w:val="auto"/>
        </w:rPr>
      </w:pPr>
    </w:p>
    <w:p>
      <w:pPr>
        <w:ind w:left="240" w:hanging="218"/>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Unsecured senior notes from the Life Storage Merger were recorded at fair value, resulting in a discount to be amortized over the term of the debt.</w:t>
      </w:r>
    </w:p>
    <w:p>
      <w:pPr>
        <w:spacing w:after="0" w:line="3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scheduled maturities of term debt, excluding available extensions, at September 30, 2023:</w:t>
      </w:r>
    </w:p>
    <w:p>
      <w:pPr>
        <w:spacing w:after="0" w:line="237" w:lineRule="exact"/>
        <w:rPr>
          <w:sz w:val="20"/>
          <w:szCs w:val="20"/>
          <w:color w:val="auto"/>
        </w:rPr>
      </w:pPr>
    </w:p>
    <w:tbl>
      <w:tblPr>
        <w:tblLayout w:type="fixed"/>
        <w:tblInd w:w="2440" w:type="dxa"/>
        <w:tblCellMar>
          <w:top w:w="0" w:type="dxa"/>
          <w:left w:w="0" w:type="dxa"/>
          <w:bottom w:w="0" w:type="dxa"/>
          <w:right w:w="0" w:type="dxa"/>
        </w:tblCellMar>
      </w:tblPr>
      <w:tr>
        <w:trPr>
          <w:trHeight w:val="223"/>
        </w:trPr>
        <w:tc>
          <w:tcPr>
            <w:tcW w:w="5320" w:type="dxa"/>
            <w:vAlign w:val="bottom"/>
            <w:shd w:val="clear" w:color="auto" w:fill="CCEEFF"/>
          </w:tcPr>
          <w:p>
            <w:pPr>
              <w:jc w:val="right"/>
              <w:ind w:right="4853"/>
              <w:spacing w:after="0"/>
              <w:rPr>
                <w:sz w:val="20"/>
                <w:szCs w:val="20"/>
                <w:color w:val="auto"/>
              </w:rPr>
            </w:pPr>
            <w:r>
              <w:rPr>
                <w:rFonts w:ascii="Arial" w:cs="Arial" w:eastAsia="Arial" w:hAnsi="Arial"/>
                <w:sz w:val="17"/>
                <w:szCs w:val="17"/>
                <w:color w:val="auto"/>
                <w:w w:val="95"/>
              </w:rPr>
              <w:t>2023</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248,250</w:t>
            </w:r>
          </w:p>
        </w:tc>
      </w:tr>
      <w:tr>
        <w:trPr>
          <w:trHeight w:val="223"/>
        </w:trPr>
        <w:tc>
          <w:tcPr>
            <w:tcW w:w="5320" w:type="dxa"/>
            <w:vAlign w:val="bottom"/>
          </w:tcPr>
          <w:p>
            <w:pPr>
              <w:jc w:val="right"/>
              <w:ind w:right="4853"/>
              <w:spacing w:after="0"/>
              <w:rPr>
                <w:sz w:val="20"/>
                <w:szCs w:val="20"/>
                <w:color w:val="auto"/>
              </w:rPr>
            </w:pPr>
            <w:r>
              <w:rPr>
                <w:rFonts w:ascii="Arial" w:cs="Arial" w:eastAsia="Arial" w:hAnsi="Arial"/>
                <w:sz w:val="17"/>
                <w:szCs w:val="17"/>
                <w:color w:val="auto"/>
                <w:w w:val="95"/>
              </w:rPr>
              <w:t>2024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1,335,000</w:t>
            </w:r>
          </w:p>
        </w:tc>
      </w:tr>
      <w:tr>
        <w:trPr>
          <w:trHeight w:val="223"/>
        </w:trPr>
        <w:tc>
          <w:tcPr>
            <w:tcW w:w="5320" w:type="dxa"/>
            <w:vAlign w:val="bottom"/>
            <w:shd w:val="clear" w:color="auto" w:fill="CCEEFF"/>
          </w:tcPr>
          <w:p>
            <w:pPr>
              <w:jc w:val="right"/>
              <w:ind w:right="4853"/>
              <w:spacing w:after="0"/>
              <w:rPr>
                <w:sz w:val="20"/>
                <w:szCs w:val="20"/>
                <w:color w:val="auto"/>
              </w:rPr>
            </w:pPr>
            <w:r>
              <w:rPr>
                <w:rFonts w:ascii="Arial" w:cs="Arial" w:eastAsia="Arial" w:hAnsi="Arial"/>
                <w:sz w:val="17"/>
                <w:szCs w:val="17"/>
                <w:color w:val="auto"/>
                <w:w w:val="95"/>
              </w:rPr>
              <w:t>2025</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789,920</w:t>
            </w:r>
          </w:p>
        </w:tc>
      </w:tr>
      <w:tr>
        <w:trPr>
          <w:trHeight w:val="223"/>
        </w:trPr>
        <w:tc>
          <w:tcPr>
            <w:tcW w:w="5320" w:type="dxa"/>
            <w:vAlign w:val="bottom"/>
          </w:tcPr>
          <w:p>
            <w:pPr>
              <w:jc w:val="right"/>
              <w:ind w:right="4853"/>
              <w:spacing w:after="0"/>
              <w:rPr>
                <w:sz w:val="20"/>
                <w:szCs w:val="20"/>
                <w:color w:val="auto"/>
              </w:rPr>
            </w:pPr>
            <w:r>
              <w:rPr>
                <w:rFonts w:ascii="Arial" w:cs="Arial" w:eastAsia="Arial" w:hAnsi="Arial"/>
                <w:sz w:val="17"/>
                <w:szCs w:val="17"/>
                <w:color w:val="auto"/>
                <w:w w:val="95"/>
              </w:rPr>
              <w:t>2026</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1,409,581</w:t>
            </w:r>
          </w:p>
        </w:tc>
      </w:tr>
      <w:tr>
        <w:trPr>
          <w:trHeight w:val="223"/>
        </w:trPr>
        <w:tc>
          <w:tcPr>
            <w:tcW w:w="5320" w:type="dxa"/>
            <w:vAlign w:val="bottom"/>
            <w:shd w:val="clear" w:color="auto" w:fill="CCEEFF"/>
          </w:tcPr>
          <w:p>
            <w:pPr>
              <w:jc w:val="right"/>
              <w:ind w:right="4853"/>
              <w:spacing w:after="0"/>
              <w:rPr>
                <w:sz w:val="20"/>
                <w:szCs w:val="20"/>
                <w:color w:val="auto"/>
              </w:rPr>
            </w:pPr>
            <w:r>
              <w:rPr>
                <w:rFonts w:ascii="Arial" w:cs="Arial" w:eastAsia="Arial" w:hAnsi="Arial"/>
                <w:sz w:val="17"/>
                <w:szCs w:val="17"/>
                <w:color w:val="auto"/>
                <w:w w:val="95"/>
              </w:rPr>
              <w:t>2027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1,318,350</w:t>
            </w:r>
          </w:p>
        </w:tc>
      </w:tr>
      <w:tr>
        <w:trPr>
          <w:trHeight w:val="223"/>
        </w:trPr>
        <w:tc>
          <w:tcPr>
            <w:tcW w:w="5320" w:type="dxa"/>
            <w:vAlign w:val="bottom"/>
          </w:tcPr>
          <w:p>
            <w:pPr>
              <w:jc w:val="right"/>
              <w:ind w:right="4853"/>
              <w:spacing w:after="0"/>
              <w:rPr>
                <w:sz w:val="20"/>
                <w:szCs w:val="20"/>
                <w:color w:val="auto"/>
              </w:rPr>
            </w:pPr>
            <w:r>
              <w:rPr>
                <w:rFonts w:ascii="Arial" w:cs="Arial" w:eastAsia="Arial" w:hAnsi="Arial"/>
                <w:sz w:val="17"/>
                <w:szCs w:val="17"/>
                <w:color w:val="auto"/>
                <w:w w:val="95"/>
              </w:rPr>
              <w:t>2028</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1,029,300</w:t>
            </w:r>
          </w:p>
        </w:tc>
      </w:tr>
      <w:tr>
        <w:trPr>
          <w:trHeight w:val="223"/>
        </w:trPr>
        <w:tc>
          <w:tcPr>
            <w:tcW w:w="5320" w:type="dxa"/>
            <w:vAlign w:val="bottom"/>
            <w:shd w:val="clear" w:color="auto" w:fill="CCEEFF"/>
          </w:tcPr>
          <w:p>
            <w:pPr>
              <w:jc w:val="right"/>
              <w:ind w:right="4853"/>
              <w:spacing w:after="0"/>
              <w:rPr>
                <w:sz w:val="20"/>
                <w:szCs w:val="20"/>
                <w:color w:val="auto"/>
              </w:rPr>
            </w:pPr>
            <w:r>
              <w:rPr>
                <w:rFonts w:ascii="Arial" w:cs="Arial" w:eastAsia="Arial" w:hAnsi="Arial"/>
                <w:sz w:val="17"/>
                <w:szCs w:val="17"/>
                <w:color w:val="auto"/>
                <w:w w:val="95"/>
              </w:rPr>
              <w:t>2029</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1,543,074</w:t>
            </w:r>
          </w:p>
        </w:tc>
      </w:tr>
      <w:tr>
        <w:trPr>
          <w:trHeight w:val="223"/>
        </w:trPr>
        <w:tc>
          <w:tcPr>
            <w:tcW w:w="5320" w:type="dxa"/>
            <w:vAlign w:val="bottom"/>
          </w:tcPr>
          <w:p>
            <w:pPr>
              <w:jc w:val="right"/>
              <w:ind w:right="4853"/>
              <w:spacing w:after="0"/>
              <w:rPr>
                <w:sz w:val="20"/>
                <w:szCs w:val="20"/>
                <w:color w:val="auto"/>
              </w:rPr>
            </w:pPr>
            <w:r>
              <w:rPr>
                <w:rFonts w:ascii="Arial" w:cs="Arial" w:eastAsia="Arial" w:hAnsi="Arial"/>
                <w:sz w:val="17"/>
                <w:szCs w:val="17"/>
                <w:color w:val="auto"/>
                <w:w w:val="95"/>
              </w:rPr>
              <w:t>2030</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1,344,859</w:t>
            </w:r>
          </w:p>
        </w:tc>
      </w:tr>
      <w:tr>
        <w:trPr>
          <w:trHeight w:val="223"/>
        </w:trPr>
        <w:tc>
          <w:tcPr>
            <w:tcW w:w="5320" w:type="dxa"/>
            <w:vAlign w:val="bottom"/>
            <w:shd w:val="clear" w:color="auto" w:fill="CCEEFF"/>
          </w:tcPr>
          <w:p>
            <w:pPr>
              <w:jc w:val="right"/>
              <w:ind w:right="4853"/>
              <w:spacing w:after="0"/>
              <w:rPr>
                <w:sz w:val="20"/>
                <w:szCs w:val="20"/>
                <w:color w:val="auto"/>
              </w:rPr>
            </w:pPr>
            <w:r>
              <w:rPr>
                <w:rFonts w:ascii="Arial" w:cs="Arial" w:eastAsia="Arial" w:hAnsi="Arial"/>
                <w:sz w:val="17"/>
                <w:szCs w:val="17"/>
                <w:color w:val="auto"/>
                <w:w w:val="95"/>
              </w:rPr>
              <w:t>2031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1,050,000</w:t>
            </w:r>
          </w:p>
        </w:tc>
      </w:tr>
      <w:tr>
        <w:trPr>
          <w:trHeight w:val="223"/>
        </w:trPr>
        <w:tc>
          <w:tcPr>
            <w:tcW w:w="5320" w:type="dxa"/>
            <w:vAlign w:val="bottom"/>
            <w:tcBorders>
              <w:bottom w:val="single" w:sz="8" w:color="CCEEFF"/>
            </w:tcBorders>
          </w:tcPr>
          <w:p>
            <w:pPr>
              <w:jc w:val="right"/>
              <w:ind w:right="4853"/>
              <w:spacing w:after="0"/>
              <w:rPr>
                <w:sz w:val="20"/>
                <w:szCs w:val="20"/>
                <w:color w:val="auto"/>
              </w:rPr>
            </w:pPr>
            <w:r>
              <w:rPr>
                <w:rFonts w:ascii="Arial" w:cs="Arial" w:eastAsia="Arial" w:hAnsi="Arial"/>
                <w:sz w:val="17"/>
                <w:szCs w:val="17"/>
                <w:color w:val="auto"/>
                <w:w w:val="95"/>
              </w:rPr>
              <w:t>2032</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600,000</w:t>
            </w:r>
          </w:p>
        </w:tc>
      </w:tr>
      <w:tr>
        <w:trPr>
          <w:trHeight w:val="241"/>
        </w:trPr>
        <w:tc>
          <w:tcPr>
            <w:tcW w:w="5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10,668,334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firstLine="393"/>
        <w:spacing w:after="0" w:line="245" w:lineRule="auto"/>
        <w:rPr>
          <w:sz w:val="20"/>
          <w:szCs w:val="20"/>
          <w:color w:val="auto"/>
        </w:rPr>
      </w:pPr>
      <w:r>
        <w:rPr>
          <w:rFonts w:ascii="Arial" w:cs="Arial" w:eastAsia="Arial" w:hAnsi="Arial"/>
          <w:sz w:val="17"/>
          <w:szCs w:val="17"/>
          <w:color w:val="auto"/>
        </w:rPr>
        <w:t>On June 22, 2023, the Company entered into the Third Amended and Restated Credit Agreement (the “Credit Agreement”), which increased the commitment of the revolving credit facility to $1,940,000, and later to $2,000,000 with an Increasing Lender Supplement entered into in August 2023, and extended its maturity to June 2027. In connection with entering into the Credit Agreement, the Company paid off Tranche 5 and added the Tranche 8 term loan, maturing June 2024, which allowed the Company to draw up to $1,000,000 in connection with the Life Storage Merger. Tranche 8 was fully drawn on July 20, 2023, in connection with the closing of the Life Storage Merger.</w:t>
      </w:r>
    </w:p>
    <w:p>
      <w:pPr>
        <w:spacing w:after="0" w:line="209"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color w:val="auto"/>
        </w:rPr>
        <w:t>Pursuant to the terms of the Credit Agreement, the Company may request an extension of the term of the revolving credit facility for up to two additional periods of six months each, and the term of the Tranche 8 term loan facility for one year, after satisfying certain conditions.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2023, amounts outstanding under the revolving credit facility bore interest at floating rates, at the Company’s option, equal to either</w:t>
      </w:r>
    </w:p>
    <w:p>
      <w:pPr>
        <w:spacing w:after="0" w:line="27" w:lineRule="exact"/>
        <w:rPr>
          <w:sz w:val="20"/>
          <w:szCs w:val="20"/>
          <w:color w:val="auto"/>
        </w:rPr>
      </w:pPr>
    </w:p>
    <w:p>
      <w:pPr>
        <w:ind w:left="220" w:hanging="215"/>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Term or Daily Simple SOFR plus the Applicable Margin or (ii) the applicable base rate which is the applicable margin plus the highest of (a) 0.0%,</w:t>
      </w:r>
    </w:p>
    <w:p>
      <w:pPr>
        <w:spacing w:after="0" w:line="23" w:lineRule="exact"/>
        <w:rPr>
          <w:rFonts w:ascii="Arial" w:cs="Arial" w:eastAsia="Arial" w:hAnsi="Arial"/>
          <w:sz w:val="16"/>
          <w:szCs w:val="16"/>
          <w:color w:val="auto"/>
        </w:rPr>
      </w:pPr>
    </w:p>
    <w:p>
      <w:pPr>
        <w:ind w:left="260" w:hanging="255"/>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funds rate plus 0.50%, (c) U.S. Bank’s</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7" w:right="39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prime rate or (d) the SOFR rate plus 1.00%. Per the Credit Agreement, the applicable SOFR rate margin and applicable base rate margin are based on the Company’s achieved debt rating, with the SOFR rate margin ranging from 0.7% to 2.2% per annum and the applicable base rate margin ranging from 0.00% to 1.20% per annum.</w:t>
      </w:r>
    </w:p>
    <w:p>
      <w:pPr>
        <w:spacing w:after="0" w:line="192"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The Credit Agreement is guaranteed by the Company and is not secured by any assets of the Company. The Company's unsecured debt is subject to certain financial covenants. As of September 30, 2023, the Company was in compliance with all of its financial covenants.</w:t>
      </w:r>
    </w:p>
    <w:p>
      <w:pPr>
        <w:spacing w:after="0" w:line="18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In July 2022, the Company completed an accordion transaction in its credit facility, which added a $175.0 million unsecured debt tranche maturing January 2028 and a $425.0 million unsecured debt tranche maturing July 2029. As of September 30, 2023, the interest rates for the tranches were Adjusted Term SOFR/Adjusted Daily Simple SOFR ("ASOFR") + 0.85% and ASOFR + 1.15%, respectively.</w:t>
      </w:r>
    </w:p>
    <w:p>
      <w:pPr>
        <w:spacing w:after="0" w:line="198" w:lineRule="exact"/>
        <w:rPr>
          <w:sz w:val="20"/>
          <w:szCs w:val="20"/>
          <w:color w:val="auto"/>
        </w:rPr>
      </w:pPr>
    </w:p>
    <w:p>
      <w:pPr>
        <w:ind w:right="500" w:firstLine="393"/>
        <w:spacing w:after="0" w:line="278" w:lineRule="auto"/>
        <w:rPr>
          <w:sz w:val="20"/>
          <w:szCs w:val="20"/>
          <w:color w:val="auto"/>
        </w:rPr>
      </w:pPr>
      <w:r>
        <w:rPr>
          <w:rFonts w:ascii="Arial" w:cs="Arial" w:eastAsia="Arial" w:hAnsi="Arial"/>
          <w:sz w:val="17"/>
          <w:szCs w:val="17"/>
          <w:color w:val="auto"/>
        </w:rPr>
        <w:t>All of the Company’s lines of credit are guaranteed by the Company. The following table presents information on the Company’s lines of credit, the proceeds of which are used to repay debt and for general corporate purposes, for the periods indicated:</w:t>
      </w:r>
    </w:p>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60" w:type="dxa"/>
            <w:vAlign w:val="bottom"/>
            <w:gridSpan w:val="7"/>
          </w:tcPr>
          <w:p>
            <w:pPr>
              <w:ind w:left="660"/>
              <w:spacing w:after="0"/>
              <w:rPr>
                <w:sz w:val="20"/>
                <w:szCs w:val="20"/>
                <w:color w:val="auto"/>
              </w:rPr>
            </w:pPr>
            <w:r>
              <w:rPr>
                <w:rFonts w:ascii="Arial" w:cs="Arial" w:eastAsia="Arial" w:hAnsi="Arial"/>
                <w:sz w:val="17"/>
                <w:szCs w:val="17"/>
                <w:b w:val="1"/>
                <w:bCs w:val="1"/>
                <w:color w:val="auto"/>
              </w:rPr>
              <w:t>As of September 30, 2023</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16"/>
        </w:trPr>
        <w:tc>
          <w:tcPr>
            <w:tcW w:w="39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Revolving Lines of Credit</w:t>
            </w:r>
          </w:p>
        </w:tc>
        <w:tc>
          <w:tcPr>
            <w:tcW w:w="12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9"/>
              </w:rPr>
              <w:t>Amount Drawn</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Capacity</w:t>
            </w:r>
          </w:p>
        </w:tc>
        <w:tc>
          <w:tcPr>
            <w:tcW w:w="10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Interest Rate</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Maturity</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17"/>
                <w:szCs w:val="17"/>
                <w:b w:val="1"/>
                <w:bCs w:val="1"/>
                <w:color w:val="auto"/>
                <w:w w:val="87"/>
              </w:rPr>
              <w:t xml:space="preserve">Basis Rate </w:t>
            </w:r>
            <w:r>
              <w:rPr>
                <w:rFonts w:ascii="Arial" w:cs="Arial" w:eastAsia="Arial" w:hAnsi="Arial"/>
                <w:sz w:val="22"/>
                <w:szCs w:val="22"/>
                <w:b w:val="1"/>
                <w:bCs w:val="1"/>
                <w:color w:val="auto"/>
                <w:w w:val="87"/>
                <w:vertAlign w:val="superscript"/>
              </w:rPr>
              <w:t>(1)</w:t>
            </w:r>
          </w:p>
        </w:tc>
      </w:tr>
      <w:tr>
        <w:trPr>
          <w:trHeight w:val="216"/>
        </w:trPr>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Credit Line 1</w:t>
            </w:r>
          </w:p>
        </w:tc>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w:t>
            </w:r>
          </w:p>
        </w:tc>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140,000</w:t>
            </w:r>
          </w:p>
        </w:tc>
        <w:tc>
          <w:tcPr>
            <w:tcW w:w="132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5"/>
              </w:rPr>
              <w:t>6.66%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7/1/2026</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SOFR plus 1.35%</w:t>
            </w:r>
          </w:p>
        </w:tc>
      </w:tr>
      <w:tr>
        <w:trPr>
          <w:trHeight w:val="223"/>
        </w:trPr>
        <w:tc>
          <w:tcPr>
            <w:tcW w:w="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7"/>
              </w:rPr>
              <w:t>Credit Line 2</w:t>
            </w:r>
          </w:p>
        </w:tc>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(3)(4)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2,000,000</w:t>
            </w:r>
          </w:p>
        </w:tc>
        <w:tc>
          <w:tcPr>
            <w:tcW w:w="1320" w:type="dxa"/>
            <w:vAlign w:val="bottom"/>
            <w:tcBorders>
              <w:bottom w:val="single" w:sz="8" w:color="CCEEFF"/>
            </w:tcBorders>
            <w:gridSpan w:val="2"/>
          </w:tcPr>
          <w:p>
            <w:pPr>
              <w:jc w:val="center"/>
              <w:ind w:left="13"/>
              <w:spacing w:after="0"/>
              <w:rPr>
                <w:sz w:val="20"/>
                <w:szCs w:val="20"/>
                <w:color w:val="auto"/>
              </w:rPr>
            </w:pPr>
            <w:r>
              <w:rPr>
                <w:rFonts w:ascii="Arial" w:cs="Arial" w:eastAsia="Arial" w:hAnsi="Arial"/>
                <w:sz w:val="17"/>
                <w:szCs w:val="17"/>
                <w:color w:val="auto"/>
                <w:w w:val="95"/>
              </w:rPr>
              <w:t>6.19%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53"/>
              <w:spacing w:after="0"/>
              <w:rPr>
                <w:sz w:val="20"/>
                <w:szCs w:val="20"/>
                <w:color w:val="auto"/>
              </w:rPr>
            </w:pPr>
            <w:r>
              <w:rPr>
                <w:rFonts w:ascii="Arial" w:cs="Arial" w:eastAsia="Arial" w:hAnsi="Arial"/>
                <w:sz w:val="17"/>
                <w:szCs w:val="17"/>
                <w:color w:val="auto"/>
              </w:rPr>
              <w:t>6/22/2027</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4"/>
              </w:rPr>
              <w:t>ASOFR plus 0.775%</w:t>
            </w:r>
          </w:p>
        </w:tc>
      </w:tr>
      <w:tr>
        <w:trPr>
          <w:trHeight w:val="222"/>
        </w:trPr>
        <w:tc>
          <w:tcPr>
            <w:tcW w:w="98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2,140,000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r>
    </w:tbl>
    <w:p>
      <w:pPr>
        <w:spacing w:after="0" w:line="3" w:lineRule="exact"/>
        <w:rPr>
          <w:sz w:val="20"/>
          <w:szCs w:val="20"/>
          <w:color w:val="auto"/>
        </w:rPr>
      </w:pPr>
    </w:p>
    <w:p>
      <w:pPr>
        <w:ind w:left="240" w:hanging="218"/>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Term SOFR or Daily Simple SOFR</w:t>
      </w:r>
    </w:p>
    <w:p>
      <w:pPr>
        <w:spacing w:after="0" w:line="25" w:lineRule="exact"/>
        <w:rPr>
          <w:rFonts w:ascii="Arial" w:cs="Arial" w:eastAsia="Arial" w:hAnsi="Arial"/>
          <w:sz w:val="16"/>
          <w:szCs w:val="16"/>
          <w:color w:val="auto"/>
        </w:rPr>
      </w:pPr>
    </w:p>
    <w:p>
      <w:pPr>
        <w:ind w:left="240" w:hanging="218"/>
        <w:spacing w:after="0"/>
        <w:tabs>
          <w:tab w:leader="none" w:pos="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Secured by mortgages on certain real estate assets. On January 13, 2023, the maturity date was extended to July 1, 2026 with one extension of one year available.</w:t>
      </w:r>
    </w:p>
    <w:p>
      <w:pPr>
        <w:spacing w:after="0" w:line="37" w:lineRule="exact"/>
        <w:rPr>
          <w:rFonts w:ascii="Arial" w:cs="Arial" w:eastAsia="Arial" w:hAnsi="Arial"/>
          <w:sz w:val="15"/>
          <w:szCs w:val="15"/>
          <w:color w:val="auto"/>
        </w:rPr>
      </w:pPr>
    </w:p>
    <w:p>
      <w:pPr>
        <w:ind w:left="20" w:right="140" w:firstLine="2"/>
        <w:spacing w:after="0" w:line="233"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Unsecured. On June 22, 2023, the maturity date was extended to June 22, 2027 with two six-month extensions available. On August 11, 2023, the capacity was increased by $60.0 million.</w:t>
      </w:r>
    </w:p>
    <w:p>
      <w:pPr>
        <w:spacing w:after="0" w:line="9" w:lineRule="exact"/>
        <w:rPr>
          <w:rFonts w:ascii="Arial" w:cs="Arial" w:eastAsia="Arial" w:hAnsi="Arial"/>
          <w:sz w:val="16"/>
          <w:szCs w:val="16"/>
          <w:color w:val="auto"/>
        </w:rPr>
      </w:pPr>
    </w:p>
    <w:p>
      <w:pPr>
        <w:ind w:left="240" w:hanging="218"/>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Basis Rate as of September 30, 2023. Rate is subject to change based on the Company's investment grade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-609600</wp:posOffset>
            </wp:positionV>
            <wp:extent cx="16484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8460" cy="8255"/>
                    </a:xfrm>
                    <a:prstGeom prst="rect">
                      <a:avLst/>
                    </a:prstGeom>
                    <a:noFill/>
                  </pic:spPr>
                </pic:pic>
              </a:graphicData>
            </a:graphic>
          </wp:anchor>
        </w:drawing>
      </w:r>
    </w:p>
    <w:p>
      <w:pPr>
        <w:spacing w:after="0" w:line="187"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As of September 30, 2023, the Company’s percentage of fixed-rate debt to total debt was 70.3%. The weighted average interest rates of the Company’s fixed and variable-rate debt were 3.6% and 6.4%, respectively. The combined weighted average interest rate was 4.4%.</w:t>
      </w:r>
    </w:p>
    <w:p>
      <w:pPr>
        <w:spacing w:after="0" w:line="2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tab/>
        <w:t>DERIVATIVES</w:t>
      </w:r>
    </w:p>
    <w:p>
      <w:pPr>
        <w:spacing w:after="0" w:line="256" w:lineRule="exact"/>
        <w:rPr>
          <w:sz w:val="20"/>
          <w:szCs w:val="20"/>
          <w:color w:val="auto"/>
        </w:rPr>
      </w:pPr>
    </w:p>
    <w:p>
      <w:pPr>
        <w:ind w:right="260" w:firstLine="433"/>
        <w:spacing w:after="0" w:line="281" w:lineRule="auto"/>
        <w:rPr>
          <w:sz w:val="20"/>
          <w:szCs w:val="20"/>
          <w:color w:val="auto"/>
        </w:rPr>
      </w:pPr>
      <w:r>
        <w:rPr>
          <w:rFonts w:ascii="Arial" w:cs="Arial" w:eastAsia="Arial" w:hAnsi="Arial"/>
          <w:sz w:val="16"/>
          <w:szCs w:val="16"/>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Hedges of Interest Rate Risk</w:t>
      </w:r>
    </w:p>
    <w:p>
      <w:pPr>
        <w:spacing w:after="0" w:line="125"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02" w:lineRule="exact"/>
        <w:rPr>
          <w:sz w:val="20"/>
          <w:szCs w:val="20"/>
          <w:color w:val="auto"/>
        </w:rPr>
      </w:pPr>
    </w:p>
    <w:p>
      <w:pPr>
        <w:ind w:right="700" w:firstLine="433"/>
        <w:spacing w:after="0" w:line="289"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color w:val="auto"/>
        </w:rPr>
        <w:t>the hedged forecasted transaction affects earnings. A portion of these changes is excluded from accumulated other comprehensive income as it is allocated to noncontrolling interests. During the three and nine months ended September 30, 2023 and 2022, such derivatives were used to hedge the variable cash flows associated with existing variable-rate debt. In the coming 12 months, the Company estimates that $31,372 will be reclassified as an increase to interest income.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held 17 derivative financial instruments which had a total combined notional amount of $1,664,918 as of September 30, 2023.</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Values of Derivative Instruments</w:t>
      </w:r>
    </w:p>
    <w:p>
      <w:pPr>
        <w:spacing w:after="0" w:line="125" w:lineRule="exact"/>
        <w:rPr>
          <w:sz w:val="20"/>
          <w:szCs w:val="20"/>
          <w:color w:val="auto"/>
        </w:rPr>
      </w:pPr>
    </w:p>
    <w:p>
      <w:pPr>
        <w:ind w:right="320" w:firstLine="433"/>
        <w:spacing w:after="0" w:line="275" w:lineRule="auto"/>
        <w:rPr>
          <w:sz w:val="20"/>
          <w:szCs w:val="20"/>
          <w:color w:val="auto"/>
        </w:rPr>
      </w:pPr>
      <w:r>
        <w:rPr>
          <w:rFonts w:ascii="Arial" w:cs="Arial" w:eastAsia="Arial" w:hAnsi="Arial"/>
          <w:sz w:val="17"/>
          <w:szCs w:val="17"/>
          <w:color w:val="auto"/>
        </w:rPr>
        <w:t>The table below presents the fair value of the Company’s derivative financial instruments as well as their classification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4"/>
          </w:tcPr>
          <w:p>
            <w:pPr>
              <w:jc w:val="right"/>
              <w:ind w:right="738"/>
              <w:spacing w:after="0"/>
              <w:rPr>
                <w:sz w:val="20"/>
                <w:szCs w:val="20"/>
                <w:color w:val="auto"/>
              </w:rPr>
            </w:pPr>
            <w:r>
              <w:rPr>
                <w:rFonts w:ascii="Arial" w:cs="Arial" w:eastAsia="Arial" w:hAnsi="Arial"/>
                <w:sz w:val="14"/>
                <w:szCs w:val="14"/>
                <w:b w:val="1"/>
                <w:bCs w:val="1"/>
                <w:color w:val="auto"/>
              </w:rPr>
              <w:t>Asset / Liability Derivatives</w:t>
            </w:r>
          </w:p>
        </w:tc>
        <w:tc>
          <w:tcPr>
            <w:tcW w:w="0" w:type="dxa"/>
            <w:vAlign w:val="bottom"/>
          </w:tcPr>
          <w:p>
            <w:pPr>
              <w:spacing w:after="0"/>
              <w:rPr>
                <w:sz w:val="1"/>
                <w:szCs w:val="1"/>
                <w:color w:val="auto"/>
              </w:rPr>
            </w:pPr>
          </w:p>
        </w:tc>
      </w:tr>
      <w:tr>
        <w:trPr>
          <w:trHeight w:val="24"/>
        </w:trPr>
        <w:tc>
          <w:tcPr>
            <w:tcW w:w="7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20" w:type="dxa"/>
            <w:vAlign w:val="bottom"/>
          </w:tcPr>
          <w:p>
            <w:pPr>
              <w:jc w:val="right"/>
              <w:ind w:right="158"/>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19"/>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48,611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54,839</w:t>
            </w:r>
          </w:p>
        </w:tc>
        <w:tc>
          <w:tcPr>
            <w:tcW w:w="0" w:type="dxa"/>
            <w:vAlign w:val="bottom"/>
          </w:tcPr>
          <w:p>
            <w:pPr>
              <w:spacing w:after="0"/>
              <w:rPr>
                <w:sz w:val="1"/>
                <w:szCs w:val="1"/>
                <w:color w:val="auto"/>
              </w:rPr>
            </w:pPr>
          </w:p>
        </w:tc>
      </w:tr>
      <w:tr>
        <w:trPr>
          <w:trHeight w:val="222"/>
        </w:trPr>
        <w:tc>
          <w:tcPr>
            <w:tcW w:w="794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Derivative Instruments</w:t>
      </w:r>
    </w:p>
    <w:p>
      <w:pPr>
        <w:spacing w:after="0" w:line="125" w:lineRule="exact"/>
        <w:rPr>
          <w:sz w:val="20"/>
          <w:szCs w:val="20"/>
          <w:color w:val="auto"/>
        </w:rPr>
      </w:pPr>
    </w:p>
    <w:p>
      <w:pPr>
        <w:ind w:right="380" w:firstLine="433"/>
        <w:spacing w:after="0" w:line="289" w:lineRule="auto"/>
        <w:rPr>
          <w:sz w:val="20"/>
          <w:szCs w:val="20"/>
          <w:color w:val="auto"/>
        </w:rPr>
      </w:pPr>
      <w:r>
        <w:rPr>
          <w:rFonts w:ascii="Arial" w:cs="Arial" w:eastAsia="Arial" w:hAnsi="Arial"/>
          <w:sz w:val="17"/>
          <w:szCs w:val="17"/>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Gain (loss) recognized in OCI for the Three Months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Location of amounts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6"/>
          </w:tcPr>
          <w:p>
            <w:pPr>
              <w:jc w:val="right"/>
              <w:ind w:right="121"/>
              <w:spacing w:after="0"/>
              <w:rPr>
                <w:sz w:val="20"/>
                <w:szCs w:val="20"/>
                <w:color w:val="auto"/>
              </w:rPr>
            </w:pPr>
            <w:r>
              <w:rPr>
                <w:rFonts w:ascii="Arial" w:cs="Arial" w:eastAsia="Arial" w:hAnsi="Arial"/>
                <w:sz w:val="14"/>
                <w:szCs w:val="14"/>
                <w:b w:val="1"/>
                <w:bCs w:val="1"/>
                <w:color w:val="auto"/>
                <w:w w:val="90"/>
              </w:rPr>
              <w:t>Gain (loss) reclassified from OCI for the Three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gridSpan w:val="4"/>
          </w:tcPr>
          <w:p>
            <w:pPr>
              <w:jc w:val="center"/>
              <w:spacing w:after="0" w:line="131" w:lineRule="exact"/>
              <w:rPr>
                <w:sz w:val="20"/>
                <w:szCs w:val="20"/>
                <w:color w:val="auto"/>
              </w:rPr>
            </w:pPr>
            <w:r>
              <w:rPr>
                <w:rFonts w:ascii="Arial" w:cs="Arial" w:eastAsia="Arial" w:hAnsi="Arial"/>
                <w:sz w:val="14"/>
                <w:szCs w:val="14"/>
                <w:b w:val="1"/>
                <w:bCs w:val="1"/>
                <w:color w:val="auto"/>
                <w:w w:val="89"/>
              </w:rPr>
              <w:t>Ended September 30,</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0" w:type="dxa"/>
            <w:vAlign w:val="bottom"/>
            <w:gridSpan w:val="6"/>
          </w:tcPr>
          <w:p>
            <w:pPr>
              <w:ind w:left="520"/>
              <w:spacing w:after="0" w:line="131" w:lineRule="exact"/>
              <w:rPr>
                <w:sz w:val="20"/>
                <w:szCs w:val="20"/>
                <w:color w:val="auto"/>
              </w:rPr>
            </w:pPr>
            <w:r>
              <w:rPr>
                <w:rFonts w:ascii="Arial" w:cs="Arial" w:eastAsia="Arial" w:hAnsi="Arial"/>
                <w:sz w:val="14"/>
                <w:szCs w:val="14"/>
                <w:b w:val="1"/>
                <w:bCs w:val="1"/>
                <w:color w:val="auto"/>
              </w:rPr>
              <w:t>Months Ended 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1720" w:type="dxa"/>
            <w:vAlign w:val="bottom"/>
            <w:gridSpan w:val="2"/>
            <w:vMerge w:val="restart"/>
          </w:tcPr>
          <w:p>
            <w:pPr>
              <w:jc w:val="center"/>
              <w:ind w:right="120"/>
              <w:spacing w:after="0" w:line="109" w:lineRule="exact"/>
              <w:rPr>
                <w:sz w:val="20"/>
                <w:szCs w:val="20"/>
                <w:color w:val="auto"/>
              </w:rPr>
            </w:pPr>
            <w:r>
              <w:rPr>
                <w:rFonts w:ascii="Arial" w:cs="Arial" w:eastAsia="Arial" w:hAnsi="Arial"/>
                <w:sz w:val="12"/>
                <w:szCs w:val="12"/>
                <w:b w:val="1"/>
                <w:bCs w:val="1"/>
                <w:color w:val="auto"/>
              </w:rPr>
              <w:t>reclassified from OCI into</w:t>
            </w: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right"/>
              <w:ind w:right="586"/>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86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Swap Agreements</w:t>
            </w:r>
          </w:p>
        </w:tc>
        <w:tc>
          <w:tcPr>
            <w:tcW w:w="96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9,146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25,350</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Interest expense</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11,415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1,131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1"/>
              </w:rPr>
              <w:t>Gain (loss) recognized in OCI for the Nine Months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Location of amounts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6"/>
          </w:tcPr>
          <w:p>
            <w:pPr>
              <w:jc w:val="right"/>
              <w:ind w:right="121"/>
              <w:spacing w:after="0"/>
              <w:rPr>
                <w:sz w:val="20"/>
                <w:szCs w:val="20"/>
                <w:color w:val="auto"/>
              </w:rPr>
            </w:pPr>
            <w:r>
              <w:rPr>
                <w:rFonts w:ascii="Arial" w:cs="Arial" w:eastAsia="Arial" w:hAnsi="Arial"/>
                <w:sz w:val="14"/>
                <w:szCs w:val="14"/>
                <w:b w:val="1"/>
                <w:bCs w:val="1"/>
                <w:color w:val="auto"/>
                <w:w w:val="93"/>
              </w:rPr>
              <w:t>Gain (loss) reclassified from OCI for the Nine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Ended September 30,</w:t>
            </w: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0" w:type="dxa"/>
            <w:vAlign w:val="bottom"/>
            <w:gridSpan w:val="6"/>
            <w:vMerge w:val="restart"/>
          </w:tcPr>
          <w:p>
            <w:pPr>
              <w:jc w:val="right"/>
              <w:ind w:right="581"/>
              <w:spacing w:after="0"/>
              <w:rPr>
                <w:sz w:val="20"/>
                <w:szCs w:val="20"/>
                <w:color w:val="auto"/>
              </w:rPr>
            </w:pPr>
            <w:r>
              <w:rPr>
                <w:rFonts w:ascii="Arial" w:cs="Arial" w:eastAsia="Arial" w:hAnsi="Arial"/>
                <w:sz w:val="14"/>
                <w:szCs w:val="14"/>
                <w:b w:val="1"/>
                <w:bCs w:val="1"/>
                <w:color w:val="auto"/>
              </w:rPr>
              <w:t>Months Ended September 30,</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gridSpan w:val="2"/>
          </w:tcPr>
          <w:p>
            <w:pPr>
              <w:jc w:val="center"/>
              <w:ind w:right="40"/>
              <w:spacing w:after="0" w:line="121" w:lineRule="exact"/>
              <w:rPr>
                <w:sz w:val="20"/>
                <w:szCs w:val="20"/>
                <w:color w:val="auto"/>
              </w:rPr>
            </w:pPr>
            <w:r>
              <w:rPr>
                <w:rFonts w:ascii="Arial" w:cs="Arial" w:eastAsia="Arial" w:hAnsi="Arial"/>
                <w:sz w:val="13"/>
                <w:szCs w:val="13"/>
                <w:b w:val="1"/>
                <w:bCs w:val="1"/>
                <w:color w:val="auto"/>
                <w:w w:val="98"/>
              </w:rPr>
              <w:t>reclassified from OCI into</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6"/>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6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Type</w:t>
            </w:r>
          </w:p>
        </w:tc>
        <w:tc>
          <w:tcPr>
            <w:tcW w:w="96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ind w:right="521"/>
              <w:spacing w:after="0" w:line="125" w:lineRule="exact"/>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2"/>
          </w:tcPr>
          <w:p>
            <w:pPr>
              <w:jc w:val="center"/>
              <w:ind w:right="40"/>
              <w:spacing w:after="0" w:line="125"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ind w:left="520"/>
              <w:spacing w:after="0" w:line="125"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481"/>
              <w:spacing w:after="0" w:line="12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Swap Agreements</w:t>
            </w:r>
          </w:p>
        </w:tc>
        <w:tc>
          <w:tcPr>
            <w:tcW w:w="960" w:type="dxa"/>
            <w:vAlign w:val="bottom"/>
            <w:shd w:val="clear" w:color="auto" w:fill="CCEEFF"/>
          </w:tcPr>
          <w:p>
            <w:pPr>
              <w:jc w:val="right"/>
              <w:ind w:right="76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82,449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89"/>
              </w:rPr>
              <w:t>Interest expense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31,398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Credit-risk-related Contingent Features</w:t>
      </w:r>
    </w:p>
    <w:p>
      <w:pPr>
        <w:spacing w:after="0" w:line="125" w:lineRule="exact"/>
        <w:rPr>
          <w:sz w:val="20"/>
          <w:szCs w:val="20"/>
          <w:color w:val="auto"/>
        </w:rPr>
      </w:pPr>
    </w:p>
    <w:p>
      <w:pPr>
        <w:jc w:val="both"/>
        <w:ind w:right="360" w:firstLine="433"/>
        <w:spacing w:after="0" w:line="273" w:lineRule="auto"/>
        <w:rPr>
          <w:sz w:val="20"/>
          <w:szCs w:val="20"/>
          <w:color w:val="auto"/>
        </w:rPr>
      </w:pPr>
      <w:r>
        <w:rPr>
          <w:rFonts w:ascii="Arial" w:cs="Arial" w:eastAsia="Arial" w:hAnsi="Arial"/>
          <w:sz w:val="17"/>
          <w:szCs w:val="17"/>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98" w:lineRule="exact"/>
        <w:rPr>
          <w:sz w:val="20"/>
          <w:szCs w:val="20"/>
          <w:color w:val="auto"/>
        </w:rPr>
      </w:pPr>
    </w:p>
    <w:p>
      <w:pPr>
        <w:ind w:right="280" w:firstLine="433"/>
        <w:spacing w:after="0" w:line="273" w:lineRule="auto"/>
        <w:rPr>
          <w:sz w:val="20"/>
          <w:szCs w:val="20"/>
          <w:color w:val="auto"/>
        </w:rPr>
      </w:pPr>
      <w:r>
        <w:rPr>
          <w:rFonts w:ascii="Arial" w:cs="Arial" w:eastAsia="Arial" w:hAnsi="Arial"/>
          <w:sz w:val="17"/>
          <w:szCs w:val="17"/>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2023, the Company did not have any net liability positions in the fair value of derivatives.</w:t>
      </w:r>
    </w:p>
    <w:p>
      <w:pPr>
        <w:spacing w:after="0" w:line="323"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12.</w:t>
        <w:tab/>
        <w:t>STOCKHOLDERS’ EQUITY</w:t>
      </w:r>
    </w:p>
    <w:p>
      <w:pPr>
        <w:spacing w:after="0" w:line="256" w:lineRule="exact"/>
        <w:rPr>
          <w:sz w:val="20"/>
          <w:szCs w:val="20"/>
          <w:color w:val="auto"/>
        </w:rPr>
      </w:pPr>
    </w:p>
    <w:p>
      <w:pPr>
        <w:ind w:right="120" w:firstLine="433"/>
        <w:spacing w:after="0" w:line="360" w:lineRule="auto"/>
        <w:rPr>
          <w:sz w:val="20"/>
          <w:szCs w:val="20"/>
          <w:color w:val="auto"/>
        </w:rPr>
      </w:pPr>
      <w:r>
        <w:rPr>
          <w:rFonts w:ascii="Arial" w:cs="Arial" w:eastAsia="Arial" w:hAnsi="Arial"/>
          <w:sz w:val="15"/>
          <w:szCs w:val="15"/>
          <w:color w:val="auto"/>
        </w:rPr>
        <w:t>On July 20, 2023, the Company issued 76,217,359 shares of its common stock for a total value of $11,353,338. This was based on an exchange ratio of 0.895 per share conversion of Life Storage common stock at the Company's closing share price on July 19, 2023 of $148.96 as part of the Life Storage Merger.</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January 7, 2022, the Company issued 186,766 shares of its common stock to acquire two stores for $40,965.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right="220" w:firstLine="433"/>
        <w:spacing w:after="0" w:line="268" w:lineRule="auto"/>
        <w:rPr>
          <w:sz w:val="20"/>
          <w:szCs w:val="20"/>
          <w:color w:val="auto"/>
        </w:rPr>
      </w:pPr>
      <w:r>
        <w:rPr>
          <w:rFonts w:ascii="Arial" w:cs="Arial" w:eastAsia="Arial" w:hAnsi="Arial"/>
          <w:sz w:val="17"/>
          <w:szCs w:val="17"/>
          <w:color w:val="auto"/>
        </w:rPr>
        <w:t>On August 9, 2021, the Company filed its $800,000 "at the market" equity program with the Securities and Exchange Commission using a shelf registration statement on Form S-3, and entered into separate equity distribution agreements with ten sales agents. No shares have been sold under the current "at the market" equity program. From January 1, 2021, through August 8, 2021, the Company sold 585,685 shares of common stock under its prior "at the market" equity program resulting in net proceeds of $66,617.</w:t>
      </w:r>
    </w:p>
    <w:p>
      <w:pPr>
        <w:spacing w:after="0" w:line="202" w:lineRule="exact"/>
        <w:rPr>
          <w:sz w:val="20"/>
          <w:szCs w:val="20"/>
          <w:color w:val="auto"/>
        </w:rPr>
      </w:pPr>
    </w:p>
    <w:p>
      <w:pPr>
        <w:ind w:right="100" w:firstLine="433"/>
        <w:spacing w:after="0" w:line="326" w:lineRule="auto"/>
        <w:rPr>
          <w:sz w:val="20"/>
          <w:szCs w:val="20"/>
          <w:color w:val="auto"/>
        </w:rPr>
      </w:pPr>
      <w:r>
        <w:rPr>
          <w:rFonts w:ascii="Arial" w:cs="Arial" w:eastAsia="Arial" w:hAnsi="Arial"/>
          <w:sz w:val="15"/>
          <w:szCs w:val="15"/>
          <w:color w:val="auto"/>
        </w:rPr>
        <w:t>On October 15, 2020, the Company's board of directors authorized a new share repurchase program allowing for the repurchase of shares with an aggregate value up to $400,000. During 2022, a total of $63,008 was paid to repurchase 381,786 shares. During the nine months ended September 30, 2023, no shares were repurchased. As of September 30, 2023, the Company had remaining authorization to repurchase shares with an aggregate value up to $336,992.</w:t>
      </w:r>
    </w:p>
    <w:p>
      <w:pPr>
        <w:spacing w:after="0" w:line="235"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13.</w:t>
        <w:tab/>
        <w:t>NONCONTROLLING INTEREST REPRESENTED BY PREFERRED OPERATING PARTNERSHIP UNITS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Classification of Noncontrolling Interests</w:t>
      </w:r>
    </w:p>
    <w:p>
      <w:pPr>
        <w:spacing w:after="0" w:line="119" w:lineRule="exact"/>
        <w:rPr>
          <w:sz w:val="20"/>
          <w:szCs w:val="20"/>
          <w:color w:val="auto"/>
        </w:rPr>
      </w:pPr>
    </w:p>
    <w:p>
      <w:pPr>
        <w:ind w:right="100" w:firstLine="433"/>
        <w:spacing w:after="0" w:line="26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6" w:lineRule="exact"/>
        <w:rPr>
          <w:sz w:val="20"/>
          <w:szCs w:val="20"/>
          <w:color w:val="auto"/>
        </w:rPr>
      </w:pPr>
    </w:p>
    <w:p>
      <w:pPr>
        <w:ind w:right="280" w:firstLine="433"/>
        <w:spacing w:after="0" w:line="286" w:lineRule="auto"/>
        <w:rPr>
          <w:sz w:val="20"/>
          <w:szCs w:val="20"/>
          <w:color w:val="auto"/>
        </w:rPr>
      </w:pPr>
      <w:r>
        <w:rPr>
          <w:rFonts w:ascii="Arial" w:cs="Arial" w:eastAsia="Arial" w:hAnsi="Arial"/>
          <w:sz w:val="16"/>
          <w:szCs w:val="16"/>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189" w:lineRule="exact"/>
        <w:rPr>
          <w:sz w:val="20"/>
          <w:szCs w:val="20"/>
          <w:color w:val="auto"/>
        </w:rPr>
      </w:pPr>
    </w:p>
    <w:p>
      <w:pPr>
        <w:ind w:right="160" w:firstLine="433"/>
        <w:spacing w:after="0" w:line="286" w:lineRule="auto"/>
        <w:rPr>
          <w:sz w:val="20"/>
          <w:szCs w:val="20"/>
          <w:color w:val="auto"/>
        </w:rPr>
      </w:pPr>
      <w:r>
        <w:rPr>
          <w:rFonts w:ascii="Arial" w:cs="Arial" w:eastAsia="Arial" w:hAnsi="Arial"/>
          <w:sz w:val="16"/>
          <w:szCs w:val="16"/>
          <w:color w:val="auto"/>
        </w:rPr>
        <w:t>At September 30, 2023 and December 31, 2022,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December 31, 2022, noncontrolling interests in Preferred OP Units were presented net of notes receivable from Preferred OP Unit holders of $100,000 as more fully described below. The balances for each of the specific Preferred OP Units as presented in the Statement of Noncontrolling Interests and Equity as of the periods indicated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2023</w:t>
            </w:r>
          </w:p>
        </w:tc>
        <w:tc>
          <w:tcPr>
            <w:tcW w:w="320" w:type="dxa"/>
            <w:vAlign w:val="bottom"/>
          </w:tcPr>
          <w:p>
            <w:pPr>
              <w:spacing w:after="0"/>
              <w:rPr>
                <w:sz w:val="15"/>
                <w:szCs w:val="15"/>
                <w:color w:val="auto"/>
              </w:rPr>
            </w:pPr>
          </w:p>
        </w:tc>
        <w:tc>
          <w:tcPr>
            <w:tcW w:w="1860" w:type="dxa"/>
            <w:vAlign w:val="bottom"/>
          </w:tcPr>
          <w:p>
            <w:pPr>
              <w:jc w:val="right"/>
              <w:ind w:right="436"/>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Units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16,498</w:t>
            </w:r>
          </w:p>
        </w:tc>
      </w:tr>
      <w:tr>
        <w:trPr>
          <w:trHeight w:val="223"/>
        </w:trPr>
        <w:tc>
          <w:tcPr>
            <w:tcW w:w="6700" w:type="dxa"/>
            <w:vAlign w:val="bottom"/>
          </w:tcPr>
          <w:p>
            <w:pPr>
              <w:ind w:left="20"/>
              <w:spacing w:after="0"/>
              <w:rPr>
                <w:sz w:val="20"/>
                <w:szCs w:val="20"/>
                <w:color w:val="auto"/>
              </w:rPr>
            </w:pPr>
            <w:r>
              <w:rPr>
                <w:rFonts w:ascii="Arial" w:cs="Arial" w:eastAsia="Arial" w:hAnsi="Arial"/>
                <w:sz w:val="17"/>
                <w:szCs w:val="17"/>
                <w:color w:val="auto"/>
              </w:rPr>
              <w:t>Series B Units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33,567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33,568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 Units</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189,372</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211,436</w:t>
            </w:r>
          </w:p>
        </w:tc>
      </w:tr>
      <w:tr>
        <w:trPr>
          <w:trHeight w:val="216"/>
        </w:trPr>
        <w:tc>
          <w:tcPr>
            <w:tcW w:w="67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222,939</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261,502</w:t>
            </w: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A Participating Redeemable Preferred Units</w:t>
      </w:r>
    </w:p>
    <w:p>
      <w:pPr>
        <w:spacing w:after="0" w:line="250" w:lineRule="exact"/>
        <w:rPr>
          <w:sz w:val="20"/>
          <w:szCs w:val="20"/>
          <w:color w:val="auto"/>
        </w:rPr>
      </w:pPr>
    </w:p>
    <w:p>
      <w:pPr>
        <w:ind w:right="260" w:firstLine="433"/>
        <w:spacing w:after="0" w:line="289" w:lineRule="auto"/>
        <w:rPr>
          <w:sz w:val="20"/>
          <w:szCs w:val="20"/>
          <w:color w:val="auto"/>
        </w:rPr>
      </w:pPr>
      <w:r>
        <w:rPr>
          <w:rFonts w:ascii="Arial" w:cs="Arial" w:eastAsia="Arial" w:hAnsi="Arial"/>
          <w:sz w:val="17"/>
          <w:szCs w:val="17"/>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54" w:lineRule="exact"/>
        <w:rPr>
          <w:sz w:val="20"/>
          <w:szCs w:val="20"/>
          <w:color w:val="auto"/>
        </w:rPr>
      </w:pPr>
    </w:p>
    <w:p>
      <w:pPr>
        <w:ind w:right="140" w:firstLine="433"/>
        <w:spacing w:after="0" w:line="265" w:lineRule="auto"/>
        <w:rPr>
          <w:sz w:val="20"/>
          <w:szCs w:val="20"/>
          <w:color w:val="auto"/>
        </w:rPr>
      </w:pPr>
      <w:r>
        <w:rPr>
          <w:rFonts w:ascii="Arial" w:cs="Arial" w:eastAsia="Arial" w:hAnsi="Arial"/>
          <w:sz w:val="17"/>
          <w:szCs w:val="17"/>
          <w:color w:val="auto"/>
        </w:rPr>
        <w:t>The Series A Units were issued in June 2007. Series A Units in the amount of $101,700 bore a fixed priority return of 2.3% and originally had a fixed liquidation value of $115,000. The remaining balance participated in distributions with, and had a liquidation value equal to that of the OP Units. The Series A Units were redeemable at the option of the holder, which redemption obligation could have been satisfied, at the Company’s option, in cash or shares of its common stock. As a result of a redemption of 114,500 Series A Units in October 2014, the remaining fixed liquidation value was reduced to $101,700, which represented 875,480 Series A Units.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01" w:lineRule="exact"/>
        <w:rPr>
          <w:sz w:val="20"/>
          <w:szCs w:val="20"/>
          <w:color w:val="auto"/>
        </w:rPr>
      </w:pPr>
    </w:p>
    <w:p>
      <w:pPr>
        <w:jc w:val="both"/>
        <w:ind w:right="220" w:firstLine="433"/>
        <w:spacing w:after="0" w:line="273" w:lineRule="auto"/>
        <w:rPr>
          <w:sz w:val="20"/>
          <w:szCs w:val="20"/>
          <w:color w:val="auto"/>
        </w:rPr>
      </w:pPr>
      <w:r>
        <w:rPr>
          <w:rFonts w:ascii="Arial" w:cs="Arial" w:eastAsia="Arial" w:hAnsi="Arial"/>
          <w:sz w:val="17"/>
          <w:szCs w:val="17"/>
          <w:color w:val="auto"/>
        </w:rPr>
        <w:t>On June 25, 2007, the Operating Partnership loaned the holder of the Series A Units $100,000. The loan bore interest at 2.1%. The loan was secured by the borrower’s Series A Units, which are shown on the balance sheet net of the $100,000 loan as of December 31, 2022 because the borrower under the loan was also the holder of the Series A Units.</w:t>
      </w:r>
    </w:p>
    <w:p>
      <w:pPr>
        <w:spacing w:after="0" w:line="67"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On January 25, 2023, the redemption obligation for all outstanding Series A Units was satisfied, at the Company’s option, in $5,000 cash and 851,698 shares of its common stock, which was net of the noncash settlement of the $100,000 loan. As a result of this redemption, no Series A Units were outstanding as of September 30, 2023.</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B Redeemable Preferred Units</w:t>
      </w:r>
    </w:p>
    <w:p>
      <w:pPr>
        <w:spacing w:after="0" w:line="250" w:lineRule="exact"/>
        <w:rPr>
          <w:sz w:val="20"/>
          <w:szCs w:val="20"/>
          <w:color w:val="auto"/>
        </w:rPr>
      </w:pPr>
    </w:p>
    <w:p>
      <w:pPr>
        <w:jc w:val="both"/>
        <w:ind w:firstLine="433"/>
        <w:spacing w:after="0" w:line="360" w:lineRule="auto"/>
        <w:rPr>
          <w:sz w:val="20"/>
          <w:szCs w:val="20"/>
          <w:color w:val="auto"/>
        </w:rPr>
      </w:pPr>
      <w:r>
        <w:rPr>
          <w:rFonts w:ascii="Arial" w:cs="Arial" w:eastAsia="Arial" w:hAnsi="Arial"/>
          <w:sz w:val="15"/>
          <w:szCs w:val="15"/>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3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Series B Units were issued in 2013 and 2014. The Series B Units have a liquidation value of $25.00 per unit for a fixed liquidation value of $33,567 which represents 1,342,727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May 10, 2022, 45,000 Series B Units were redeemed for $1,125 in cash.</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C Redeemable Preferred Units</w:t>
      </w:r>
    </w:p>
    <w:p>
      <w:pPr>
        <w:spacing w:after="0" w:line="237" w:lineRule="exact"/>
        <w:rPr>
          <w:sz w:val="20"/>
          <w:szCs w:val="20"/>
          <w:color w:val="auto"/>
        </w:rPr>
      </w:pPr>
    </w:p>
    <w:p>
      <w:pPr>
        <w:ind w:right="280" w:firstLine="433"/>
        <w:spacing w:after="0" w:line="257" w:lineRule="auto"/>
        <w:rPr>
          <w:sz w:val="20"/>
          <w:szCs w:val="20"/>
          <w:color w:val="auto"/>
        </w:rPr>
      </w:pPr>
      <w:r>
        <w:rPr>
          <w:rFonts w:ascii="Arial" w:cs="Arial" w:eastAsia="Arial" w:hAnsi="Arial"/>
          <w:sz w:val="17"/>
          <w:szCs w:val="17"/>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2023 and December 31, 2022, there were no outstanding Series C Units.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D Redeemable Preferred Units</w:t>
      </w:r>
    </w:p>
    <w:p>
      <w:pPr>
        <w:spacing w:after="0" w:line="250" w:lineRule="exact"/>
        <w:rPr>
          <w:sz w:val="20"/>
          <w:szCs w:val="20"/>
          <w:color w:val="auto"/>
        </w:rPr>
      </w:pPr>
    </w:p>
    <w:p>
      <w:pPr>
        <w:jc w:val="both"/>
        <w:ind w:right="420" w:firstLine="433"/>
        <w:spacing w:after="0" w:line="273" w:lineRule="auto"/>
        <w:rPr>
          <w:sz w:val="20"/>
          <w:szCs w:val="20"/>
          <w:color w:val="auto"/>
        </w:rPr>
      </w:pPr>
      <w:r>
        <w:rPr>
          <w:rFonts w:ascii="Arial" w:cs="Arial" w:eastAsia="Arial" w:hAnsi="Arial"/>
          <w:sz w:val="17"/>
          <w:szCs w:val="17"/>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67"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The Series D Units have a liquidation value of $25.00 per unit, for a fixed liquidation value of $189,372, which represents 7,566,828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January 3, 2023, 890,594 Series D Units were redeemed for 154,307 shares of common stock.</w:t>
      </w:r>
    </w:p>
    <w:p>
      <w:pPr>
        <w:spacing w:after="0" w:line="119"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The Series D Units have been issued at various times from 2014 to 2022. On June 1, 2022, the Operating Partnership issued a total of 240,000 Series D Units valued at $6,000 in connection with the acquisition of Bargold.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14.</w:t>
        <w:tab/>
        <w:t>NONCONTROLLING INTEREST IN OPERATING PARTNERSHIP AND OTHER NONCONTROLLING INTERESTS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Noncontrolling Interest in Operating Partnership</w:t>
      </w:r>
    </w:p>
    <w:p>
      <w:pPr>
        <w:spacing w:after="0" w:line="250" w:lineRule="exact"/>
        <w:rPr>
          <w:sz w:val="20"/>
          <w:szCs w:val="20"/>
          <w:color w:val="auto"/>
        </w:rPr>
      </w:pPr>
    </w:p>
    <w:p>
      <w:pPr>
        <w:ind w:right="340" w:firstLine="433"/>
        <w:spacing w:after="0" w:line="264" w:lineRule="auto"/>
        <w:rPr>
          <w:sz w:val="20"/>
          <w:szCs w:val="20"/>
          <w:color w:val="auto"/>
        </w:rPr>
      </w:pPr>
      <w:r>
        <w:rPr>
          <w:rFonts w:ascii="Arial" w:cs="Arial" w:eastAsia="Arial" w:hAnsi="Arial"/>
          <w:sz w:val="17"/>
          <w:szCs w:val="17"/>
          <w:color w:val="auto"/>
        </w:rPr>
        <w:t>The Company’s interest in its stores is held through the Operating Partnership. Between its general partner and limited partner interests, the Company held a 95.2% ownership interest in the Operating Partnership as of September 30, 2023. The remaining ownership interests in the Operating Partnership (including Preferred OP Units) of 4.8% are held by certain former owners of assets acquired by the Operating Partnership. As of September 30, 2023 and December 31, 2022, the noncontrolling interests in the Operating Partnership are shown on the balance sheet net of a note receivable of $1,900 because a borrower under the note receivable is also a holder of OP Units. This note receivable originated in December 2014, bears interest at 5.0% per annum and matures on December 15, 2024.</w:t>
      </w:r>
    </w:p>
    <w:p>
      <w:pPr>
        <w:spacing w:after="0" w:line="205"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September 30, 2023, the ten-day average closing price of the Company's common stock was $123.46 and there were 8,887,278 OP Units outstanding. Assuming that all of the OP Unit holders exercised their right to redeem all of their OP Units on September 30, 2023 and the Company elected to pay the OP Unit holders cash, the Company would have paid $1,097,223 in cash consideration to redeem the units.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 Unit activity is summarized as follows for the periods presented: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8"/>
                <w:szCs w:val="18"/>
                <w:color w:val="auto"/>
              </w:rPr>
            </w:pPr>
          </w:p>
        </w:tc>
        <w:tc>
          <w:tcPr>
            <w:tcW w:w="38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01"/>
        </w:trPr>
        <w:tc>
          <w:tcPr>
            <w:tcW w:w="74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6"/>
                <w:szCs w:val="16"/>
                <w:b w:val="1"/>
                <w:bCs w:val="1"/>
                <w:color w:val="auto"/>
              </w:rPr>
              <w:t>2022</w:t>
            </w:r>
          </w:p>
        </w:tc>
      </w:tr>
      <w:tr>
        <w:trPr>
          <w:trHeight w:val="221"/>
        </w:trPr>
        <w:tc>
          <w:tcPr>
            <w:tcW w:w="7420" w:type="dxa"/>
            <w:vAlign w:val="bottom"/>
          </w:tcPr>
          <w:p>
            <w:pPr>
              <w:ind w:left="20"/>
              <w:spacing w:after="0"/>
              <w:rPr>
                <w:sz w:val="20"/>
                <w:szCs w:val="20"/>
                <w:color w:val="auto"/>
              </w:rPr>
            </w:pPr>
            <w:r>
              <w:rPr>
                <w:rFonts w:ascii="Arial" w:cs="Arial" w:eastAsia="Arial" w:hAnsi="Arial"/>
                <w:sz w:val="17"/>
                <w:szCs w:val="17"/>
                <w:color w:val="auto"/>
              </w:rPr>
              <w:t>OP Units redeemed for cash</w:t>
            </w:r>
          </w:p>
        </w:tc>
        <w:tc>
          <w:tcPr>
            <w:tcW w:w="108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18,028</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OP Units redeemed</w:t>
            </w: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3,504</w:t>
            </w:r>
          </w:p>
        </w:tc>
      </w:tr>
      <w:tr>
        <w:trPr>
          <w:trHeight w:val="223"/>
        </w:trPr>
        <w:tc>
          <w:tcPr>
            <w:tcW w:w="7420" w:type="dxa"/>
            <w:vAlign w:val="bottom"/>
          </w:tcPr>
          <w:p>
            <w:pPr>
              <w:ind w:left="20"/>
              <w:spacing w:after="0"/>
              <w:rPr>
                <w:sz w:val="20"/>
                <w:szCs w:val="20"/>
                <w:color w:val="auto"/>
              </w:rPr>
            </w:pPr>
            <w:r>
              <w:rPr>
                <w:rFonts w:ascii="Arial" w:cs="Arial" w:eastAsia="Arial" w:hAnsi="Arial"/>
                <w:sz w:val="17"/>
                <w:szCs w:val="17"/>
                <w:color w:val="auto"/>
              </w:rPr>
              <w:t>OP Units issued in conjunction with business combination and acquisitions</w:t>
            </w:r>
          </w:p>
        </w:tc>
        <w:tc>
          <w:tcPr>
            <w:tcW w:w="108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7"/>
                <w:szCs w:val="17"/>
                <w:color w:val="auto"/>
                <w:w w:val="89"/>
              </w:rPr>
              <w:t>1,674,748</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711,037</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Value of OP Units issued in conjunction with business combination and acquisitions</w:t>
            </w: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249,470</w:t>
            </w:r>
          </w:p>
        </w:tc>
        <w:tc>
          <w:tcPr>
            <w:tcW w:w="5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141,000</w:t>
            </w:r>
          </w:p>
        </w:tc>
      </w:tr>
    </w:tbl>
    <w:p>
      <w:pPr>
        <w:spacing w:after="0" w:line="315" w:lineRule="exact"/>
        <w:rPr>
          <w:sz w:val="20"/>
          <w:szCs w:val="20"/>
          <w:color w:val="auto"/>
        </w:rPr>
      </w:pPr>
    </w:p>
    <w:p>
      <w:pPr>
        <w:ind w:right="100" w:firstLine="433"/>
        <w:spacing w:after="0" w:line="322" w:lineRule="auto"/>
        <w:rPr>
          <w:sz w:val="20"/>
          <w:szCs w:val="20"/>
          <w:color w:val="auto"/>
        </w:rPr>
      </w:pPr>
      <w:r>
        <w:rPr>
          <w:rFonts w:ascii="Arial" w:cs="Arial" w:eastAsia="Arial" w:hAnsi="Arial"/>
          <w:sz w:val="16"/>
          <w:szCs w:val="16"/>
          <w:color w:val="auto"/>
        </w:rPr>
        <w:t>On July 20, 2023, the Company issued 1,674,748 shares of its common stock for a total value of $249,470. This was based on an exchange ratio of 0.895 per share conversion of Life Storage OP Units at the Company's closing share price on July 19, 2023 of $148.96 as part of the Life Storage Merger.</w:t>
      </w:r>
    </w:p>
    <w:p>
      <w:pPr>
        <w:spacing w:after="0" w:line="162" w:lineRule="exact"/>
        <w:rPr>
          <w:sz w:val="20"/>
          <w:szCs w:val="20"/>
          <w:color w:val="auto"/>
        </w:rPr>
      </w:pPr>
    </w:p>
    <w:p>
      <w:pPr>
        <w:ind w:right="100" w:firstLine="433"/>
        <w:spacing w:after="0" w:line="26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6"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Noncontrolling Interests</w:t>
      </w:r>
    </w:p>
    <w:p>
      <w:pPr>
        <w:spacing w:after="0" w:line="250" w:lineRule="exact"/>
        <w:rPr>
          <w:sz w:val="20"/>
          <w:szCs w:val="20"/>
          <w:color w:val="auto"/>
        </w:rPr>
      </w:pPr>
    </w:p>
    <w:p>
      <w:pPr>
        <w:ind w:right="40" w:firstLine="433"/>
        <w:spacing w:after="0" w:line="273" w:lineRule="auto"/>
        <w:rPr>
          <w:sz w:val="20"/>
          <w:szCs w:val="20"/>
          <w:color w:val="auto"/>
        </w:rPr>
      </w:pPr>
      <w:r>
        <w:rPr>
          <w:rFonts w:ascii="Arial" w:cs="Arial" w:eastAsia="Arial" w:hAnsi="Arial"/>
          <w:sz w:val="17"/>
          <w:szCs w:val="17"/>
          <w:color w:val="auto"/>
        </w:rPr>
        <w:t>Other noncontrolling interests represent the ownership interests of third parties in nine consolidated joint ventures as of September 30, 2023. Two joint ventures each own one operating store and the other seven joint ventures each have a property under development. The voting interest of each third-party owner is between 2.0% and 31.0%.</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Based on the facts and circumstances of each of the Company’s joint ventures, the Company has determined that one of the joint ventures at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was a variable interest entity (“VIE”) in accordance with ASC 810, “Consolidation.” The Company has consolidated that joint venture as it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was determined that the Company has the power to direct the activities of the joint venture and is the primary beneficiary of the joint venture.</w:t>
      </w:r>
    </w:p>
    <w:p>
      <w:pPr>
        <w:spacing w:after="0" w:line="311"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15.</w:t>
        <w:tab/>
        <w:t>SEGMENT INFORMATION</w:t>
      </w:r>
    </w:p>
    <w:p>
      <w:pPr>
        <w:spacing w:after="0" w:line="256" w:lineRule="exact"/>
        <w:rPr>
          <w:sz w:val="20"/>
          <w:szCs w:val="20"/>
          <w:color w:val="auto"/>
        </w:rPr>
      </w:pPr>
    </w:p>
    <w:p>
      <w:pPr>
        <w:ind w:right="100" w:firstLine="433"/>
        <w:spacing w:after="0" w:line="309" w:lineRule="auto"/>
        <w:rPr>
          <w:sz w:val="20"/>
          <w:szCs w:val="20"/>
          <w:color w:val="auto"/>
        </w:rPr>
      </w:pPr>
      <w:r>
        <w:rPr>
          <w:rFonts w:ascii="Arial" w:cs="Arial" w:eastAsia="Arial" w:hAnsi="Arial"/>
          <w:sz w:val="15"/>
          <w:szCs w:val="15"/>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The Company’s segments are comprised of two reportable segments: (1) self-storage operations and (2) tenant reinsurance. NOI for the Company's self-storage operations represents total property revenue less direct property operating expenses. NOI for the Company's tenant reinsurance segment represents tenant reinsurance revenues less tenant reinsurance expense.</w:t>
      </w:r>
    </w:p>
    <w:p>
      <w:pPr>
        <w:spacing w:after="0" w:line="175" w:lineRule="exact"/>
        <w:rPr>
          <w:sz w:val="20"/>
          <w:szCs w:val="20"/>
          <w:color w:val="auto"/>
        </w:rPr>
      </w:pPr>
    </w:p>
    <w:p>
      <w:pPr>
        <w:ind w:right="220" w:firstLine="433"/>
        <w:spacing w:after="0" w:line="268" w:lineRule="auto"/>
        <w:rPr>
          <w:sz w:val="20"/>
          <w:szCs w:val="20"/>
          <w:color w:val="auto"/>
        </w:rPr>
      </w:pPr>
      <w:r>
        <w:rPr>
          <w:rFonts w:ascii="Arial" w:cs="Arial" w:eastAsia="Arial" w:hAnsi="Arial"/>
          <w:sz w:val="17"/>
          <w:szCs w:val="17"/>
          <w:color w:val="auto"/>
        </w:rPr>
        <w:t>The self-storage operations activities include rental operations of wholly-owned stores and self-storage units acquired in the Bargold transaction.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202" w:lineRule="exact"/>
        <w:rPr>
          <w:sz w:val="20"/>
          <w:szCs w:val="20"/>
          <w:color w:val="auto"/>
        </w:rPr>
      </w:pPr>
    </w:p>
    <w:p>
      <w:pPr>
        <w:ind w:right="660" w:firstLine="433"/>
        <w:spacing w:after="0" w:line="298" w:lineRule="auto"/>
        <w:rPr>
          <w:sz w:val="20"/>
          <w:szCs w:val="20"/>
          <w:color w:val="auto"/>
        </w:rPr>
      </w:pPr>
      <w:r>
        <w:rPr>
          <w:rFonts w:ascii="Arial" w:cs="Arial" w:eastAsia="Arial" w:hAnsi="Arial"/>
          <w:sz w:val="16"/>
          <w:szCs w:val="16"/>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00"/>
          </w:cols>
          <w:pgMar w:left="320" w:top="357" w:right="379" w:bottom="397" w:gutter="0" w:footer="0" w:header="0"/>
        </w:sectPr>
      </w:pPr>
    </w:p>
    <w:p>
      <w:pPr>
        <w:jc w:val="center"/>
        <w:ind w:left="4400"/>
        <w:spacing w:after="0"/>
        <w:rPr>
          <w:sz w:val="20"/>
          <w:szCs w:val="20"/>
          <w:color w:val="auto"/>
        </w:rPr>
      </w:pPr>
      <w:r>
        <w:rPr>
          <w:rFonts w:ascii="Arial" w:cs="Arial" w:eastAsia="Arial" w:hAnsi="Arial"/>
          <w:sz w:val="13"/>
          <w:szCs w:val="13"/>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38735</wp:posOffset>
            </wp:positionV>
            <wp:extent cx="2139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39950" cy="8255"/>
                    </a:xfrm>
                    <a:prstGeom prst="rect">
                      <a:avLst/>
                    </a:prstGeom>
                    <a:noFill/>
                  </pic:spPr>
                </pic:pic>
              </a:graphicData>
            </a:graphic>
          </wp:anchor>
        </w:drawing>
      </w:r>
    </w:p>
    <w:p>
      <w:pPr>
        <w:spacing w:after="0" w:line="53" w:lineRule="exact"/>
        <w:rPr>
          <w:sz w:val="20"/>
          <w:szCs w:val="20"/>
          <w:color w:val="auto"/>
        </w:rPr>
      </w:pPr>
    </w:p>
    <w:p>
      <w:pPr>
        <w:ind w:left="4880"/>
        <w:spacing w:after="0"/>
        <w:tabs>
          <w:tab w:leader="none" w:pos="654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3"/>
          <w:szCs w:val="13"/>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38735</wp:posOffset>
            </wp:positionV>
            <wp:extent cx="2148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spacing w:after="0" w:line="53" w:lineRule="exact"/>
        <w:rPr>
          <w:sz w:val="20"/>
          <w:szCs w:val="20"/>
          <w:color w:val="auto"/>
        </w:rPr>
      </w:pPr>
    </w:p>
    <w:p>
      <w:pPr>
        <w:ind w:left="440"/>
        <w:spacing w:after="0"/>
        <w:tabs>
          <w:tab w:leader="none" w:pos="210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p>
    <w:p>
      <w:pPr>
        <w:sectPr>
          <w:pgSz w:w="11900" w:h="16838" w:orient="portrait"/>
          <w:cols w:equalWidth="0" w:num="2">
            <w:col w:w="7360" w:space="700"/>
            <w:col w:w="3140"/>
          </w:cols>
          <w:pgMar w:left="320" w:top="357" w:right="379" w:bottom="397"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4120" w:type="dxa"/>
            <w:vAlign w:val="bottom"/>
          </w:tcPr>
          <w:p>
            <w:pPr>
              <w:ind w:left="20"/>
              <w:spacing w:after="0"/>
              <w:rPr>
                <w:sz w:val="20"/>
                <w:szCs w:val="20"/>
                <w:color w:val="auto"/>
              </w:rPr>
            </w:pPr>
            <w:r>
              <w:rPr>
                <w:rFonts w:ascii="Arial" w:cs="Arial" w:eastAsia="Arial" w:hAnsi="Arial"/>
                <w:sz w:val="16"/>
                <w:szCs w:val="16"/>
                <w:color w:val="auto"/>
              </w:rPr>
              <w:t>Revenues:</w:t>
            </w:r>
          </w:p>
        </w:tc>
        <w:tc>
          <w:tcPr>
            <w:tcW w:w="5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Self-Storage Operations</w:t>
            </w: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650,887</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428,787</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1,525,596</w:t>
            </w: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1,216,639</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Tenant Reinsurance</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69,128</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47,869</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165,265</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138,093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revenues</w:t>
            </w: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720,015</w:t>
            </w: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476,656</w:t>
            </w:r>
          </w:p>
        </w:tc>
        <w:tc>
          <w:tcPr>
            <w:tcW w:w="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1,690,861</w:t>
            </w: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1,354,732</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120"/>
              <w:spacing w:after="0"/>
              <w:rPr>
                <w:sz w:val="20"/>
                <w:szCs w:val="20"/>
                <w:color w:val="auto"/>
              </w:rPr>
            </w:pPr>
            <w:r>
              <w:rPr>
                <w:rFonts w:ascii="Arial" w:cs="Arial" w:eastAsia="Arial" w:hAnsi="Arial"/>
                <w:sz w:val="16"/>
                <w:szCs w:val="16"/>
                <w:color w:val="auto"/>
              </w:rPr>
              <w:t>Self-Storage Operations</w:t>
            </w: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185,194</w:t>
            </w:r>
          </w:p>
        </w:tc>
        <w:tc>
          <w:tcPr>
            <w:tcW w:w="58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114,577</w:t>
            </w:r>
          </w:p>
        </w:tc>
        <w:tc>
          <w:tcPr>
            <w:tcW w:w="240" w:type="dxa"/>
            <w:vAlign w:val="bottom"/>
          </w:tcPr>
          <w:p>
            <w:pPr>
              <w:spacing w:after="0"/>
              <w:rPr>
                <w:sz w:val="19"/>
                <w:szCs w:val="19"/>
                <w:color w:val="auto"/>
              </w:rPr>
            </w:pP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416,997</w:t>
            </w: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322,371</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Tenant Reinsurance</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19,130</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10,770</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37,701</w:t>
            </w: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25,349</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segment operating expenses</w:t>
            </w:r>
          </w:p>
        </w:tc>
        <w:tc>
          <w:tcPr>
            <w:tcW w:w="5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204,324</w:t>
            </w:r>
          </w:p>
        </w:tc>
        <w:tc>
          <w:tcPr>
            <w:tcW w:w="5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125,347</w:t>
            </w: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454,698</w:t>
            </w: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347,720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Self-Storage Operations</w:t>
            </w: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465,693</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314,210</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1,108,599</w:t>
            </w: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894,268</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Tenant Reinsurance</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49,998</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37,099</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127,564</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112,744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net operating income:</w:t>
            </w: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515,691</w:t>
            </w: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351,309</w:t>
            </w:r>
          </w:p>
        </w:tc>
        <w:tc>
          <w:tcPr>
            <w:tcW w:w="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1,236,163</w:t>
            </w: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1,007,012</w:t>
            </w: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components of net income:</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Arial" w:cs="Arial" w:eastAsia="Arial" w:hAnsi="Arial"/>
                <w:sz w:val="16"/>
                <w:szCs w:val="16"/>
                <w:color w:val="auto"/>
              </w:rPr>
              <w:t>Management fees and other income</w:t>
            </w: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28,019</w:t>
            </w:r>
          </w:p>
        </w:tc>
        <w:tc>
          <w:tcPr>
            <w:tcW w:w="58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22,246</w:t>
            </w:r>
          </w:p>
        </w:tc>
        <w:tc>
          <w:tcPr>
            <w:tcW w:w="240" w:type="dxa"/>
            <w:vAlign w:val="bottom"/>
          </w:tcPr>
          <w:p>
            <w:pPr>
              <w:spacing w:after="0"/>
              <w:rPr>
                <w:sz w:val="19"/>
                <w:szCs w:val="19"/>
                <w:color w:val="auto"/>
              </w:rPr>
            </w:pP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71,609</w:t>
            </w: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62,720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Transaction costs</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Arial" w:cs="Arial" w:eastAsia="Arial" w:hAnsi="Arial"/>
                <w:sz w:val="16"/>
                <w:szCs w:val="16"/>
                <w:color w:val="auto"/>
              </w:rPr>
              <w:t>Life Storage Merger transition costs</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(54,174)</w:t>
            </w:r>
          </w:p>
        </w:tc>
        <w:tc>
          <w:tcPr>
            <w:tcW w:w="5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(54,174)</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(37,406)</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(32,275)</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(107,011)</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(93,288)</w:t>
            </w: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(152,338)</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(71,423)</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(309,914)</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(208,396)</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real estate transactions</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14,249</w:t>
            </w: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(122,899)</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(56,245)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(289,370)</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(146,249)</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22,092</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18,125</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62,607</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52,174</w:t>
            </w:r>
          </w:p>
        </w:tc>
        <w:tc>
          <w:tcPr>
            <w:tcW w:w="0" w:type="dxa"/>
            <w:vAlign w:val="bottom"/>
          </w:tcPr>
          <w:p>
            <w:pPr>
              <w:spacing w:after="0"/>
              <w:rPr>
                <w:sz w:val="1"/>
                <w:szCs w:val="1"/>
                <w:color w:val="auto"/>
              </w:rPr>
            </w:pPr>
          </w:p>
        </w:tc>
      </w:tr>
      <w:tr>
        <w:trPr>
          <w:trHeight w:val="161"/>
        </w:trPr>
        <w:tc>
          <w:tcPr>
            <w:tcW w:w="4120" w:type="dxa"/>
            <w:vAlign w:val="bottom"/>
          </w:tcPr>
          <w:p>
            <w:pPr>
              <w:ind w:left="220"/>
              <w:spacing w:after="0" w:line="161" w:lineRule="exact"/>
              <w:rPr>
                <w:sz w:val="20"/>
                <w:szCs w:val="20"/>
                <w:color w:val="auto"/>
              </w:rPr>
            </w:pPr>
            <w:r>
              <w:rPr>
                <w:rFonts w:ascii="Arial" w:cs="Arial" w:eastAsia="Arial" w:hAnsi="Arial"/>
                <w:sz w:val="16"/>
                <w:szCs w:val="16"/>
                <w:color w:val="auto"/>
                <w:w w:val="90"/>
              </w:rPr>
              <w:t>Equity in earnings and dividend income from unconsolidated</w:t>
            </w:r>
          </w:p>
        </w:tc>
        <w:tc>
          <w:tcPr>
            <w:tcW w:w="5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15,043</w:t>
            </w:r>
          </w:p>
        </w:tc>
        <w:tc>
          <w:tcPr>
            <w:tcW w:w="5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11,149</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38,602</w:t>
            </w:r>
          </w:p>
        </w:tc>
        <w:tc>
          <w:tcPr>
            <w:tcW w:w="5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30,436</w:t>
            </w:r>
          </w:p>
        </w:tc>
        <w:tc>
          <w:tcPr>
            <w:tcW w:w="0" w:type="dxa"/>
            <w:vAlign w:val="bottom"/>
          </w:tcPr>
          <w:p>
            <w:pPr>
              <w:spacing w:after="0"/>
              <w:rPr>
                <w:sz w:val="1"/>
                <w:szCs w:val="1"/>
                <w:color w:val="auto"/>
              </w:rPr>
            </w:pPr>
          </w:p>
        </w:tc>
      </w:tr>
      <w:tr>
        <w:trPr>
          <w:trHeight w:val="206"/>
        </w:trPr>
        <w:tc>
          <w:tcPr>
            <w:tcW w:w="4120" w:type="dxa"/>
            <w:vAlign w:val="bottom"/>
          </w:tcPr>
          <w:p>
            <w:pPr>
              <w:ind w:left="220"/>
              <w:spacing w:after="0"/>
              <w:rPr>
                <w:sz w:val="20"/>
                <w:szCs w:val="20"/>
                <w:color w:val="auto"/>
              </w:rPr>
            </w:pPr>
            <w:r>
              <w:rPr>
                <w:rFonts w:ascii="Arial" w:cs="Arial" w:eastAsia="Arial" w:hAnsi="Arial"/>
                <w:sz w:val="16"/>
                <w:szCs w:val="16"/>
                <w:color w:val="auto"/>
              </w:rPr>
              <w:t>real estate entities</w:t>
            </w:r>
          </w:p>
        </w:tc>
        <w:tc>
          <w:tcPr>
            <w:tcW w:w="5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expense</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(6,944)</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(6,760)</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(17,238)</w:t>
            </w: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(15,516)</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5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198,856</w:t>
            </w:r>
          </w:p>
        </w:tc>
        <w:tc>
          <w:tcPr>
            <w:tcW w:w="5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236,126</w:t>
            </w:r>
          </w:p>
        </w:tc>
        <w:tc>
          <w:tcPr>
            <w:tcW w:w="240" w:type="dxa"/>
            <w:vAlign w:val="bottom"/>
          </w:tcPr>
          <w:p>
            <w:pPr>
              <w:spacing w:after="0"/>
              <w:rPr>
                <w:sz w:val="18"/>
                <w:szCs w:val="18"/>
                <w:color w:val="auto"/>
              </w:rPr>
            </w:pP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623,046</w:t>
            </w: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701,677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16.</w:t>
        <w:tab/>
        <w:t>COMMITMENTS AND CONTINGENCIES</w:t>
      </w:r>
    </w:p>
    <w:p>
      <w:pPr>
        <w:spacing w:after="0" w:line="256" w:lineRule="exact"/>
        <w:rPr>
          <w:sz w:val="20"/>
          <w:szCs w:val="20"/>
          <w:color w:val="auto"/>
        </w:rPr>
      </w:pPr>
    </w:p>
    <w:p>
      <w:pPr>
        <w:ind w:right="20" w:firstLine="433"/>
        <w:spacing w:after="0" w:line="281" w:lineRule="auto"/>
        <w:rPr>
          <w:sz w:val="20"/>
          <w:szCs w:val="20"/>
          <w:color w:val="auto"/>
        </w:rPr>
      </w:pPr>
      <w:r>
        <w:rPr>
          <w:rFonts w:ascii="Arial" w:cs="Arial" w:eastAsia="Arial" w:hAnsi="Arial"/>
          <w:sz w:val="16"/>
          <w:szCs w:val="16"/>
          <w:color w:val="auto"/>
        </w:rPr>
        <w:t>As of September 30, 2023,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ectPr>
          <w:pgSz w:w="11900" w:h="16838" w:orient="portrait"/>
          <w:cols w:equalWidth="0" w:num="1">
            <w:col w:w="11200"/>
          </w:cols>
          <w:pgMar w:left="320" w:top="357" w:right="379" w:bottom="39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7" w:right="379" w:bottom="397"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color w:val="auto"/>
        </w:rPr>
        <w:t>As of September 30, 2023, the Company was under agreement to acquire 15 stores at a total purchase price of $199,770. Nine stores are scheduled to close in 2023 and six stores are scheduled to close in 2024. Additionally, the Company is under agreement to acquire two stores with joint venture partners, for a total investment of $2,864. One store is scheduled to close in 2023 and one store is scheduled to close in 2024.</w:t>
      </w:r>
    </w:p>
    <w:p>
      <w:pPr>
        <w:spacing w:after="0" w:line="19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7" w:right="399" w:bottom="1440" w:gutter="0" w:footer="0" w:header="0"/>
        </w:sectPr>
      </w:pPr>
    </w:p>
    <w:bookmarkStart w:id="32" w:name="page33"/>
    <w:bookmarkEnd w:id="32"/>
    <w:p>
      <w:pPr>
        <w:spacing w:after="0"/>
        <w:tabs>
          <w:tab w:leader="none" w:pos="80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LANGUAGE</w:t>
      </w:r>
    </w:p>
    <w:p>
      <w:pPr>
        <w:spacing w:after="0" w:line="256" w:lineRule="exact"/>
        <w:rPr>
          <w:sz w:val="20"/>
          <w:szCs w:val="20"/>
          <w:color w:val="auto"/>
        </w:rPr>
      </w:pPr>
    </w:p>
    <w:p>
      <w:pPr>
        <w:ind w:right="60" w:firstLine="433"/>
        <w:spacing w:after="0" w:line="278" w:lineRule="auto"/>
        <w:rPr>
          <w:sz w:val="20"/>
          <w:szCs w:val="20"/>
          <w:color w:val="auto"/>
        </w:rPr>
      </w:pPr>
      <w:r>
        <w:rPr>
          <w:rFonts w:ascii="Arial" w:cs="Arial" w:eastAsia="Arial" w:hAnsi="Arial"/>
          <w:sz w:val="16"/>
          <w:szCs w:val="16"/>
          <w:color w:val="auto"/>
        </w:rPr>
        <w:t xml:space="preserve">The following discussion and analysis should be read in conjunction with our unaudited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Notes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Condensed Consolidated Financial Statements (unaudited)” </w:t>
      </w:r>
      <w:r>
        <w:rPr>
          <w:rFonts w:ascii="Arial" w:cs="Arial" w:eastAsia="Arial" w:hAnsi="Arial"/>
          <w:sz w:val="16"/>
          <w:szCs w:val="16"/>
          <w:color w:val="auto"/>
        </w:rPr>
        <w:t>appearing elsewhere in this report and the</w:t>
      </w:r>
      <w:r>
        <w:rPr>
          <w:rFonts w:ascii="Arial" w:cs="Arial" w:eastAsia="Arial" w:hAnsi="Arial"/>
          <w:sz w:val="16"/>
          <w:szCs w:val="16"/>
          <w:i w:val="1"/>
          <w:iCs w:val="1"/>
          <w:color w:val="auto"/>
        </w:rPr>
        <w:t xml:space="preserve"> “Consolidated Financial Statements,” “Notes to Consolidated Financial Statements”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“Management’s Discussion and Analysis of Financial Condition and Results of Operations” </w:t>
      </w:r>
      <w:r>
        <w:rPr>
          <w:rFonts w:ascii="Arial" w:cs="Arial" w:eastAsia="Arial" w:hAnsi="Arial"/>
          <w:sz w:val="16"/>
          <w:szCs w:val="16"/>
          <w:color w:val="auto"/>
        </w:rPr>
        <w:t>contained in our</w:t>
      </w:r>
    </w:p>
    <w:p>
      <w:pPr>
        <w:spacing w:after="0" w:line="2"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Form 10-K for the year ended December 31, 2022.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7"/>
          <w:szCs w:val="17"/>
          <w:i w:val="1"/>
          <w:iCs w:val="1"/>
          <w:color w:val="auto"/>
        </w:rPr>
        <w:t>Statement on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56" w:lineRule="exact"/>
        <w:rPr>
          <w:sz w:val="20"/>
          <w:szCs w:val="20"/>
          <w:color w:val="auto"/>
        </w:rPr>
      </w:pPr>
    </w:p>
    <w:p>
      <w:pPr>
        <w:ind w:firstLine="433"/>
        <w:spacing w:after="0" w:line="28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2022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97"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85" w:lineRule="exact"/>
        <w:rPr>
          <w:sz w:val="20"/>
          <w:szCs w:val="20"/>
          <w:color w:val="auto"/>
        </w:rPr>
      </w:pPr>
    </w:p>
    <w:p>
      <w:pPr>
        <w:ind w:right="120" w:firstLine="433"/>
        <w:spacing w:after="0" w:line="265" w:lineRule="auto"/>
        <w:rPr>
          <w:sz w:val="20"/>
          <w:szCs w:val="20"/>
          <w:color w:val="auto"/>
        </w:rPr>
      </w:pPr>
      <w:r>
        <w:rPr>
          <w:rFonts w:ascii="Arial" w:cs="Arial" w:eastAsia="Arial" w:hAnsi="Arial"/>
          <w:sz w:val="17"/>
          <w:szCs w:val="17"/>
          <w:color w:val="auto"/>
        </w:rPr>
        <w:t>Our stores are generally situated in highly visible locations clustered around large population centers. These areas typically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80" w:lineRule="exact"/>
        <w:rPr>
          <w:sz w:val="20"/>
          <w:szCs w:val="20"/>
          <w:color w:val="auto"/>
        </w:rPr>
      </w:pPr>
    </w:p>
    <w:p>
      <w:pPr>
        <w:ind w:right="240" w:firstLine="433"/>
        <w:spacing w:after="0" w:line="273" w:lineRule="auto"/>
        <w:rPr>
          <w:sz w:val="20"/>
          <w:szCs w:val="20"/>
          <w:color w:val="auto"/>
        </w:rPr>
      </w:pPr>
      <w:r>
        <w:rPr>
          <w:rFonts w:ascii="Arial" w:cs="Arial" w:eastAsia="Arial" w:hAnsi="Arial"/>
          <w:sz w:val="17"/>
          <w:szCs w:val="17"/>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33" w:name="page34"/>
    <w:bookmarkEnd w:id="33"/>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176" w:lineRule="exact"/>
        <w:rPr>
          <w:sz w:val="20"/>
          <w:szCs w:val="20"/>
          <w:color w:val="auto"/>
        </w:rPr>
      </w:pPr>
    </w:p>
    <w:p>
      <w:pPr>
        <w:ind w:right="240" w:firstLine="433"/>
        <w:spacing w:after="0" w:line="290" w:lineRule="auto"/>
        <w:rPr>
          <w:sz w:val="20"/>
          <w:szCs w:val="20"/>
          <w:color w:val="auto"/>
        </w:rPr>
      </w:pPr>
      <w:r>
        <w:rPr>
          <w:rFonts w:ascii="Arial" w:cs="Arial" w:eastAsia="Arial" w:hAnsi="Arial"/>
          <w:sz w:val="16"/>
          <w:szCs w:val="16"/>
          <w:color w:val="auto"/>
        </w:rPr>
        <w:t>On July 20, 2023, we merged with Life Storage, Inc. (“Life Storage” and such merger, the "Life Storage Merger"). Under the terms of the Life Storage Merger, Life Storage stockholders and holders of units of the Life Storage operating partnership received 0.895 of an Extra Space common share (or Extra Space OP Unit, as applicable) for each Life Storage share (or Life Storage partnership unit) they owned for total consideration of $11.6 billion. Immediately following the Life Storage Merger, we owned and/or managed over 3,500 locations and over 264.0 million net rentable square feet.</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56" w:lineRule="exact"/>
        <w:rPr>
          <w:sz w:val="20"/>
          <w:szCs w:val="20"/>
          <w:color w:val="auto"/>
        </w:rPr>
      </w:pPr>
    </w:p>
    <w:p>
      <w:pPr>
        <w:ind w:right="120" w:firstLine="433"/>
        <w:spacing w:after="0" w:line="309" w:lineRule="auto"/>
        <w:rPr>
          <w:sz w:val="20"/>
          <w:szCs w:val="20"/>
          <w:color w:val="auto"/>
        </w:rPr>
      </w:pPr>
      <w:r>
        <w:rPr>
          <w:rFonts w:ascii="Arial" w:cs="Arial" w:eastAsia="Arial" w:hAnsi="Arial"/>
          <w:sz w:val="15"/>
          <w:szCs w:val="15"/>
          <w:color w:val="auto"/>
        </w:rPr>
        <w:t>As of September 30, 2023, we owned or had ownership interests in 2,369 operating stores. Of these stores, 1,896 are wholly-owned, two in consolidated joint ventures and 471 are in unconsolidated joint ventures. In addition, we managed an additional 1,282 stores for third parties bringing the total number of stores which we own and/or manage to 3,651. These stores are located in 42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62" w:lineRule="exact"/>
        <w:rPr>
          <w:sz w:val="20"/>
          <w:szCs w:val="20"/>
          <w:color w:val="auto"/>
        </w:rPr>
      </w:pPr>
    </w:p>
    <w:p>
      <w:pPr>
        <w:ind w:right="60" w:firstLine="433"/>
        <w:spacing w:after="0" w:line="252" w:lineRule="auto"/>
        <w:rPr>
          <w:sz w:val="20"/>
          <w:szCs w:val="20"/>
          <w:color w:val="auto"/>
        </w:rPr>
      </w:pPr>
      <w:r>
        <w:rPr>
          <w:rFonts w:ascii="Arial" w:cs="Arial" w:eastAsia="Arial" w:hAnsi="Arial"/>
          <w:sz w:val="17"/>
          <w:szCs w:val="17"/>
          <w:color w:val="auto"/>
        </w:rPr>
        <w:t>As a result of the Life Storage Merger on July 20, 2023, we added 903 operating stores which we either own or have ownership interests. Of these stores, 757 are wholly-owned, one in a consolidated joint venture and 145 are in unconsolidated joint ventures. In addition, we manage an additional 261 stores for third parties bringing the total number of stores from the Life Storage Merger which we own and/or manage to 3,651. Also as a result of the Life Storage Merger we entered the markets of one additional state.</w:t>
      </w:r>
    </w:p>
    <w:p>
      <w:pPr>
        <w:spacing w:after="0" w:line="215"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As of September 30, 2023, approximately 2,100,000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September 30, 2023, the average length of stay was approximately 17.2 months.</w:t>
      </w:r>
    </w:p>
    <w:p>
      <w:pPr>
        <w:spacing w:after="0" w:line="206"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The average annual rent per square foot for our existing customers at stabilized stores, net of discounts and bad debt, was $21.43 for the three months ended September 30, 2023, compared to $20.96 for the three months ended September 30, 2022. Average annual rent per square foot for new leases was $16.01 for the three months ended September 30, 2023, compared to $18.40 for the three months ended September 30, 2022. The average discounts, as a percentage of rental revenues, at all stabilized properties during these periods were 2.7% and 3.2%, respectively.</w:t>
      </w:r>
    </w:p>
    <w:p>
      <w:pPr>
        <w:spacing w:after="0" w:line="202" w:lineRule="exact"/>
        <w:rPr>
          <w:sz w:val="20"/>
          <w:szCs w:val="20"/>
          <w:color w:val="auto"/>
        </w:rPr>
      </w:pPr>
    </w:p>
    <w:p>
      <w:pPr>
        <w:ind w:right="40" w:firstLine="433"/>
        <w:spacing w:after="0" w:line="273" w:lineRule="auto"/>
        <w:rPr>
          <w:sz w:val="20"/>
          <w:szCs w:val="20"/>
          <w:color w:val="auto"/>
        </w:rPr>
      </w:pPr>
      <w:r>
        <w:rPr>
          <w:rFonts w:ascii="Arial" w:cs="Arial" w:eastAsia="Arial" w:hAnsi="Arial"/>
          <w:sz w:val="17"/>
          <w:szCs w:val="17"/>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additional information regarding net rentable square feet and the number of stores by state.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6"/>
                <w:szCs w:val="16"/>
                <w:b w:val="1"/>
                <w:bCs w:val="1"/>
                <w:color w:val="auto"/>
              </w:rPr>
              <w:t>September 30, 2023</w:t>
            </w:r>
          </w:p>
        </w:tc>
        <w:tc>
          <w:tcPr>
            <w:tcW w:w="1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228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16"/>
                <w:szCs w:val="16"/>
                <w:b w:val="1"/>
                <w:bCs w:val="1"/>
                <w:color w:val="auto"/>
              </w:rPr>
              <w:t>REIT Owned</w:t>
            </w:r>
          </w:p>
        </w:tc>
        <w:tc>
          <w:tcPr>
            <w:tcW w:w="222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6"/>
                <w:szCs w:val="16"/>
                <w:b w:val="1"/>
                <w:bCs w:val="1"/>
                <w:color w:val="auto"/>
              </w:rPr>
              <w:t>Joint Venture Owned</w:t>
            </w:r>
          </w:p>
        </w:tc>
        <w:tc>
          <w:tcPr>
            <w:tcW w:w="2220" w:type="dxa"/>
            <w:vAlign w:val="bottom"/>
            <w:tcBorders>
              <w:bottom w:val="single" w:sz="8" w:color="auto"/>
            </w:tcBorders>
            <w:gridSpan w:val="2"/>
          </w:tcPr>
          <w:p>
            <w:pPr>
              <w:jc w:val="right"/>
              <w:ind w:right="781"/>
              <w:spacing w:after="0"/>
              <w:rPr>
                <w:sz w:val="20"/>
                <w:szCs w:val="20"/>
                <w:color w:val="auto"/>
              </w:rPr>
            </w:pPr>
            <w:r>
              <w:rPr>
                <w:rFonts w:ascii="Arial" w:cs="Arial" w:eastAsia="Arial" w:hAnsi="Arial"/>
                <w:sz w:val="16"/>
                <w:szCs w:val="16"/>
                <w:b w:val="1"/>
                <w:bCs w:val="1"/>
                <w:color w:val="auto"/>
              </w:rPr>
              <w:t>Managed</w:t>
            </w:r>
          </w:p>
        </w:tc>
        <w:tc>
          <w:tcPr>
            <w:tcW w:w="8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3"/>
        </w:trPr>
        <w:tc>
          <w:tcPr>
            <w:tcW w:w="236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Location</w:t>
            </w:r>
          </w:p>
        </w:tc>
        <w:tc>
          <w:tcPr>
            <w:tcW w:w="1040" w:type="dxa"/>
            <w:vAlign w:val="bottom"/>
          </w:tcPr>
          <w:p>
            <w:pPr>
              <w:jc w:val="right"/>
              <w:ind w:right="161"/>
              <w:spacing w:after="0" w:line="153" w:lineRule="exact"/>
              <w:rPr>
                <w:sz w:val="20"/>
                <w:szCs w:val="20"/>
                <w:color w:val="auto"/>
              </w:rPr>
            </w:pPr>
            <w:r>
              <w:rPr>
                <w:rFonts w:ascii="Arial" w:cs="Arial" w:eastAsia="Arial" w:hAnsi="Arial"/>
                <w:sz w:val="16"/>
                <w:szCs w:val="16"/>
                <w:b w:val="1"/>
                <w:bCs w:val="1"/>
                <w:color w:val="auto"/>
              </w:rPr>
              <w:t>Property</w:t>
            </w:r>
          </w:p>
        </w:tc>
        <w:tc>
          <w:tcPr>
            <w:tcW w:w="1240" w:type="dxa"/>
            <w:vAlign w:val="bottom"/>
          </w:tcPr>
          <w:p>
            <w:pPr>
              <w:jc w:val="right"/>
              <w:ind w:right="161"/>
              <w:spacing w:after="0" w:line="153"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61"/>
              <w:spacing w:after="0" w:line="153" w:lineRule="exact"/>
              <w:rPr>
                <w:sz w:val="20"/>
                <w:szCs w:val="20"/>
                <w:color w:val="auto"/>
              </w:rPr>
            </w:pPr>
            <w:r>
              <w:rPr>
                <w:rFonts w:ascii="Arial" w:cs="Arial" w:eastAsia="Arial" w:hAnsi="Arial"/>
                <w:sz w:val="16"/>
                <w:szCs w:val="16"/>
                <w:b w:val="1"/>
                <w:bCs w:val="1"/>
                <w:color w:val="auto"/>
              </w:rPr>
              <w:t>Property</w:t>
            </w:r>
          </w:p>
        </w:tc>
        <w:tc>
          <w:tcPr>
            <w:tcW w:w="1240" w:type="dxa"/>
            <w:vAlign w:val="bottom"/>
          </w:tcPr>
          <w:p>
            <w:pPr>
              <w:jc w:val="right"/>
              <w:ind w:right="161"/>
              <w:spacing w:after="0" w:line="153"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81"/>
              <w:spacing w:after="0" w:line="153" w:lineRule="exact"/>
              <w:rPr>
                <w:sz w:val="20"/>
                <w:szCs w:val="20"/>
                <w:color w:val="auto"/>
              </w:rPr>
            </w:pPr>
            <w:r>
              <w:rPr>
                <w:rFonts w:ascii="Arial" w:cs="Arial" w:eastAsia="Arial" w:hAnsi="Arial"/>
                <w:sz w:val="16"/>
                <w:szCs w:val="16"/>
                <w:b w:val="1"/>
                <w:bCs w:val="1"/>
                <w:color w:val="auto"/>
              </w:rPr>
              <w:t>Property</w:t>
            </w:r>
          </w:p>
        </w:tc>
        <w:tc>
          <w:tcPr>
            <w:tcW w:w="1240" w:type="dxa"/>
            <w:vAlign w:val="bottom"/>
          </w:tcPr>
          <w:p>
            <w:pPr>
              <w:jc w:val="right"/>
              <w:ind w:right="161"/>
              <w:spacing w:after="0" w:line="153" w:lineRule="exact"/>
              <w:rPr>
                <w:sz w:val="20"/>
                <w:szCs w:val="20"/>
                <w:color w:val="auto"/>
              </w:rPr>
            </w:pPr>
            <w:r>
              <w:rPr>
                <w:rFonts w:ascii="Arial" w:cs="Arial" w:eastAsia="Arial" w:hAnsi="Arial"/>
                <w:sz w:val="16"/>
                <w:szCs w:val="16"/>
                <w:b w:val="1"/>
                <w:bCs w:val="1"/>
                <w:color w:val="auto"/>
              </w:rPr>
              <w:t>Net Rentable</w:t>
            </w:r>
          </w:p>
        </w:tc>
        <w:tc>
          <w:tcPr>
            <w:tcW w:w="860" w:type="dxa"/>
            <w:vAlign w:val="bottom"/>
          </w:tcPr>
          <w:p>
            <w:pPr>
              <w:jc w:val="right"/>
              <w:ind w:right="61"/>
              <w:spacing w:after="0" w:line="153" w:lineRule="exact"/>
              <w:rPr>
                <w:sz w:val="20"/>
                <w:szCs w:val="20"/>
                <w:color w:val="auto"/>
              </w:rPr>
            </w:pPr>
            <w:r>
              <w:rPr>
                <w:rFonts w:ascii="Arial" w:cs="Arial" w:eastAsia="Arial" w:hAnsi="Arial"/>
                <w:sz w:val="16"/>
                <w:szCs w:val="16"/>
                <w:b w:val="1"/>
                <w:bCs w:val="1"/>
                <w:color w:val="auto"/>
              </w:rPr>
              <w:t>Property</w:t>
            </w:r>
          </w:p>
        </w:tc>
        <w:tc>
          <w:tcPr>
            <w:tcW w:w="1300" w:type="dxa"/>
            <w:vAlign w:val="bottom"/>
          </w:tcPr>
          <w:p>
            <w:pPr>
              <w:jc w:val="right"/>
              <w:ind w:right="101"/>
              <w:spacing w:after="0" w:line="153" w:lineRule="exact"/>
              <w:rPr>
                <w:sz w:val="20"/>
                <w:szCs w:val="20"/>
                <w:color w:val="auto"/>
              </w:rPr>
            </w:pPr>
            <w:r>
              <w:rPr>
                <w:rFonts w:ascii="Arial" w:cs="Arial" w:eastAsia="Arial" w:hAnsi="Arial"/>
                <w:sz w:val="16"/>
                <w:szCs w:val="16"/>
                <w:b w:val="1"/>
                <w:bCs w:val="1"/>
                <w:color w:val="auto"/>
              </w:rPr>
              <w:t>Net Rentable</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201"/>
              <w:spacing w:after="0" w:line="209" w:lineRule="exact"/>
              <w:rPr>
                <w:sz w:val="20"/>
                <w:szCs w:val="20"/>
                <w:color w:val="auto"/>
              </w:rPr>
            </w:pPr>
            <w:r>
              <w:rPr>
                <w:rFonts w:ascii="Arial" w:cs="Arial" w:eastAsia="Arial" w:hAnsi="Arial"/>
                <w:sz w:val="16"/>
                <w:szCs w:val="16"/>
                <w:b w:val="1"/>
                <w:bCs w:val="1"/>
                <w:color w:val="auto"/>
              </w:rPr>
              <w:t>Count</w:t>
            </w:r>
            <w:r>
              <w:rPr>
                <w:rFonts w:ascii="Arial" w:cs="Arial" w:eastAsia="Arial" w:hAnsi="Arial"/>
                <w:sz w:val="20"/>
                <w:szCs w:val="20"/>
                <w:b w:val="1"/>
                <w:bCs w:val="1"/>
                <w:color w:val="auto"/>
                <w:vertAlign w:val="superscript"/>
              </w:rPr>
              <w:t>(1)</w:t>
            </w: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Square Feet</w:t>
            </w: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Count</w:t>
            </w: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Square Feet</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Alabama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2,906,906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150,859</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568,462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3,626,227</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Arizona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3,434,804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2,085,800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3,521,498</w:t>
            </w:r>
          </w:p>
        </w:tc>
        <w:tc>
          <w:tcPr>
            <w:tcW w:w="860" w:type="dxa"/>
            <w:vAlign w:val="bottom"/>
          </w:tcPr>
          <w:p>
            <w:pPr>
              <w:jc w:val="right"/>
              <w:spacing w:after="0"/>
              <w:rPr>
                <w:sz w:val="20"/>
                <w:szCs w:val="20"/>
                <w:color w:val="auto"/>
              </w:rPr>
            </w:pPr>
            <w:r>
              <w:rPr>
                <w:rFonts w:ascii="Arial" w:cs="Arial" w:eastAsia="Arial" w:hAnsi="Arial"/>
                <w:sz w:val="16"/>
                <w:szCs w:val="16"/>
                <w:color w:val="auto"/>
              </w:rPr>
              <w:t>115</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9,042,102</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218</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17,829,779</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3,712,327</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120</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11,316,403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32,858,509</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Colorado</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1,891,353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937,653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2,101,674</w:t>
            </w: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4,930,680</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Connecticut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1,754,346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713,999</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933,217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3,401,562</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Delaware</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143,590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228,861</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372,451</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242</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18,236,347</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4,643,034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156</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12,091,435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34,970,816</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Georgia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117</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8,961,164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1,888,883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47</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3,513,933</w:t>
            </w:r>
          </w:p>
        </w:tc>
        <w:tc>
          <w:tcPr>
            <w:tcW w:w="860" w:type="dxa"/>
            <w:vAlign w:val="bottom"/>
          </w:tcPr>
          <w:p>
            <w:pPr>
              <w:jc w:val="right"/>
              <w:spacing w:after="0"/>
              <w:rPr>
                <w:sz w:val="20"/>
                <w:szCs w:val="20"/>
                <w:color w:val="auto"/>
              </w:rPr>
            </w:pPr>
            <w:r>
              <w:rPr>
                <w:rFonts w:ascii="Arial" w:cs="Arial" w:eastAsia="Arial" w:hAnsi="Arial"/>
                <w:sz w:val="16"/>
                <w:szCs w:val="16"/>
                <w:color w:val="auto"/>
              </w:rPr>
              <w:t>187</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14,363,980</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Hawaii</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941,698</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159,039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1,100,737</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Idaho</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131,319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201,597</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332,916</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7,522,933</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938,442</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3,035,448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11,496,823</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Indiana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91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3,934,174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57,827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1,835,692</w:t>
            </w:r>
          </w:p>
        </w:tc>
        <w:tc>
          <w:tcPr>
            <w:tcW w:w="860" w:type="dxa"/>
            <w:vAlign w:val="bottom"/>
          </w:tcPr>
          <w:p>
            <w:pPr>
              <w:jc w:val="right"/>
              <w:spacing w:after="0"/>
              <w:rPr>
                <w:sz w:val="20"/>
                <w:szCs w:val="20"/>
                <w:color w:val="auto"/>
              </w:rPr>
            </w:pPr>
            <w:r>
              <w:rPr>
                <w:rFonts w:ascii="Arial" w:cs="Arial" w:eastAsia="Arial" w:hAnsi="Arial"/>
                <w:sz w:val="16"/>
                <w:szCs w:val="16"/>
                <w:color w:val="auto"/>
              </w:rPr>
              <w:t>118</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5,827,693</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Iowa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175,414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175,414</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Kansas</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50,219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108,921</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355,253</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514,393</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Kentucky</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1,062,313</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51,770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1,129,983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2,244,066</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Louisiana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771,438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1,688,210</w:t>
            </w: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2,459,648</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Maine</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353,492</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706,108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1,059,600</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Maryland</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44</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3,467,462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898,570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3,355,015</w:t>
            </w: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7,721,047</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64</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4,039,247</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984,395</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2,354,974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7,378,616</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Michigan</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672,885</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309,053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1,186,026</w:t>
            </w: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2,167,964</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Minnesota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709,104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645,691</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1,083,621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2,438,416</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Mississippi</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560,429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738,236</w:t>
            </w: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1,298,665</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Missouri</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2,196,952</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508,309</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1,525,417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4,230,678</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Nebraska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277,966</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277,966</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Nevada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2,906,845</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840,070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1,149,474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4,896,389</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New Hampshire</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1,268,477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84,485</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584,823</w:t>
            </w: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1,937,785</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Jersey</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88</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7,024,858</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2,607,517</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4,078,245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13,710,620</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713,990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681,290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1,080,407</w:t>
            </w: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2,475,687</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79</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5,693,583</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2,246,018</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80</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5,537,572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13,477,173</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North Carolina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3,729,167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619,297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2,556,343</w:t>
            </w:r>
          </w:p>
        </w:tc>
        <w:tc>
          <w:tcPr>
            <w:tcW w:w="860" w:type="dxa"/>
            <w:vAlign w:val="bottom"/>
          </w:tcPr>
          <w:p>
            <w:pPr>
              <w:jc w:val="right"/>
              <w:spacing w:after="0"/>
              <w:rPr>
                <w:sz w:val="20"/>
                <w:szCs w:val="20"/>
                <w:color w:val="auto"/>
              </w:rPr>
            </w:pPr>
            <w:r>
              <w:rPr>
                <w:rFonts w:ascii="Arial" w:cs="Arial" w:eastAsia="Arial" w:hAnsi="Arial"/>
                <w:sz w:val="16"/>
                <w:szCs w:val="16"/>
                <w:color w:val="auto"/>
              </w:rPr>
              <w:t>94</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6,904,807</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3,354,038</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325,317</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1,617,038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5,296,393</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Oklahoma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194,552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1,428,613</w:t>
            </w: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1,623,165</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Oregon</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549,740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166,538</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672,512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1,388,790</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Pennsylvania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2,356,905</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935,928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48</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3,521,475</w:t>
            </w:r>
          </w:p>
        </w:tc>
        <w:tc>
          <w:tcPr>
            <w:tcW w:w="860" w:type="dxa"/>
            <w:vAlign w:val="bottom"/>
          </w:tcPr>
          <w:p>
            <w:pPr>
              <w:jc w:val="right"/>
              <w:spacing w:after="0"/>
              <w:rPr>
                <w:sz w:val="20"/>
                <w:szCs w:val="20"/>
                <w:color w:val="auto"/>
              </w:rPr>
            </w:pPr>
            <w:r>
              <w:rPr>
                <w:rFonts w:ascii="Arial" w:cs="Arial" w:eastAsia="Arial" w:hAnsi="Arial"/>
                <w:sz w:val="16"/>
                <w:szCs w:val="16"/>
                <w:color w:val="auto"/>
              </w:rPr>
              <w:t>91</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6,814,308</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Rhode Island</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351,302</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95,794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473,092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920,188</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2,974,956</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707,784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3,084,475</w:t>
            </w:r>
          </w:p>
        </w:tc>
        <w:tc>
          <w:tcPr>
            <w:tcW w:w="860" w:type="dxa"/>
            <w:vAlign w:val="bottom"/>
          </w:tcPr>
          <w:p>
            <w:pPr>
              <w:jc w:val="right"/>
              <w:spacing w:after="0"/>
              <w:rPr>
                <w:sz w:val="20"/>
                <w:szCs w:val="20"/>
                <w:color w:val="auto"/>
              </w:rPr>
            </w:pPr>
            <w:r>
              <w:rPr>
                <w:rFonts w:ascii="Arial" w:cs="Arial" w:eastAsia="Arial" w:hAnsi="Arial"/>
                <w:sz w:val="16"/>
                <w:szCs w:val="16"/>
                <w:color w:val="auto"/>
              </w:rPr>
              <w:t>89</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6,767,215</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Tennessee</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2,409,064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1,090,756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1,635,222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5,135,042</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Texas</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241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19,908,210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5,444,649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10,196,205</w:t>
            </w:r>
          </w:p>
        </w:tc>
        <w:tc>
          <w:tcPr>
            <w:tcW w:w="860" w:type="dxa"/>
            <w:vAlign w:val="bottom"/>
          </w:tcPr>
          <w:p>
            <w:pPr>
              <w:jc w:val="right"/>
              <w:spacing w:after="0"/>
              <w:rPr>
                <w:sz w:val="20"/>
                <w:szCs w:val="20"/>
                <w:color w:val="auto"/>
              </w:rPr>
            </w:pPr>
            <w:r>
              <w:rPr>
                <w:rFonts w:ascii="Arial" w:cs="Arial" w:eastAsia="Arial" w:hAnsi="Arial"/>
                <w:sz w:val="16"/>
                <w:szCs w:val="16"/>
                <w:color w:val="auto"/>
              </w:rPr>
              <w:t>432</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35,549,064</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733,148</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2,184,273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2,917,421</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Virginia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73</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5,930,138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758,569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2,475,040</w:t>
            </w:r>
          </w:p>
        </w:tc>
        <w:tc>
          <w:tcPr>
            <w:tcW w:w="860" w:type="dxa"/>
            <w:vAlign w:val="bottom"/>
          </w:tcPr>
          <w:p>
            <w:pPr>
              <w:jc w:val="right"/>
              <w:spacing w:after="0"/>
              <w:rPr>
                <w:sz w:val="20"/>
                <w:szCs w:val="20"/>
                <w:color w:val="auto"/>
              </w:rPr>
            </w:pPr>
            <w:r>
              <w:rPr>
                <w:rFonts w:ascii="Arial" w:cs="Arial" w:eastAsia="Arial" w:hAnsi="Arial"/>
                <w:sz w:val="16"/>
                <w:szCs w:val="16"/>
                <w:color w:val="auto"/>
              </w:rPr>
              <w:t>118</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9,163,747</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1,090,309</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199,870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1,259,659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2,549,838</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Washington, DC</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100,163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104,126</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537,914</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742,203</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97,888</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884,522</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1,242,584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2,224,994</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Totals</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1,898</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142,815,697</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471</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36,571,653</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1,282</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99,398,448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3,651</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278,785,798</w:t>
            </w:r>
          </w:p>
        </w:tc>
        <w:tc>
          <w:tcPr>
            <w:tcW w:w="0" w:type="dxa"/>
            <w:vAlign w:val="bottom"/>
          </w:tcPr>
          <w:p>
            <w:pPr>
              <w:spacing w:after="0"/>
              <w:rPr>
                <w:sz w:val="1"/>
                <w:szCs w:val="1"/>
                <w:color w:val="auto"/>
              </w:rPr>
            </w:pPr>
          </w:p>
        </w:tc>
      </w:tr>
      <w:tr>
        <w:trPr>
          <w:trHeight w:val="23"/>
        </w:trPr>
        <w:tc>
          <w:tcPr>
            <w:tcW w:w="2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560" w:firstLine="5"/>
        <w:spacing w:after="0" w:line="289" w:lineRule="auto"/>
        <w:tabs>
          <w:tab w:leader="none" w:pos="37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two consolidated joint ventures and excludes approximately 17,000 units related to the Bargold. See Note 4 in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and nine months ended September 30, 2023 and 2022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25"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Results for the three and nine months ended September 30, 2023 included the operations of 2,369 stores (1,896 wholly-owned, two in a consolidated joint venture, and 471 in joint ventures accounted for using the equity method) compared to the results for the three and nine months ended September 30, 2022, which included the operations of 1,441 stores (1,126 wholly-owned, zero in consolidated joint ventures, and 315 in joint ventures accounted for using the equity method).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Revenues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information on revenues earned for the periods indicated:</w:t>
      </w:r>
    </w:p>
    <w:p>
      <w:pPr>
        <w:spacing w:after="0" w:line="132"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 Three Months Ended</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For the Nine Months Ended</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6"/>
        </w:trPr>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3"/>
        </w:trPr>
        <w:tc>
          <w:tcPr>
            <w:tcW w:w="920" w:type="dxa"/>
            <w:vAlign w:val="bottom"/>
          </w:tcPr>
          <w:p>
            <w:pPr>
              <w:jc w:val="right"/>
              <w:ind w:right="270"/>
              <w:spacing w:after="0"/>
              <w:rPr>
                <w:sz w:val="20"/>
                <w:szCs w:val="20"/>
                <w:color w:val="auto"/>
              </w:rPr>
            </w:pPr>
            <w:r>
              <w:rPr>
                <w:rFonts w:ascii="Arial" w:cs="Arial" w:eastAsia="Arial" w:hAnsi="Arial"/>
                <w:sz w:val="14"/>
                <w:szCs w:val="14"/>
                <w:b w:val="1"/>
                <w:bCs w:val="1"/>
                <w:color w:val="auto"/>
              </w:rPr>
              <w:t>2023</w:t>
            </w:r>
          </w:p>
        </w:tc>
        <w:tc>
          <w:tcPr>
            <w:tcW w:w="920" w:type="dxa"/>
            <w:vAlign w:val="bottom"/>
          </w:tcPr>
          <w:p>
            <w:pPr>
              <w:jc w:val="right"/>
              <w:ind w:right="230"/>
              <w:spacing w:after="0"/>
              <w:rPr>
                <w:sz w:val="20"/>
                <w:szCs w:val="20"/>
                <w:color w:val="auto"/>
              </w:rPr>
            </w:pPr>
            <w:r>
              <w:rPr>
                <w:rFonts w:ascii="Arial" w:cs="Arial" w:eastAsia="Arial" w:hAnsi="Arial"/>
                <w:sz w:val="14"/>
                <w:szCs w:val="14"/>
                <w:b w:val="1"/>
                <w:bCs w:val="1"/>
                <w:color w:val="auto"/>
              </w:rPr>
              <w:t>2022</w:t>
            </w:r>
          </w:p>
        </w:tc>
        <w:tc>
          <w:tcPr>
            <w:tcW w:w="960" w:type="dxa"/>
            <w:vAlign w:val="bottom"/>
          </w:tcPr>
          <w:p>
            <w:pPr>
              <w:ind w:left="22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330"/>
              <w:spacing w:after="0"/>
              <w:rPr>
                <w:sz w:val="20"/>
                <w:szCs w:val="20"/>
                <w:color w:val="auto"/>
              </w:rPr>
            </w:pPr>
            <w:r>
              <w:rPr>
                <w:rFonts w:ascii="Arial" w:cs="Arial" w:eastAsia="Arial" w:hAnsi="Arial"/>
                <w:sz w:val="14"/>
                <w:szCs w:val="14"/>
                <w:b w:val="1"/>
                <w:bCs w:val="1"/>
                <w:color w:val="auto"/>
              </w:rPr>
              <w:t>2023</w:t>
            </w:r>
          </w:p>
        </w:tc>
        <w:tc>
          <w:tcPr>
            <w:tcW w:w="980" w:type="dxa"/>
            <w:vAlign w:val="bottom"/>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w w:val="91"/>
              </w:rPr>
              <w:t>% Change</w:t>
            </w: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36130" cy="141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80" w:type="dxa"/>
            <w:vAlign w:val="bottom"/>
          </w:tcPr>
          <w:p>
            <w:pPr>
              <w:ind w:left="340"/>
              <w:spacing w:after="0"/>
              <w:rPr>
                <w:sz w:val="20"/>
                <w:szCs w:val="20"/>
                <w:color w:val="auto"/>
              </w:rPr>
            </w:pPr>
            <w:r>
              <w:rPr>
                <w:rFonts w:ascii="Arial" w:cs="Arial" w:eastAsia="Arial" w:hAnsi="Arial"/>
                <w:sz w:val="17"/>
                <w:szCs w:val="17"/>
                <w:color w:val="auto"/>
              </w:rPr>
              <w:t>Property rental</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650,887</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428,787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222,100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51.8 %</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w w:val="98"/>
              </w:rPr>
              <w:t>1,525,596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1,216,639</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308,957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25.4 %</w:t>
            </w:r>
          </w:p>
        </w:tc>
      </w:tr>
      <w:tr>
        <w:trPr>
          <w:trHeight w:val="223"/>
        </w:trPr>
        <w:tc>
          <w:tcPr>
            <w:tcW w:w="3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Tenant reinsurance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r>
      <w:tr>
        <w:trPr>
          <w:trHeight w:val="223"/>
        </w:trPr>
        <w:tc>
          <w:tcPr>
            <w:tcW w:w="328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Management fees and other income</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71,609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14.2 %</w:t>
            </w:r>
          </w:p>
        </w:tc>
      </w:tr>
      <w:tr>
        <w:trPr>
          <w:trHeight w:val="228"/>
        </w:trPr>
        <w:tc>
          <w:tcPr>
            <w:tcW w:w="3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revenues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748,034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249,132</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1,762,470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1,417,452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345,018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360" w:firstLine="433"/>
        <w:spacing w:after="0" w:line="287" w:lineRule="auto"/>
        <w:rPr>
          <w:sz w:val="20"/>
          <w:szCs w:val="20"/>
          <w:color w:val="auto"/>
        </w:rPr>
      </w:pPr>
      <w:r>
        <w:rPr>
          <w:rFonts w:ascii="Arial" w:cs="Arial" w:eastAsia="Arial" w:hAnsi="Arial"/>
          <w:sz w:val="16"/>
          <w:szCs w:val="16"/>
          <w:b w:val="1"/>
          <w:bCs w:val="1"/>
          <w:color w:val="auto"/>
        </w:rPr>
        <w:t>Property Rental—</w:t>
      </w:r>
      <w:r>
        <w:rPr>
          <w:rFonts w:ascii="Arial" w:cs="Arial" w:eastAsia="Arial" w:hAnsi="Arial"/>
          <w:sz w:val="16"/>
          <w:szCs w:val="16"/>
          <w:color w:val="auto"/>
        </w:rPr>
        <w:t>The increase in property rental revenues for the three and nine months ended September 30, 2023 was primarily the result of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of $213,343 and $252,641 associated with the Life Storage Merger and acquisitions completed in 2023 and 2022, respectively. We acquired 757 wholly-owned stores in the merger and an additional 7 wholly-owned stores during the nine months ended September 30, 2023. We acquired a total of 153 stores during the year ended December 31, 2022. Property rental revenues also increased by $6,903 and $43,397 at our stabilized stores related primarily to higher average rates to existing customers during the three and nine months ended September 30, 2023, respectively.</w:t>
      </w:r>
    </w:p>
    <w:p>
      <w:pPr>
        <w:spacing w:after="0" w:line="185" w:lineRule="exact"/>
        <w:rPr>
          <w:sz w:val="20"/>
          <w:szCs w:val="20"/>
          <w:color w:val="auto"/>
        </w:rPr>
      </w:pPr>
    </w:p>
    <w:p>
      <w:pPr>
        <w:ind w:right="80" w:firstLine="433"/>
        <w:spacing w:after="0" w:line="297" w:lineRule="auto"/>
        <w:rPr>
          <w:sz w:val="20"/>
          <w:szCs w:val="20"/>
          <w:color w:val="auto"/>
        </w:rPr>
      </w:pPr>
      <w:r>
        <w:rPr>
          <w:rFonts w:ascii="Arial" w:cs="Arial" w:eastAsia="Arial" w:hAnsi="Arial"/>
          <w:sz w:val="17"/>
          <w:szCs w:val="17"/>
          <w:b w:val="1"/>
          <w:bCs w:val="1"/>
          <w:color w:val="auto"/>
        </w:rPr>
        <w:t>Tenant Reinsurance—</w:t>
      </w:r>
      <w:r>
        <w:rPr>
          <w:rFonts w:ascii="Arial" w:cs="Arial" w:eastAsia="Arial" w:hAnsi="Arial"/>
          <w:sz w:val="17"/>
          <w:szCs w:val="17"/>
          <w:color w:val="auto"/>
        </w:rPr>
        <w:t>The increase in tenant reinsurance revenues was due primarily to an increase in the number of stores operated. We operated 3,651</w:t>
      </w:r>
      <w:r>
        <w:rPr>
          <w:rFonts w:ascii="Arial" w:cs="Arial" w:eastAsia="Arial" w:hAnsi="Arial"/>
          <w:sz w:val="17"/>
          <w:szCs w:val="17"/>
          <w:b w:val="1"/>
          <w:bCs w:val="1"/>
          <w:color w:val="auto"/>
        </w:rPr>
        <w:t xml:space="preserve"> </w:t>
      </w:r>
      <w:r>
        <w:rPr>
          <w:rFonts w:ascii="Arial" w:cs="Arial" w:eastAsia="Arial" w:hAnsi="Arial"/>
          <w:sz w:val="17"/>
          <w:szCs w:val="17"/>
          <w:color w:val="auto"/>
        </w:rPr>
        <w:t>stores at September 30, 2023 compared to 2,327 stores at September 30, 2022.</w:t>
      </w:r>
    </w:p>
    <w:p>
      <w:pPr>
        <w:spacing w:after="0" w:line="172" w:lineRule="exact"/>
        <w:rPr>
          <w:sz w:val="20"/>
          <w:szCs w:val="20"/>
          <w:color w:val="auto"/>
        </w:rPr>
      </w:pPr>
    </w:p>
    <w:p>
      <w:pPr>
        <w:jc w:val="both"/>
        <w:ind w:right="100" w:firstLine="433"/>
        <w:spacing w:after="0" w:line="317" w:lineRule="auto"/>
        <w:rPr>
          <w:sz w:val="20"/>
          <w:szCs w:val="20"/>
          <w:color w:val="auto"/>
        </w:rPr>
      </w:pPr>
      <w:r>
        <w:rPr>
          <w:rFonts w:ascii="Arial" w:cs="Arial" w:eastAsia="Arial" w:hAnsi="Arial"/>
          <w:sz w:val="15"/>
          <w:szCs w:val="15"/>
          <w:b w:val="1"/>
          <w:bCs w:val="1"/>
          <w:color w:val="auto"/>
        </w:rPr>
        <w:t>Management Fees and Other Income—</w:t>
      </w:r>
      <w:r>
        <w:rPr>
          <w:rFonts w:ascii="Arial" w:cs="Arial" w:eastAsia="Arial" w:hAnsi="Arial"/>
          <w:sz w:val="15"/>
          <w:szCs w:val="15"/>
          <w:color w:val="auto"/>
        </w:rPr>
        <w:t>Management fees and other income primarily represent the fees collected for our management of stores owned</w:t>
      </w:r>
      <w:r>
        <w:rPr>
          <w:rFonts w:ascii="Arial" w:cs="Arial" w:eastAsia="Arial" w:hAnsi="Arial"/>
          <w:sz w:val="15"/>
          <w:szCs w:val="15"/>
          <w:b w:val="1"/>
          <w:bCs w:val="1"/>
          <w:color w:val="auto"/>
        </w:rPr>
        <w:t xml:space="preserve"> </w:t>
      </w:r>
      <w:r>
        <w:rPr>
          <w:rFonts w:ascii="Arial" w:cs="Arial" w:eastAsia="Arial" w:hAnsi="Arial"/>
          <w:sz w:val="15"/>
          <w:szCs w:val="15"/>
          <w:color w:val="auto"/>
        </w:rPr>
        <w:t>by third parties and unconsolidated joint ventures and other transaction fee income. The increase for the three and nine months ended September 30, 2023 was due to both an increase in the number of stores managed and an increase in the overall revenue of stores under management when compared to the same period last year. As of September 30, 2023, we managed 1,755 stores for joint ventures and third parties, compared to 1,201 stores as of September 30, 2022.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auto"/>
        </w:rPr>
        <w:t>Expenses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information on expenses for the periods indicated:</w:t>
      </w:r>
    </w:p>
    <w:p>
      <w:pPr>
        <w:spacing w:after="0" w:line="132" w:lineRule="exact"/>
        <w:rPr>
          <w:sz w:val="20"/>
          <w:szCs w:val="20"/>
          <w:color w:val="auto"/>
        </w:rPr>
      </w:pPr>
    </w:p>
    <w:tbl>
      <w:tblPr>
        <w:tblLayout w:type="fixed"/>
        <w:tblInd w:w="3260" w:type="dxa"/>
        <w:tblCellMar>
          <w:top w:w="0" w:type="dxa"/>
          <w:left w:w="0" w:type="dxa"/>
          <w:bottom w:w="0" w:type="dxa"/>
          <w:right w:w="0" w:type="dxa"/>
        </w:tblCellMar>
      </w:tblPr>
      <w:tr>
        <w:trPr>
          <w:trHeight w:val="161"/>
        </w:trPr>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For the Three Months Ended</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 Nine Months Ended</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3"/>
        </w:trPr>
        <w:tc>
          <w:tcPr>
            <w:tcW w:w="1000" w:type="dxa"/>
            <w:vAlign w:val="bottom"/>
          </w:tcPr>
          <w:p>
            <w:pPr>
              <w:jc w:val="right"/>
              <w:ind w:right="330"/>
              <w:spacing w:after="0"/>
              <w:rPr>
                <w:sz w:val="20"/>
                <w:szCs w:val="20"/>
                <w:color w:val="auto"/>
              </w:rPr>
            </w:pPr>
            <w:r>
              <w:rPr>
                <w:rFonts w:ascii="Arial" w:cs="Arial" w:eastAsia="Arial" w:hAnsi="Arial"/>
                <w:sz w:val="14"/>
                <w:szCs w:val="14"/>
                <w:b w:val="1"/>
                <w:bCs w:val="1"/>
                <w:color w:val="auto"/>
              </w:rPr>
              <w:t>2023</w:t>
            </w:r>
          </w:p>
        </w:tc>
        <w:tc>
          <w:tcPr>
            <w:tcW w:w="1000" w:type="dxa"/>
            <w:vAlign w:val="bottom"/>
          </w:tcPr>
          <w:p>
            <w:pPr>
              <w:jc w:val="right"/>
              <w:ind w:right="270"/>
              <w:spacing w:after="0"/>
              <w:rPr>
                <w:sz w:val="20"/>
                <w:szCs w:val="20"/>
                <w:color w:val="auto"/>
              </w:rPr>
            </w:pPr>
            <w:r>
              <w:rPr>
                <w:rFonts w:ascii="Arial" w:cs="Arial" w:eastAsia="Arial" w:hAnsi="Arial"/>
                <w:sz w:val="14"/>
                <w:szCs w:val="14"/>
                <w:b w:val="1"/>
                <w:bCs w:val="1"/>
                <w:color w:val="auto"/>
              </w:rPr>
              <w:t>2022</w:t>
            </w:r>
          </w:p>
        </w:tc>
        <w:tc>
          <w:tcPr>
            <w:tcW w:w="1020" w:type="dxa"/>
            <w:vAlign w:val="bottom"/>
          </w:tcPr>
          <w:p>
            <w:pPr>
              <w:ind w:lef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310"/>
              <w:spacing w:after="0"/>
              <w:rPr>
                <w:sz w:val="20"/>
                <w:szCs w:val="20"/>
                <w:color w:val="auto"/>
              </w:rPr>
            </w:pPr>
            <w:r>
              <w:rPr>
                <w:rFonts w:ascii="Arial" w:cs="Arial" w:eastAsia="Arial" w:hAnsi="Arial"/>
                <w:sz w:val="14"/>
                <w:szCs w:val="14"/>
                <w:b w:val="1"/>
                <w:bCs w:val="1"/>
                <w:color w:val="auto"/>
              </w:rPr>
              <w:t>2023</w:t>
            </w:r>
          </w:p>
        </w:tc>
        <w:tc>
          <w:tcPr>
            <w:tcW w:w="980" w:type="dxa"/>
            <w:vAlign w:val="bottom"/>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ind w:left="28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w w:val="93"/>
              </w:rPr>
              <w:t>% Chan</w:t>
            </w:r>
          </w:p>
        </w:tc>
      </w:tr>
    </w:tbl>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-120015</wp:posOffset>
            </wp:positionV>
            <wp:extent cx="6922770" cy="141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2770" cy="141605"/>
                    </a:xfrm>
                    <a:prstGeom prst="rect">
                      <a:avLst/>
                    </a:prstGeom>
                    <a:noFill/>
                  </pic:spPr>
                </pic:pic>
              </a:graphicData>
            </a:graphic>
          </wp:anchor>
        </w:drawing>
      </w:r>
    </w:p>
    <w:p>
      <w:pPr>
        <w:spacing w:after="0" w:line="13"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2820" w:type="dxa"/>
            <w:vAlign w:val="bottom"/>
          </w:tcPr>
          <w:p>
            <w:pPr>
              <w:ind w:left="320"/>
              <w:spacing w:after="0"/>
              <w:rPr>
                <w:sz w:val="20"/>
                <w:szCs w:val="20"/>
                <w:color w:val="auto"/>
              </w:rPr>
            </w:pPr>
            <w:r>
              <w:rPr>
                <w:rFonts w:ascii="Arial" w:cs="Arial" w:eastAsia="Arial" w:hAnsi="Arial"/>
                <w:sz w:val="17"/>
                <w:szCs w:val="17"/>
                <w:color w:val="auto"/>
              </w:rPr>
              <w:t>Property operations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185,194</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114,577</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70,617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61.6 %</w:t>
            </w:r>
          </w:p>
        </w:tc>
        <w:tc>
          <w:tcPr>
            <w:tcW w:w="1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416,997</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322,371</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94,626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23"/>
        </w:trPr>
        <w:tc>
          <w:tcPr>
            <w:tcW w:w="2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Tenant reinsurance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77.6 %</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23"/>
        </w:trPr>
        <w:tc>
          <w:tcPr>
            <w:tcW w:w="2820" w:type="dxa"/>
            <w:vAlign w:val="bottom"/>
          </w:tcPr>
          <w:p>
            <w:pPr>
              <w:ind w:left="320"/>
              <w:spacing w:after="0"/>
              <w:rPr>
                <w:sz w:val="20"/>
                <w:szCs w:val="20"/>
                <w:color w:val="auto"/>
              </w:rPr>
            </w:pPr>
            <w:r>
              <w:rPr>
                <w:rFonts w:ascii="Arial" w:cs="Arial" w:eastAsia="Arial" w:hAnsi="Arial"/>
                <w:sz w:val="17"/>
                <w:szCs w:val="17"/>
                <w:color w:val="auto"/>
              </w:rPr>
              <w:t>Transaction costs</w:t>
            </w: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71"/>
        </w:trPr>
        <w:tc>
          <w:tcPr>
            <w:tcW w:w="2820" w:type="dxa"/>
            <w:vAlign w:val="bottom"/>
            <w:shd w:val="clear" w:color="auto" w:fill="CCEEFF"/>
          </w:tcPr>
          <w:p>
            <w:pPr>
              <w:ind w:left="320"/>
              <w:spacing w:after="0" w:line="172" w:lineRule="exact"/>
              <w:rPr>
                <w:sz w:val="20"/>
                <w:szCs w:val="20"/>
                <w:color w:val="auto"/>
              </w:rPr>
            </w:pPr>
            <w:r>
              <w:rPr>
                <w:rFonts w:ascii="Arial" w:cs="Arial" w:eastAsia="Arial" w:hAnsi="Arial"/>
                <w:sz w:val="17"/>
                <w:szCs w:val="17"/>
                <w:color w:val="auto"/>
              </w:rPr>
              <w:t>Life Storage Merger transition</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35"/>
        </w:trPr>
        <w:tc>
          <w:tcPr>
            <w:tcW w:w="2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costs</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54,174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54,174</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3"/>
        </w:trPr>
        <w:tc>
          <w:tcPr>
            <w:tcW w:w="282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37,406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32,275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5,131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93,288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13,723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3"/>
        </w:trPr>
        <w:tc>
          <w:tcPr>
            <w:tcW w:w="2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71,423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80,915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113.3 %</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208,396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101,518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3"/>
        </w:trPr>
        <w:tc>
          <w:tcPr>
            <w:tcW w:w="2820" w:type="dxa"/>
            <w:vAlign w:val="bottom"/>
          </w:tcPr>
          <w:p>
            <w:pPr>
              <w:ind w:left="640"/>
              <w:spacing w:after="0"/>
              <w:rPr>
                <w:sz w:val="20"/>
                <w:szCs w:val="20"/>
                <w:color w:val="auto"/>
              </w:rPr>
            </w:pPr>
            <w:r>
              <w:rPr>
                <w:rFonts w:ascii="Arial" w:cs="Arial" w:eastAsia="Arial" w:hAnsi="Arial"/>
                <w:sz w:val="17"/>
                <w:szCs w:val="17"/>
                <w:color w:val="auto"/>
              </w:rPr>
              <w:t>Total expenses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448,242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229,045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6"/>
              </w:rPr>
              <w:t>219,197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95.7 %</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925,797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650,869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274,928</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0"/>
        </w:trPr>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160" w:firstLine="433"/>
        <w:spacing w:after="0" w:line="265" w:lineRule="auto"/>
        <w:rPr>
          <w:sz w:val="20"/>
          <w:szCs w:val="20"/>
          <w:color w:val="auto"/>
        </w:rPr>
      </w:pPr>
      <w:r>
        <w:rPr>
          <w:rFonts w:ascii="Arial" w:cs="Arial" w:eastAsia="Arial" w:hAnsi="Arial"/>
          <w:sz w:val="17"/>
          <w:szCs w:val="17"/>
          <w:b w:val="1"/>
          <w:bCs w:val="1"/>
          <w:color w:val="auto"/>
        </w:rPr>
        <w:t>Property Operations—</w:t>
      </w:r>
      <w:r>
        <w:rPr>
          <w:rFonts w:ascii="Arial" w:cs="Arial" w:eastAsia="Arial" w:hAnsi="Arial"/>
          <w:sz w:val="17"/>
          <w:szCs w:val="17"/>
          <w:color w:val="auto"/>
        </w:rPr>
        <w:t>The increase in property operations expense during the three and nine months ended September 30, 2023 consists primarily of an</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of $64,549 and $77,188 related to the Life Storage Merger and acquisitions completed in 2023 and 2022, respectively. We acquired 757 wholly-owned stores in the Life Storage Merger and and additional 7 wholly-owned stores during the nine months ended September 30, 2023 and a total of 153 stores during the year ended December 31, 2022. Additionally, for the three and nine months ended September 30, 2023 there was an increase of $8,535 and $16,620, respectively, at our stabilized stores primarily due to payroll, marketing, credit card processing fees, utilities and insurance, partially offset by repairs and maintenance.</w:t>
      </w:r>
    </w:p>
    <w:p>
      <w:pPr>
        <w:spacing w:after="0" w:line="200" w:lineRule="exact"/>
        <w:rPr>
          <w:sz w:val="20"/>
          <w:szCs w:val="20"/>
          <w:color w:val="auto"/>
        </w:rPr>
      </w:pPr>
    </w:p>
    <w:p>
      <w:pPr>
        <w:ind w:right="500" w:firstLine="433"/>
        <w:spacing w:after="0" w:line="330" w:lineRule="auto"/>
        <w:rPr>
          <w:sz w:val="20"/>
          <w:szCs w:val="20"/>
          <w:color w:val="auto"/>
        </w:rPr>
      </w:pPr>
      <w:r>
        <w:rPr>
          <w:rFonts w:ascii="Arial" w:cs="Arial" w:eastAsia="Arial" w:hAnsi="Arial"/>
          <w:sz w:val="16"/>
          <w:szCs w:val="16"/>
          <w:b w:val="1"/>
          <w:bCs w:val="1"/>
          <w:color w:val="auto"/>
        </w:rPr>
        <w:t>Tenant Reinsurance—</w:t>
      </w:r>
      <w:r>
        <w:rPr>
          <w:rFonts w:ascii="Arial" w:cs="Arial" w:eastAsia="Arial" w:hAnsi="Arial"/>
          <w:sz w:val="16"/>
          <w:szCs w:val="16"/>
          <w:color w:val="auto"/>
        </w:rPr>
        <w:t>Tenant reinsurance expense represents the costs that are incurred to provide tenant reinsurance. These increases are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an increase in stores. We operated 3,651 stores at September 30, 2023 compared to 2,327 stores at September 30, 2022.</w:t>
      </w:r>
    </w:p>
    <w:p>
      <w:pPr>
        <w:spacing w:after="0" w:line="137" w:lineRule="exact"/>
        <w:rPr>
          <w:sz w:val="20"/>
          <w:szCs w:val="20"/>
          <w:color w:val="auto"/>
        </w:rPr>
      </w:pPr>
    </w:p>
    <w:p>
      <w:pPr>
        <w:ind w:right="280" w:firstLine="433"/>
        <w:spacing w:after="0" w:line="313" w:lineRule="auto"/>
        <w:rPr>
          <w:sz w:val="20"/>
          <w:szCs w:val="20"/>
          <w:color w:val="auto"/>
        </w:rPr>
      </w:pPr>
      <w:r>
        <w:rPr>
          <w:rFonts w:ascii="Arial" w:cs="Arial" w:eastAsia="Arial" w:hAnsi="Arial"/>
          <w:sz w:val="16"/>
          <w:szCs w:val="16"/>
          <w:b w:val="1"/>
          <w:bCs w:val="1"/>
          <w:color w:val="auto"/>
        </w:rPr>
        <w:t xml:space="preserve">Life Storage Merger Transitions Costs— </w:t>
      </w:r>
      <w:r>
        <w:rPr>
          <w:rFonts w:ascii="Arial" w:cs="Arial" w:eastAsia="Arial" w:hAnsi="Arial"/>
          <w:sz w:val="16"/>
          <w:szCs w:val="16"/>
          <w:color w:val="auto"/>
        </w:rPr>
        <w:t>Represents the costs that were incurred as part of the Life Storage Merger that did not meet the definition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costs and primarily consist of severance paid as part of employment agreements with certain employees and officers of Life Storage.</w:t>
      </w:r>
    </w:p>
    <w:p>
      <w:pPr>
        <w:spacing w:after="0" w:line="150" w:lineRule="exact"/>
        <w:rPr>
          <w:sz w:val="20"/>
          <w:szCs w:val="20"/>
          <w:color w:val="auto"/>
        </w:rPr>
      </w:pPr>
    </w:p>
    <w:p>
      <w:pPr>
        <w:ind w:right="200" w:firstLine="433"/>
        <w:spacing w:after="0" w:line="247" w:lineRule="auto"/>
        <w:rPr>
          <w:sz w:val="20"/>
          <w:szCs w:val="20"/>
          <w:color w:val="auto"/>
        </w:rPr>
      </w:pPr>
      <w:r>
        <w:rPr>
          <w:rFonts w:ascii="Arial" w:cs="Arial" w:eastAsia="Arial" w:hAnsi="Arial"/>
          <w:sz w:val="17"/>
          <w:szCs w:val="17"/>
          <w:b w:val="1"/>
          <w:bCs w:val="1"/>
          <w:color w:val="auto"/>
        </w:rPr>
        <w:t>General and Administrative—</w:t>
      </w:r>
      <w:r>
        <w:rPr>
          <w:rFonts w:ascii="Arial" w:cs="Arial" w:eastAsia="Arial" w:hAnsi="Arial"/>
          <w:sz w:val="17"/>
          <w:szCs w:val="17"/>
          <w:color w:val="auto"/>
        </w:rPr>
        <w:t>General and administrative expenses primarily include all expenses not directly related to our stores, including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office expense, office rent, travel and professional fees. We did not observe any material trends in specific travel or other expenses apart from inflationary pressures and from the increase due to the management of additional stores. Also, during the three and nine months ended September 30, 2023 increases relate in part to the acquisition of 153 stores added during the year ended December 31, 2022 and 757 stores added with the acquisition of Life Storage in July 2023.</w:t>
      </w:r>
    </w:p>
    <w:p>
      <w:pPr>
        <w:spacing w:after="0" w:line="214" w:lineRule="exact"/>
        <w:rPr>
          <w:sz w:val="20"/>
          <w:szCs w:val="20"/>
          <w:color w:val="auto"/>
        </w:rPr>
      </w:pPr>
    </w:p>
    <w:p>
      <w:pPr>
        <w:ind w:right="140" w:firstLine="433"/>
        <w:spacing w:after="0" w:line="277" w:lineRule="auto"/>
        <w:rPr>
          <w:sz w:val="20"/>
          <w:szCs w:val="20"/>
          <w:color w:val="auto"/>
        </w:rPr>
      </w:pPr>
      <w:r>
        <w:rPr>
          <w:rFonts w:ascii="Arial" w:cs="Arial" w:eastAsia="Arial" w:hAnsi="Arial"/>
          <w:sz w:val="17"/>
          <w:szCs w:val="17"/>
          <w:b w:val="1"/>
          <w:bCs w:val="1"/>
          <w:color w:val="auto"/>
        </w:rPr>
        <w:t>Depreciation and Amortization—</w:t>
      </w:r>
      <w:r>
        <w:rPr>
          <w:rFonts w:ascii="Arial" w:cs="Arial" w:eastAsia="Arial" w:hAnsi="Arial"/>
          <w:sz w:val="17"/>
          <w:szCs w:val="17"/>
          <w:color w:val="auto"/>
        </w:rPr>
        <w:t>Depreciation and amortization expense increased as a result of the acquisition of new stores. We acquired 757 wholly-owned stores in the Life Storage Merger and an additional 7 wholly-owned stores during the nine months ended September 30, 2023 and a total of 153 stores during the year ended December 31, 2022.</w:t>
      </w: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80" w:right="239" w:bottom="1440" w:gutter="0" w:footer="0" w:header="0"/>
        </w:sectPr>
      </w:pPr>
    </w:p>
    <w:bookmarkStart w:id="37" w:name="page38"/>
    <w:bookmarkEnd w:id="37"/>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Revenues and Expenses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information about other revenues and expenses for the periods indicated:</w:t>
      </w:r>
    </w:p>
    <w:p>
      <w:pPr>
        <w:spacing w:after="0" w:line="1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For the Three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For the Nine Months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real estate transactions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2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(122,899)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(56,245)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(66,654)</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118.5 %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(289,370)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(146,249)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(143,121)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64"/>
        </w:trPr>
        <w:tc>
          <w:tcPr>
            <w:tcW w:w="2940" w:type="dxa"/>
            <w:vAlign w:val="bottom"/>
            <w:shd w:val="clear" w:color="auto" w:fill="CCEEFF"/>
          </w:tcPr>
          <w:p>
            <w:pPr>
              <w:ind w:left="20"/>
              <w:spacing w:after="0" w:line="164" w:lineRule="exact"/>
              <w:rPr>
                <w:sz w:val="20"/>
                <w:szCs w:val="20"/>
                <w:color w:val="auto"/>
              </w:rPr>
            </w:pPr>
            <w:r>
              <w:rPr>
                <w:rFonts w:ascii="Arial" w:cs="Arial" w:eastAsia="Arial" w:hAnsi="Arial"/>
                <w:sz w:val="16"/>
                <w:szCs w:val="16"/>
                <w:color w:val="auto"/>
              </w:rPr>
              <w:t>Non-cash interest expense related to</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amortization of discount on Life Storage</w:t>
            </w: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(8,228)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(8,228)</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(8,228)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(8,228)</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senior notes</w:t>
            </w: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22,092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18,125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3,967</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62,607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52,174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10,433</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64"/>
        </w:trPr>
        <w:tc>
          <w:tcPr>
            <w:tcW w:w="2940" w:type="dxa"/>
            <w:vAlign w:val="bottom"/>
            <w:shd w:val="clear" w:color="auto" w:fill="CCEEFF"/>
          </w:tcPr>
          <w:p>
            <w:pPr>
              <w:ind w:left="20"/>
              <w:spacing w:after="0" w:line="164" w:lineRule="exact"/>
              <w:rPr>
                <w:sz w:val="20"/>
                <w:szCs w:val="20"/>
                <w:color w:val="auto"/>
              </w:rPr>
            </w:pPr>
            <w:r>
              <w:rPr>
                <w:rFonts w:ascii="Arial" w:cs="Arial" w:eastAsia="Arial" w:hAnsi="Arial"/>
                <w:sz w:val="16"/>
                <w:szCs w:val="16"/>
                <w:color w:val="auto"/>
                <w:w w:val="92"/>
              </w:rPr>
              <w:t>Equity in earnings and dividend income from</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15,043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3,894</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34.9 %</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38,602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7"/>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unconsolidated real estate entities</w:t>
            </w: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28"/>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other revenues &amp; expenses, net</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(67,205)</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199.2 %</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(148,721)</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right="540" w:firstLine="433"/>
        <w:spacing w:after="0" w:line="297" w:lineRule="auto"/>
        <w:rPr>
          <w:sz w:val="20"/>
          <w:szCs w:val="20"/>
          <w:color w:val="auto"/>
        </w:rPr>
      </w:pPr>
      <w:r>
        <w:rPr>
          <w:rFonts w:ascii="Arial" w:cs="Arial" w:eastAsia="Arial" w:hAnsi="Arial"/>
          <w:sz w:val="17"/>
          <w:szCs w:val="17"/>
          <w:b w:val="1"/>
          <w:bCs w:val="1"/>
          <w:color w:val="auto"/>
        </w:rPr>
        <w:t>Gain on Real Estate Transactions—</w:t>
      </w:r>
      <w:r>
        <w:rPr>
          <w:rFonts w:ascii="Arial" w:cs="Arial" w:eastAsia="Arial" w:hAnsi="Arial"/>
          <w:sz w:val="17"/>
          <w:szCs w:val="17"/>
          <w:color w:val="auto"/>
        </w:rPr>
        <w:t>During the nine months ended September 30, 2022, we sold two stores. We recognized a total gain of $14,249</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the sale of these assets.</w:t>
      </w:r>
    </w:p>
    <w:p>
      <w:pPr>
        <w:spacing w:after="0" w:line="172" w:lineRule="exact"/>
        <w:rPr>
          <w:sz w:val="20"/>
          <w:szCs w:val="20"/>
          <w:color w:val="auto"/>
        </w:rPr>
      </w:pPr>
    </w:p>
    <w:p>
      <w:pPr>
        <w:ind w:right="140" w:firstLine="433"/>
        <w:spacing w:after="0" w:line="277" w:lineRule="auto"/>
        <w:rPr>
          <w:sz w:val="20"/>
          <w:szCs w:val="20"/>
          <w:color w:val="auto"/>
        </w:rPr>
      </w:pPr>
      <w:r>
        <w:rPr>
          <w:rFonts w:ascii="Arial" w:cs="Arial" w:eastAsia="Arial" w:hAnsi="Arial"/>
          <w:sz w:val="17"/>
          <w:szCs w:val="17"/>
          <w:b w:val="1"/>
          <w:bCs w:val="1"/>
          <w:color w:val="auto"/>
        </w:rPr>
        <w:t>Interest Expense—</w:t>
      </w:r>
      <w:r>
        <w:rPr>
          <w:rFonts w:ascii="Arial" w:cs="Arial" w:eastAsia="Arial" w:hAnsi="Arial"/>
          <w:sz w:val="17"/>
          <w:szCs w:val="17"/>
          <w:color w:val="auto"/>
        </w:rPr>
        <w:t>The increase in interest expense during the three and nine months ended September 30, 2023 was primarily the result of a higher debt</w:t>
      </w:r>
      <w:r>
        <w:rPr>
          <w:rFonts w:ascii="Arial" w:cs="Arial" w:eastAsia="Arial" w:hAnsi="Arial"/>
          <w:sz w:val="17"/>
          <w:szCs w:val="17"/>
          <w:b w:val="1"/>
          <w:bCs w:val="1"/>
          <w:color w:val="auto"/>
        </w:rPr>
        <w:t xml:space="preserve"> </w:t>
      </w:r>
      <w:r>
        <w:rPr>
          <w:rFonts w:ascii="Arial" w:cs="Arial" w:eastAsia="Arial" w:hAnsi="Arial"/>
          <w:sz w:val="17"/>
          <w:szCs w:val="17"/>
          <w:color w:val="auto"/>
        </w:rPr>
        <w:t>balance and higher weighted average interest rate compared to the same period in the prior year. The weighted average interest rate of the total of fixed- and variable-rate debt was 4.4% at September 30, 2023, compared to 3.6% at September 30, 2022.</w:t>
      </w:r>
    </w:p>
    <w:p>
      <w:pPr>
        <w:spacing w:after="0" w:line="176" w:lineRule="exact"/>
        <w:rPr>
          <w:sz w:val="20"/>
          <w:szCs w:val="20"/>
          <w:color w:val="auto"/>
        </w:rPr>
      </w:pPr>
    </w:p>
    <w:p>
      <w:pPr>
        <w:ind w:right="580" w:firstLine="433"/>
        <w:spacing w:after="0" w:line="313" w:lineRule="auto"/>
        <w:rPr>
          <w:sz w:val="20"/>
          <w:szCs w:val="20"/>
          <w:color w:val="auto"/>
        </w:rPr>
      </w:pPr>
      <w:r>
        <w:rPr>
          <w:rFonts w:ascii="Arial" w:cs="Arial" w:eastAsia="Arial" w:hAnsi="Arial"/>
          <w:sz w:val="16"/>
          <w:szCs w:val="16"/>
          <w:b w:val="1"/>
          <w:bCs w:val="1"/>
          <w:color w:val="auto"/>
        </w:rPr>
        <w:t>Non-cash Interest Expense Related to Amortization of Discount on Life Storage Unsecured Senior Notes—</w:t>
      </w:r>
      <w:r>
        <w:rPr>
          <w:rFonts w:ascii="Arial" w:cs="Arial" w:eastAsia="Arial" w:hAnsi="Arial"/>
          <w:sz w:val="16"/>
          <w:szCs w:val="16"/>
          <w:color w:val="auto"/>
        </w:rPr>
        <w:t>Represents the amortization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 assigned in order to present the fair value of the Life Storage unsecured senior notes assumed as part of the Life Storage Merger.</w:t>
      </w:r>
    </w:p>
    <w:p>
      <w:pPr>
        <w:spacing w:after="0" w:line="163" w:lineRule="exact"/>
        <w:rPr>
          <w:sz w:val="20"/>
          <w:szCs w:val="20"/>
          <w:color w:val="auto"/>
        </w:rPr>
      </w:pPr>
    </w:p>
    <w:p>
      <w:pPr>
        <w:ind w:right="160" w:firstLine="433"/>
        <w:spacing w:after="0" w:line="270" w:lineRule="auto"/>
        <w:rPr>
          <w:sz w:val="20"/>
          <w:szCs w:val="20"/>
          <w:color w:val="auto"/>
        </w:rPr>
      </w:pPr>
      <w:r>
        <w:rPr>
          <w:rFonts w:ascii="Arial" w:cs="Arial" w:eastAsia="Arial" w:hAnsi="Arial"/>
          <w:sz w:val="17"/>
          <w:szCs w:val="17"/>
          <w:b w:val="1"/>
          <w:bCs w:val="1"/>
          <w:color w:val="auto"/>
        </w:rPr>
        <w:t>Interest Income—</w:t>
      </w:r>
      <w:r>
        <w:rPr>
          <w:rFonts w:ascii="Arial" w:cs="Arial" w:eastAsia="Arial" w:hAnsi="Arial"/>
          <w:sz w:val="17"/>
          <w:szCs w:val="17"/>
          <w:color w:val="auto"/>
        </w:rPr>
        <w:t>Interest income represents interest earned on bridge loans, notes receivable, debt securities and on notes receivable from Common and</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Operating Partnership unit holders. The increase in interest income during the three and nine months ended September 30, 2023 was primarily the result of an increase in amount of bridge loans held combined with an increase in interest rates. The balance of bridge loans was $533,000 as of September 30, 2023, compared to $298,108 as of September 30, 2022.</w:t>
      </w:r>
    </w:p>
    <w:p>
      <w:pPr>
        <w:spacing w:after="0" w:line="196" w:lineRule="exact"/>
        <w:rPr>
          <w:sz w:val="20"/>
          <w:szCs w:val="20"/>
          <w:color w:val="auto"/>
        </w:rPr>
      </w:pPr>
    </w:p>
    <w:p>
      <w:pPr>
        <w:ind w:right="460" w:firstLine="433"/>
        <w:spacing w:after="0" w:line="267" w:lineRule="auto"/>
        <w:rPr>
          <w:sz w:val="20"/>
          <w:szCs w:val="20"/>
          <w:color w:val="auto"/>
        </w:rPr>
      </w:pPr>
      <w:r>
        <w:rPr>
          <w:rFonts w:ascii="Arial" w:cs="Arial" w:eastAsia="Arial" w:hAnsi="Arial"/>
          <w:sz w:val="17"/>
          <w:szCs w:val="17"/>
          <w:b w:val="1"/>
          <w:bCs w:val="1"/>
          <w:color w:val="auto"/>
        </w:rPr>
        <w:t>Equity in Earnings and Dividend Income from Unconsolidated Real Estate Entities—</w:t>
      </w:r>
      <w:r>
        <w:rPr>
          <w:rFonts w:ascii="Arial" w:cs="Arial" w:eastAsia="Arial" w:hAnsi="Arial"/>
          <w:sz w:val="17"/>
          <w:szCs w:val="17"/>
          <w:color w:val="auto"/>
        </w:rPr>
        <w:t>Equity in earnings of unconsolidated real estate entities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investment in preferred stock of SmartStop and Strategic Storage.</w:t>
      </w:r>
    </w:p>
    <w:p>
      <w:pPr>
        <w:spacing w:after="0" w:line="198" w:lineRule="exact"/>
        <w:rPr>
          <w:sz w:val="20"/>
          <w:szCs w:val="20"/>
          <w:color w:val="auto"/>
        </w:rPr>
      </w:pPr>
    </w:p>
    <w:p>
      <w:pPr>
        <w:ind w:right="600" w:firstLine="433"/>
        <w:spacing w:after="0" w:line="297"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color w:val="auto"/>
        </w:rPr>
        <w:t>—The increase in income tax expense for the three and nine months ended September 30, 2023 was primarily the result of an</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in book income and a decrease in permanent tax deductions related to stock awards.</w:t>
      </w: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8" w:name="page39"/>
    <w:bookmarkEnd w:id="38"/>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256"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99" w:lineRule="exact"/>
        <w:rPr>
          <w:sz w:val="20"/>
          <w:szCs w:val="20"/>
          <w:color w:val="auto"/>
        </w:rPr>
      </w:pPr>
    </w:p>
    <w:p>
      <w:pPr>
        <w:ind w:right="100" w:firstLine="433"/>
        <w:spacing w:after="0" w:line="290" w:lineRule="auto"/>
        <w:rPr>
          <w:sz w:val="20"/>
          <w:szCs w:val="20"/>
          <w:color w:val="auto"/>
        </w:rPr>
      </w:pPr>
      <w:r>
        <w:rPr>
          <w:rFonts w:ascii="Arial" w:cs="Arial" w:eastAsia="Arial" w:hAnsi="Arial"/>
          <w:sz w:val="16"/>
          <w:szCs w:val="16"/>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calculation of FFO for the periods indicated:</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380" w:type="dxa"/>
            <w:vAlign w:val="bottom"/>
            <w:gridSpan w:val="6"/>
          </w:tcPr>
          <w:p>
            <w:pPr>
              <w:spacing w:after="0"/>
              <w:rPr>
                <w:sz w:val="20"/>
                <w:szCs w:val="20"/>
                <w:color w:val="auto"/>
              </w:rPr>
            </w:pPr>
            <w:r>
              <w:rPr>
                <w:rFonts w:ascii="Arial" w:cs="Arial" w:eastAsia="Arial" w:hAnsi="Arial"/>
                <w:sz w:val="14"/>
                <w:szCs w:val="14"/>
                <w:b w:val="1"/>
                <w:bCs w:val="1"/>
                <w:color w:val="auto"/>
                <w:w w:val="91"/>
              </w:rPr>
              <w:t>For the Nine Months Ended September</w:t>
            </w:r>
          </w:p>
        </w:tc>
      </w:tr>
      <w:tr>
        <w:trPr>
          <w:trHeight w:val="188"/>
        </w:trPr>
        <w:tc>
          <w:tcPr>
            <w:tcW w:w="6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r>
      <w:tr>
        <w:trPr>
          <w:trHeight w:val="223"/>
        </w:trPr>
        <w:tc>
          <w:tcPr>
            <w:tcW w:w="6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attributable to common stockholders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220,719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587,064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656,428</w:t>
            </w:r>
          </w:p>
        </w:tc>
      </w:tr>
      <w:tr>
        <w:trPr>
          <w:trHeight w:val="249"/>
        </w:trPr>
        <w:tc>
          <w:tcPr>
            <w:tcW w:w="6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3"/>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Adjustments: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7"/>
                <w:szCs w:val="17"/>
                <w:color w:val="auto"/>
              </w:rPr>
              <w:t>Real estate depreciation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121,635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65,483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265,268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191,940</w:t>
            </w:r>
          </w:p>
        </w:tc>
      </w:tr>
      <w:tr>
        <w:trPr>
          <w:trHeight w:val="223"/>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8,741</w:t>
            </w:r>
          </w:p>
        </w:tc>
      </w:tr>
      <w:tr>
        <w:trPr>
          <w:trHeight w:val="223"/>
        </w:trPr>
        <w:tc>
          <w:tcPr>
            <w:tcW w:w="6100" w:type="dxa"/>
            <w:vAlign w:val="bottom"/>
          </w:tcPr>
          <w:p>
            <w:pPr>
              <w:spacing w:after="0"/>
              <w:rPr>
                <w:sz w:val="20"/>
                <w:szCs w:val="20"/>
                <w:color w:val="auto"/>
              </w:rPr>
            </w:pPr>
            <w:r>
              <w:rPr>
                <w:rFonts w:ascii="Arial" w:cs="Arial" w:eastAsia="Arial" w:hAnsi="Arial"/>
                <w:sz w:val="17"/>
                <w:szCs w:val="17"/>
                <w:color w:val="auto"/>
              </w:rPr>
              <w:t>Gain on real estate transactions</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(14,249)</w:t>
            </w:r>
          </w:p>
        </w:tc>
      </w:tr>
      <w:tr>
        <w:trPr>
          <w:trHeight w:val="223"/>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Unconsolidated joint venture real estate depreciation and amortization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12,349</w:t>
            </w:r>
          </w:p>
        </w:tc>
      </w:tr>
      <w:tr>
        <w:trPr>
          <w:trHeight w:val="223"/>
        </w:trPr>
        <w:tc>
          <w:tcPr>
            <w:tcW w:w="6100" w:type="dxa"/>
            <w:vAlign w:val="bottom"/>
          </w:tcPr>
          <w:p>
            <w:pPr>
              <w:spacing w:after="0"/>
              <w:rPr>
                <w:sz w:val="20"/>
                <w:szCs w:val="20"/>
                <w:color w:val="auto"/>
              </w:rPr>
            </w:pPr>
            <w:r>
              <w:rPr>
                <w:rFonts w:ascii="Arial" w:cs="Arial" w:eastAsia="Arial" w:hAnsi="Arial"/>
                <w:sz w:val="17"/>
                <w:szCs w:val="17"/>
                <w:color w:val="auto"/>
              </w:rPr>
              <w:t>Distributions paid on Series A Preferred Operating Partnership units</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(1,716)</w:t>
            </w:r>
          </w:p>
        </w:tc>
      </w:tr>
      <w:tr>
        <w:trPr>
          <w:trHeight w:val="223"/>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Income allocated to Operating Partnership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15,407</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35,982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45,249</w:t>
            </w:r>
          </w:p>
        </w:tc>
      </w:tr>
      <w:tr>
        <w:trPr>
          <w:trHeight w:val="216"/>
        </w:trPr>
        <w:tc>
          <w:tcPr>
            <w:tcW w:w="6100" w:type="dxa"/>
            <w:vAlign w:val="bottom"/>
          </w:tcPr>
          <w:p>
            <w:pPr>
              <w:spacing w:after="0"/>
              <w:rPr>
                <w:sz w:val="20"/>
                <w:szCs w:val="20"/>
                <w:color w:val="auto"/>
              </w:rPr>
            </w:pPr>
            <w:r>
              <w:rPr>
                <w:rFonts w:ascii="Arial" w:cs="Arial" w:eastAsia="Arial" w:hAnsi="Arial"/>
                <w:sz w:val="17"/>
                <w:szCs w:val="17"/>
                <w:b w:val="1"/>
                <w:bCs w:val="1"/>
                <w:color w:val="auto"/>
                <w:w w:val="97"/>
              </w:rPr>
              <w:t>Funds from operations attributable to common stockholders and unit holders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348,459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308,697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933,563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898,742</w:t>
            </w: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SAME-STORE RESULTS</w:t>
      </w:r>
    </w:p>
    <w:p>
      <w:pPr>
        <w:spacing w:after="0" w:line="256" w:lineRule="exact"/>
        <w:rPr>
          <w:sz w:val="20"/>
          <w:szCs w:val="20"/>
          <w:color w:val="auto"/>
        </w:rPr>
      </w:pPr>
    </w:p>
    <w:p>
      <w:pPr>
        <w:ind w:right="320" w:firstLine="433"/>
        <w:spacing w:after="0" w:line="279" w:lineRule="auto"/>
        <w:rPr>
          <w:sz w:val="20"/>
          <w:szCs w:val="20"/>
          <w:color w:val="auto"/>
        </w:rPr>
      </w:pPr>
      <w:r>
        <w:rPr>
          <w:rFonts w:ascii="Arial" w:cs="Arial" w:eastAsia="Arial" w:hAnsi="Arial"/>
          <w:sz w:val="16"/>
          <w:szCs w:val="16"/>
          <w:color w:val="auto"/>
        </w:rPr>
        <w:t>Our same-store pool for the periods presented consists of 914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tbl>
      <w:tblPr>
        <w:tblLayout w:type="fixed"/>
        <w:tblInd w:w="440" w:type="dxa"/>
        <w:tblCellMar>
          <w:top w:w="0" w:type="dxa"/>
          <w:left w:w="0" w:type="dxa"/>
          <w:bottom w:w="0" w:type="dxa"/>
          <w:right w:w="0" w:type="dxa"/>
        </w:tblCellMar>
      </w:tblPr>
      <w:tr>
        <w:trPr>
          <w:trHeight w:val="145"/>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5"/>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For the Three Months Ended</w:t>
            </w: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2"/>
                <w:szCs w:val="12"/>
                <w:color w:val="auto"/>
              </w:rPr>
            </w:pPr>
          </w:p>
        </w:tc>
        <w:tc>
          <w:tcPr>
            <w:tcW w:w="2100" w:type="dxa"/>
            <w:vAlign w:val="bottom"/>
            <w:gridSpan w:val="5"/>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For the Nine Months Ended</w:t>
            </w:r>
          </w:p>
        </w:tc>
        <w:tc>
          <w:tcPr>
            <w:tcW w:w="11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3"/>
              </w:rPr>
              <w:t>2023</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1140" w:type="dxa"/>
            <w:vAlign w:val="bottom"/>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Same-store rental revenues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80"/>
              <w:spacing w:after="0"/>
              <w:rPr>
                <w:sz w:val="20"/>
                <w:szCs w:val="20"/>
                <w:color w:val="auto"/>
              </w:rPr>
            </w:pPr>
            <w:r>
              <w:rPr>
                <w:rFonts w:ascii="Arial" w:cs="Arial" w:eastAsia="Arial" w:hAnsi="Arial"/>
                <w:sz w:val="17"/>
                <w:szCs w:val="17"/>
                <w:color w:val="auto"/>
              </w:rPr>
              <w:t>Net rental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382,006</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376,268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1.5 %</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1,127,481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1,088,337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3.6 %</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operating income</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14,370</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10.9 %</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44,012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39,322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11.9 %</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7"/>
                <w:szCs w:val="17"/>
                <w:color w:val="auto"/>
              </w:rPr>
              <w:t>Total same-store rental revenues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397,946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390,638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1,171,493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5"/>
              </w:rPr>
              <w:t>1,127,659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3.9 %</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180"/>
              <w:spacing w:after="0"/>
              <w:rPr>
                <w:sz w:val="20"/>
                <w:szCs w:val="20"/>
                <w:color w:val="auto"/>
              </w:rPr>
            </w:pPr>
            <w:r>
              <w:rPr>
                <w:rFonts w:ascii="Arial" w:cs="Arial" w:eastAsia="Arial" w:hAnsi="Arial"/>
                <w:sz w:val="17"/>
                <w:szCs w:val="17"/>
                <w:color w:val="auto"/>
              </w:rPr>
              <w:t>Same-store operating expenses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Payroll and benefits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63,233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61,955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223"/>
        </w:trPr>
        <w:tc>
          <w:tcPr>
            <w:tcW w:w="3900" w:type="dxa"/>
            <w:vAlign w:val="bottom"/>
          </w:tcPr>
          <w:p>
            <w:pPr>
              <w:ind w:left="280"/>
              <w:spacing w:after="0"/>
              <w:rPr>
                <w:sz w:val="20"/>
                <w:szCs w:val="20"/>
                <w:color w:val="auto"/>
              </w:rPr>
            </w:pPr>
            <w:r>
              <w:rPr>
                <w:rFonts w:ascii="Arial" w:cs="Arial" w:eastAsia="Arial" w:hAnsi="Arial"/>
                <w:sz w:val="17"/>
                <w:szCs w:val="17"/>
                <w:color w:val="auto"/>
              </w:rPr>
              <w:t>Marketing</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5,793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20.3 %</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19,841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17,481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13.5 %</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Office expense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6.8 %</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33,307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8.4 %</w:t>
            </w:r>
          </w:p>
        </w:tc>
        <w:tc>
          <w:tcPr>
            <w:tcW w:w="0" w:type="dxa"/>
            <w:vAlign w:val="bottom"/>
          </w:tcPr>
          <w:p>
            <w:pPr>
              <w:spacing w:after="0"/>
              <w:rPr>
                <w:sz w:val="1"/>
                <w:szCs w:val="1"/>
                <w:color w:val="auto"/>
              </w:rPr>
            </w:pPr>
          </w:p>
        </w:tc>
      </w:tr>
      <w:tr>
        <w:trPr>
          <w:trHeight w:val="223"/>
        </w:trPr>
        <w:tc>
          <w:tcPr>
            <w:tcW w:w="3900" w:type="dxa"/>
            <w:vAlign w:val="bottom"/>
          </w:tcPr>
          <w:p>
            <w:pPr>
              <w:ind w:left="280"/>
              <w:spacing w:after="0"/>
              <w:rPr>
                <w:sz w:val="20"/>
                <w:szCs w:val="20"/>
                <w:color w:val="auto"/>
              </w:rPr>
            </w:pPr>
            <w:r>
              <w:rPr>
                <w:rFonts w:ascii="Arial" w:cs="Arial" w:eastAsia="Arial" w:hAnsi="Arial"/>
                <w:sz w:val="17"/>
                <w:szCs w:val="17"/>
                <w:color w:val="auto"/>
              </w:rPr>
              <w:t>Property operating expense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8,935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8,786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1.7 %</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26,712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25,643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4.2 %</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Repairs and maintenance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23"/>
        </w:trPr>
        <w:tc>
          <w:tcPr>
            <w:tcW w:w="3900" w:type="dxa"/>
            <w:vAlign w:val="bottom"/>
          </w:tcPr>
          <w:p>
            <w:pPr>
              <w:ind w:left="280"/>
              <w:spacing w:after="0"/>
              <w:rPr>
                <w:sz w:val="20"/>
                <w:szCs w:val="20"/>
                <w:color w:val="auto"/>
              </w:rPr>
            </w:pPr>
            <w:r>
              <w:rPr>
                <w:rFonts w:ascii="Arial" w:cs="Arial" w:eastAsia="Arial" w:hAnsi="Arial"/>
                <w:sz w:val="17"/>
                <w:szCs w:val="17"/>
                <w:color w:val="auto"/>
              </w:rPr>
              <w:t>Property taxes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36,229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4.9 %</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106,633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104,594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Insurance</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30.6 %</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9,311</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33.8 %</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7"/>
                <w:szCs w:val="17"/>
                <w:color w:val="auto"/>
              </w:rPr>
              <w:t>Total same-store operating expenses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98,313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93,034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282,931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271,894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4.1 %</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7"/>
                <w:szCs w:val="17"/>
                <w:color w:val="auto"/>
              </w:rPr>
              <w:t>Same-store net 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299,633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297,604</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0.7 %</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888,562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855,765</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3.8 %</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180"/>
              <w:spacing w:after="0"/>
              <w:rPr>
                <w:sz w:val="20"/>
                <w:szCs w:val="20"/>
                <w:color w:val="auto"/>
              </w:rPr>
            </w:pPr>
            <w:r>
              <w:rPr>
                <w:rFonts w:ascii="Arial" w:cs="Arial" w:eastAsia="Arial" w:hAnsi="Arial"/>
                <w:sz w:val="17"/>
                <w:szCs w:val="17"/>
                <w:color w:val="auto"/>
                <w:w w:val="93"/>
              </w:rPr>
              <w:t>Same-store square foot occupancy as of quarter end</w:t>
            </w:r>
          </w:p>
        </w:tc>
        <w:tc>
          <w:tcPr>
            <w:tcW w:w="180" w:type="dxa"/>
            <w:vAlign w:val="bottom"/>
          </w:tcPr>
          <w:p>
            <w:pPr>
              <w:spacing w:after="0"/>
              <w:rPr>
                <w:sz w:val="19"/>
                <w:szCs w:val="19"/>
                <w:color w:val="auto"/>
              </w:rPr>
            </w:pPr>
          </w:p>
        </w:tc>
        <w:tc>
          <w:tcPr>
            <w:tcW w:w="880" w:type="dxa"/>
            <w:vAlign w:val="bottom"/>
          </w:tcPr>
          <w:p>
            <w:pPr>
              <w:jc w:val="center"/>
              <w:ind w:right="96"/>
              <w:spacing w:after="0"/>
              <w:rPr>
                <w:sz w:val="20"/>
                <w:szCs w:val="20"/>
                <w:color w:val="auto"/>
              </w:rPr>
            </w:pPr>
            <w:r>
              <w:rPr>
                <w:rFonts w:ascii="Arial" w:cs="Arial" w:eastAsia="Arial" w:hAnsi="Arial"/>
                <w:sz w:val="17"/>
                <w:szCs w:val="17"/>
                <w:color w:val="auto"/>
                <w:w w:val="95"/>
              </w:rPr>
              <w:t>94.1%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ind w:right="114"/>
              <w:spacing w:after="0"/>
              <w:rPr>
                <w:sz w:val="20"/>
                <w:szCs w:val="20"/>
                <w:color w:val="auto"/>
              </w:rPr>
            </w:pPr>
            <w:r>
              <w:rPr>
                <w:rFonts w:ascii="Arial" w:cs="Arial" w:eastAsia="Arial" w:hAnsi="Arial"/>
                <w:sz w:val="17"/>
                <w:szCs w:val="17"/>
                <w:color w:val="auto"/>
                <w:w w:val="95"/>
              </w:rPr>
              <w:t>95.1%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right="116"/>
              <w:spacing w:after="0"/>
              <w:rPr>
                <w:sz w:val="20"/>
                <w:szCs w:val="20"/>
                <w:color w:val="auto"/>
              </w:rPr>
            </w:pPr>
            <w:r>
              <w:rPr>
                <w:rFonts w:ascii="Arial" w:cs="Arial" w:eastAsia="Arial" w:hAnsi="Arial"/>
                <w:sz w:val="17"/>
                <w:szCs w:val="17"/>
                <w:color w:val="auto"/>
                <w:w w:val="91"/>
              </w:rPr>
              <w:t>94.1%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74"/>
              <w:spacing w:after="0"/>
              <w:rPr>
                <w:sz w:val="20"/>
                <w:szCs w:val="20"/>
                <w:color w:val="auto"/>
              </w:rPr>
            </w:pPr>
            <w:r>
              <w:rPr>
                <w:rFonts w:ascii="Arial" w:cs="Arial" w:eastAsia="Arial" w:hAnsi="Arial"/>
                <w:sz w:val="17"/>
                <w:szCs w:val="17"/>
                <w:color w:val="auto"/>
                <w:w w:val="91"/>
              </w:rPr>
              <w:t>95.1%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Properties included in same-store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96"/>
              <w:spacing w:after="0"/>
              <w:rPr>
                <w:sz w:val="20"/>
                <w:szCs w:val="20"/>
                <w:color w:val="auto"/>
              </w:rPr>
            </w:pPr>
            <w:r>
              <w:rPr>
                <w:rFonts w:ascii="Arial" w:cs="Arial" w:eastAsia="Arial" w:hAnsi="Arial"/>
                <w:sz w:val="17"/>
                <w:szCs w:val="17"/>
                <w:color w:val="auto"/>
                <w:w w:val="91"/>
              </w:rPr>
              <w:t>914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w w:val="91"/>
              </w:rPr>
              <w:t>914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96"/>
              <w:spacing w:after="0"/>
              <w:rPr>
                <w:sz w:val="20"/>
                <w:szCs w:val="20"/>
                <w:color w:val="auto"/>
              </w:rPr>
            </w:pPr>
            <w:r>
              <w:rPr>
                <w:rFonts w:ascii="Arial" w:cs="Arial" w:eastAsia="Arial" w:hAnsi="Arial"/>
                <w:sz w:val="17"/>
                <w:szCs w:val="17"/>
                <w:color w:val="auto"/>
                <w:w w:val="91"/>
              </w:rPr>
              <w:t>914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54"/>
              <w:spacing w:after="0"/>
              <w:rPr>
                <w:sz w:val="20"/>
                <w:szCs w:val="20"/>
                <w:color w:val="auto"/>
              </w:rPr>
            </w:pPr>
            <w:r>
              <w:rPr>
                <w:rFonts w:ascii="Arial" w:cs="Arial" w:eastAsia="Arial" w:hAnsi="Arial"/>
                <w:sz w:val="17"/>
                <w:szCs w:val="17"/>
                <w:color w:val="auto"/>
                <w:w w:val="91"/>
              </w:rPr>
              <w:t>914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80" w:right="239" w:bottom="1440" w:gutter="0" w:footer="0" w:header="0"/>
        </w:sectPr>
      </w:pPr>
    </w:p>
    <w:bookmarkStart w:id="40" w:name="page41"/>
    <w:bookmarkEnd w:id="40"/>
    <w:p>
      <w:pPr>
        <w:spacing w:after="0" w:line="51"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The following table presents a reconciliation of same-store net operating income to net income as presented on our condensed consolidated statements of operations for the periods indicated:</w:t>
      </w:r>
    </w:p>
    <w:tbl>
      <w:tblPr>
        <w:tblLayout w:type="fixed"/>
        <w:tblInd w:w="0" w:type="dxa"/>
        <w:tblCellMar>
          <w:top w:w="0" w:type="dxa"/>
          <w:left w:w="0" w:type="dxa"/>
          <w:bottom w:w="0" w:type="dxa"/>
          <w:right w:w="0" w:type="dxa"/>
        </w:tblCellMar>
      </w:tblPr>
      <w:tr>
        <w:trPr>
          <w:trHeight w:val="145"/>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5"/>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For the Three Months Ended September</w:t>
            </w:r>
          </w:p>
        </w:tc>
        <w:tc>
          <w:tcPr>
            <w:tcW w:w="2500" w:type="dxa"/>
            <w:vAlign w:val="bottom"/>
            <w:gridSpan w:val="5"/>
          </w:tcPr>
          <w:p>
            <w:pPr>
              <w:jc w:val="center"/>
              <w:spacing w:after="0" w:line="145" w:lineRule="exact"/>
              <w:rPr>
                <w:sz w:val="20"/>
                <w:szCs w:val="20"/>
                <w:color w:val="auto"/>
              </w:rPr>
            </w:pPr>
            <w:r>
              <w:rPr>
                <w:rFonts w:ascii="Arial" w:cs="Arial" w:eastAsia="Arial" w:hAnsi="Arial"/>
                <w:sz w:val="14"/>
                <w:szCs w:val="14"/>
                <w:b w:val="1"/>
                <w:bCs w:val="1"/>
                <w:color w:val="auto"/>
                <w:w w:val="90"/>
              </w:rPr>
              <w:t>For the Nine Months Ended September</w:t>
            </w:r>
          </w:p>
        </w:tc>
      </w:tr>
      <w:tr>
        <w:trPr>
          <w:trHeight w:val="188"/>
        </w:trPr>
        <w:tc>
          <w:tcPr>
            <w:tcW w:w="5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8"/>
        </w:trPr>
        <w:tc>
          <w:tcPr>
            <w:tcW w:w="5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198,856</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236,126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623,046</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701,677</w:t>
            </w:r>
          </w:p>
        </w:tc>
      </w:tr>
      <w:tr>
        <w:trPr>
          <w:trHeight w:val="223"/>
        </w:trPr>
        <w:tc>
          <w:tcPr>
            <w:tcW w:w="5560" w:type="dxa"/>
            <w:vAlign w:val="bottom"/>
          </w:tcPr>
          <w:p>
            <w:pPr>
              <w:ind w:left="140"/>
              <w:spacing w:after="0"/>
              <w:rPr>
                <w:sz w:val="20"/>
                <w:szCs w:val="20"/>
                <w:color w:val="auto"/>
              </w:rPr>
            </w:pPr>
            <w:r>
              <w:rPr>
                <w:rFonts w:ascii="Arial" w:cs="Arial" w:eastAsia="Arial" w:hAnsi="Arial"/>
                <w:sz w:val="17"/>
                <w:szCs w:val="17"/>
                <w:color w:val="auto"/>
              </w:rPr>
              <w:t>Adjusted to exclude: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real estate transactions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(14,249)</w:t>
            </w:r>
          </w:p>
        </w:tc>
      </w:tr>
      <w:tr>
        <w:trPr>
          <w:trHeight w:val="171"/>
        </w:trPr>
        <w:tc>
          <w:tcPr>
            <w:tcW w:w="5560" w:type="dxa"/>
            <w:vAlign w:val="bottom"/>
          </w:tcPr>
          <w:p>
            <w:pPr>
              <w:ind w:left="220"/>
              <w:spacing w:after="0" w:line="172" w:lineRule="exact"/>
              <w:rPr>
                <w:sz w:val="20"/>
                <w:szCs w:val="20"/>
                <w:color w:val="auto"/>
              </w:rPr>
            </w:pPr>
            <w:r>
              <w:rPr>
                <w:rFonts w:ascii="Arial" w:cs="Arial" w:eastAsia="Arial" w:hAnsi="Arial"/>
                <w:sz w:val="17"/>
                <w:szCs w:val="17"/>
                <w:color w:val="auto"/>
                <w:w w:val="98"/>
              </w:rPr>
              <w:t>Equity in earnings and dividend income from unconsolidated real estate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5"/>
        </w:trPr>
        <w:tc>
          <w:tcPr>
            <w:tcW w:w="5560" w:type="dxa"/>
            <w:vAlign w:val="bottom"/>
          </w:tcPr>
          <w:p>
            <w:pPr>
              <w:ind w:left="220"/>
              <w:spacing w:after="0"/>
              <w:rPr>
                <w:sz w:val="20"/>
                <w:szCs w:val="20"/>
                <w:color w:val="auto"/>
              </w:rPr>
            </w:pPr>
            <w:r>
              <w:rPr>
                <w:rFonts w:ascii="Arial" w:cs="Arial" w:eastAsia="Arial" w:hAnsi="Arial"/>
                <w:sz w:val="17"/>
                <w:szCs w:val="17"/>
                <w:color w:val="auto"/>
              </w:rPr>
              <w:t>entities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(15,043)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(11,149)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(38,602)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(30,436)</w:t>
            </w:r>
          </w:p>
        </w:tc>
      </w:tr>
      <w:tr>
        <w:trPr>
          <w:trHeight w:val="223"/>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122,899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56,245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289,370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146,249</w:t>
            </w:r>
          </w:p>
        </w:tc>
      </w:tr>
      <w:tr>
        <w:trPr>
          <w:trHeight w:val="171"/>
        </w:trPr>
        <w:tc>
          <w:tcPr>
            <w:tcW w:w="5560" w:type="dxa"/>
            <w:vAlign w:val="bottom"/>
          </w:tcPr>
          <w:p>
            <w:pPr>
              <w:ind w:left="220"/>
              <w:spacing w:after="0" w:line="172" w:lineRule="exact"/>
              <w:rPr>
                <w:sz w:val="20"/>
                <w:szCs w:val="20"/>
                <w:color w:val="auto"/>
              </w:rPr>
            </w:pPr>
            <w:r>
              <w:rPr>
                <w:rFonts w:ascii="Arial" w:cs="Arial" w:eastAsia="Arial" w:hAnsi="Arial"/>
                <w:sz w:val="17"/>
                <w:szCs w:val="17"/>
                <w:color w:val="auto"/>
              </w:rPr>
              <w:t>Non-cash interest expense related to amortization of discount on Life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5"/>
        </w:trPr>
        <w:tc>
          <w:tcPr>
            <w:tcW w:w="5560" w:type="dxa"/>
            <w:vAlign w:val="bottom"/>
          </w:tcPr>
          <w:p>
            <w:pPr>
              <w:ind w:left="220"/>
              <w:spacing w:after="0"/>
              <w:rPr>
                <w:sz w:val="20"/>
                <w:szCs w:val="20"/>
                <w:color w:val="auto"/>
              </w:rPr>
            </w:pPr>
            <w:r>
              <w:rPr>
                <w:rFonts w:ascii="Arial" w:cs="Arial" w:eastAsia="Arial" w:hAnsi="Arial"/>
                <w:sz w:val="17"/>
                <w:szCs w:val="17"/>
                <w:color w:val="auto"/>
              </w:rPr>
              <w:t>Storage unsecured senior notes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8,228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8,228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152,338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71,423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309,914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208,396</w:t>
            </w:r>
          </w:p>
        </w:tc>
      </w:tr>
      <w:tr>
        <w:trPr>
          <w:trHeight w:val="223"/>
        </w:trPr>
        <w:tc>
          <w:tcPr>
            <w:tcW w:w="5560" w:type="dxa"/>
            <w:vAlign w:val="bottom"/>
          </w:tcPr>
          <w:p>
            <w:pPr>
              <w:ind w:left="220"/>
              <w:spacing w:after="0"/>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6,944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15,516</w:t>
            </w:r>
          </w:p>
        </w:tc>
      </w:tr>
      <w:tr>
        <w:trPr>
          <w:trHeight w:val="223"/>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Transaction costs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w:t>
            </w:r>
          </w:p>
        </w:tc>
      </w:tr>
      <w:tr>
        <w:trPr>
          <w:trHeight w:val="223"/>
        </w:trPr>
        <w:tc>
          <w:tcPr>
            <w:tcW w:w="5560" w:type="dxa"/>
            <w:vAlign w:val="bottom"/>
          </w:tcPr>
          <w:p>
            <w:pPr>
              <w:ind w:left="220"/>
              <w:spacing w:after="0"/>
              <w:rPr>
                <w:sz w:val="20"/>
                <w:szCs w:val="20"/>
                <w:color w:val="auto"/>
              </w:rPr>
            </w:pPr>
            <w:r>
              <w:rPr>
                <w:rFonts w:ascii="Arial" w:cs="Arial" w:eastAsia="Arial" w:hAnsi="Arial"/>
                <w:sz w:val="17"/>
                <w:szCs w:val="17"/>
                <w:color w:val="auto"/>
              </w:rPr>
              <w:t>Life Storage Merger transition costs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54,174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54,174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37,406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107,011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93,288</w:t>
            </w:r>
          </w:p>
        </w:tc>
      </w:tr>
      <w:tr>
        <w:trPr>
          <w:trHeight w:val="223"/>
        </w:trPr>
        <w:tc>
          <w:tcPr>
            <w:tcW w:w="5560" w:type="dxa"/>
            <w:vAlign w:val="bottom"/>
          </w:tcPr>
          <w:p>
            <w:pPr>
              <w:ind w:left="220"/>
              <w:spacing w:after="0"/>
              <w:rPr>
                <w:sz w:val="20"/>
                <w:szCs w:val="20"/>
                <w:color w:val="auto"/>
              </w:rPr>
            </w:pPr>
            <w:r>
              <w:rPr>
                <w:rFonts w:ascii="Arial" w:cs="Arial" w:eastAsia="Arial" w:hAnsi="Arial"/>
                <w:sz w:val="17"/>
                <w:szCs w:val="17"/>
                <w:color w:val="auto"/>
              </w:rPr>
              <w:t>Management fees, other income and interest income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(50,111)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(40,371)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(134,216)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(114,894)</w:t>
            </w:r>
          </w:p>
        </w:tc>
      </w:tr>
      <w:tr>
        <w:trPr>
          <w:trHeight w:val="223"/>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tenant insurance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(49,998)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(37,099)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(127,564)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(112,744)</w:t>
            </w:r>
          </w:p>
        </w:tc>
      </w:tr>
      <w:tr>
        <w:trPr>
          <w:trHeight w:val="223"/>
        </w:trPr>
        <w:tc>
          <w:tcPr>
            <w:tcW w:w="5560" w:type="dxa"/>
            <w:vAlign w:val="bottom"/>
          </w:tcPr>
          <w:p>
            <w:pPr>
              <w:ind w:left="220"/>
              <w:spacing w:after="0"/>
              <w:rPr>
                <w:sz w:val="20"/>
                <w:szCs w:val="20"/>
                <w:color w:val="auto"/>
              </w:rPr>
            </w:pPr>
            <w:r>
              <w:rPr>
                <w:rFonts w:ascii="Arial" w:cs="Arial" w:eastAsia="Arial" w:hAnsi="Arial"/>
                <w:sz w:val="17"/>
                <w:szCs w:val="17"/>
                <w:color w:val="auto"/>
              </w:rPr>
              <w:t>Non same-store rental revenue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(252,941)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(38,149)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(354,103)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(88,980)</w:t>
            </w:r>
          </w:p>
        </w:tc>
      </w:tr>
      <w:tr>
        <w:trPr>
          <w:trHeight w:val="223"/>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 same-store operating expense</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86,881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21,543</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134,066</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50,477</w:t>
            </w:r>
          </w:p>
        </w:tc>
      </w:tr>
      <w:tr>
        <w:trPr>
          <w:trHeight w:val="216"/>
        </w:trPr>
        <w:tc>
          <w:tcPr>
            <w:tcW w:w="5560" w:type="dxa"/>
            <w:vAlign w:val="bottom"/>
          </w:tcPr>
          <w:p>
            <w:pPr>
              <w:ind w:left="20"/>
              <w:spacing w:after="0"/>
              <w:rPr>
                <w:sz w:val="20"/>
                <w:szCs w:val="20"/>
                <w:color w:val="auto"/>
              </w:rPr>
            </w:pPr>
            <w:r>
              <w:rPr>
                <w:rFonts w:ascii="Arial" w:cs="Arial" w:eastAsia="Arial" w:hAnsi="Arial"/>
                <w:sz w:val="17"/>
                <w:szCs w:val="17"/>
                <w:b w:val="1"/>
                <w:bCs w:val="1"/>
                <w:color w:val="auto"/>
              </w:rPr>
              <w:t>Total same-store net operating income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299,633</w:t>
            </w: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297,604</w:t>
            </w:r>
          </w:p>
        </w:tc>
        <w:tc>
          <w:tcPr>
            <w:tcW w:w="220" w:type="dxa"/>
            <w:vAlign w:val="bottom"/>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888,562</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855,765</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5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7"/>
                <w:szCs w:val="17"/>
                <w:color w:val="auto"/>
              </w:rPr>
              <w:t>Same-store rental 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397,946</w:t>
            </w: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390,638</w:t>
            </w:r>
          </w:p>
        </w:tc>
        <w:tc>
          <w:tcPr>
            <w:tcW w:w="22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1,171,493</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1,127,659</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Same-store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98,313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93,034</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282,931</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271,894</w:t>
            </w:r>
          </w:p>
        </w:tc>
      </w:tr>
      <w:tr>
        <w:trPr>
          <w:trHeight w:val="216"/>
        </w:trPr>
        <w:tc>
          <w:tcPr>
            <w:tcW w:w="5560" w:type="dxa"/>
            <w:vAlign w:val="bottom"/>
          </w:tcPr>
          <w:p>
            <w:pPr>
              <w:ind w:left="20"/>
              <w:spacing w:after="0"/>
              <w:rPr>
                <w:sz w:val="20"/>
                <w:szCs w:val="20"/>
                <w:color w:val="auto"/>
              </w:rPr>
            </w:pPr>
            <w:r>
              <w:rPr>
                <w:rFonts w:ascii="Arial" w:cs="Arial" w:eastAsia="Arial" w:hAnsi="Arial"/>
                <w:sz w:val="17"/>
                <w:szCs w:val="17"/>
                <w:color w:val="auto"/>
              </w:rPr>
              <w:t>Same-store net operating income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299,633</w:t>
            </w: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297,604</w:t>
            </w:r>
          </w:p>
        </w:tc>
        <w:tc>
          <w:tcPr>
            <w:tcW w:w="220" w:type="dxa"/>
            <w:vAlign w:val="bottom"/>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888,562</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855,765</w:t>
            </w:r>
          </w:p>
        </w:tc>
      </w:tr>
      <w:tr>
        <w:trPr>
          <w:trHeight w:val="20"/>
        </w:trPr>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CASH FLOWS</w:t>
      </w:r>
    </w:p>
    <w:p>
      <w:pPr>
        <w:spacing w:after="0" w:line="256"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Cash flows from operating activities for the nine months ended September 30, 2023 increased when compared to the same period in the prior year.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0"/>
              </w:rPr>
              <w:t>For the Nine Months Ended September 30,</w:t>
            </w:r>
          </w:p>
        </w:tc>
      </w:tr>
      <w:tr>
        <w:trPr>
          <w:trHeight w:val="24"/>
        </w:trPr>
        <w:tc>
          <w:tcPr>
            <w:tcW w:w="8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8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1,037,959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948,021</w:t>
            </w:r>
          </w:p>
        </w:tc>
      </w:tr>
      <w:tr>
        <w:trPr>
          <w:trHeight w:val="223"/>
        </w:trPr>
        <w:tc>
          <w:tcPr>
            <w:tcW w:w="83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(1,636,052)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(1,242,254)</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312,393</w:t>
            </w:r>
          </w:p>
        </w:tc>
      </w:tr>
      <w:tr>
        <w:trPr>
          <w:trHeight w:val="262"/>
        </w:trPr>
        <w:tc>
          <w:tcPr>
            <w:tcW w:w="8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Significant components of net cash flow included: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623,046</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701,677</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208,396</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Accounts payable and accrued expenses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134,310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48,898</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real estate transactions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(14,249)</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Acquisition and development of real estate assets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(263,866)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(1,156,429)</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Life Storage Merger, net of cash acquired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(1,247,407)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Cash paid for business combination</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(157,301)</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sale of real estate assets and investments in real estate ventures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39,367</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Investment in unconsolidated real estate entities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(179,258)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(102,670)</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Issuance and purchase of notes receivable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(314,542)</w:t>
            </w:r>
          </w:p>
        </w:tc>
      </w:tr>
      <w:tr>
        <w:trPr>
          <w:trHeight w:val="223"/>
        </w:trPr>
        <w:tc>
          <w:tcPr>
            <w:tcW w:w="8380" w:type="dxa"/>
            <w:vAlign w:val="bottom"/>
          </w:tcPr>
          <w:p>
            <w:pPr>
              <w:ind w:left="240"/>
              <w:spacing w:after="0"/>
              <w:rPr>
                <w:sz w:val="20"/>
                <w:szCs w:val="20"/>
                <w:color w:val="auto"/>
              </w:rPr>
            </w:pPr>
            <w:r>
              <w:rPr>
                <w:rFonts w:ascii="Arial" w:cs="Arial" w:eastAsia="Arial" w:hAnsi="Arial"/>
                <w:sz w:val="17"/>
                <w:szCs w:val="17"/>
                <w:color w:val="auto"/>
              </w:rPr>
              <w:t>Proceeds from sale of notes receivable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134,064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203,695</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payments received from notes receivable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264,774</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Proceeds from notes payable and revolving lines of credit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5,194,665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3,983,865</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payments on notes payable and revolving lines of credit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(4,617,755)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(3,341,881)</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Proceeds from issuance of public bonds, net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950,000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396,100</w:t>
            </w:r>
          </w:p>
        </w:tc>
      </w:tr>
      <w:tr>
        <w:trPr>
          <w:trHeight w:val="223"/>
        </w:trPr>
        <w:tc>
          <w:tcPr>
            <w:tcW w:w="83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Repurchase of common stock</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(63,008)</w:t>
            </w:r>
          </w:p>
        </w:tc>
      </w:tr>
      <w:tr>
        <w:trPr>
          <w:trHeight w:val="222"/>
        </w:trPr>
        <w:tc>
          <w:tcPr>
            <w:tcW w:w="8380" w:type="dxa"/>
            <w:vAlign w:val="bottom"/>
          </w:tcPr>
          <w:p>
            <w:pPr>
              <w:ind w:left="240"/>
              <w:spacing w:after="0"/>
              <w:rPr>
                <w:sz w:val="20"/>
                <w:szCs w:val="20"/>
                <w:color w:val="auto"/>
              </w:rPr>
            </w:pPr>
            <w:r>
              <w:rPr>
                <w:rFonts w:ascii="Arial" w:cs="Arial" w:eastAsia="Arial" w:hAnsi="Arial"/>
                <w:sz w:val="17"/>
                <w:szCs w:val="17"/>
                <w:color w:val="auto"/>
              </w:rPr>
              <w:t>Dividends paid on common stock</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(704,069)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(604,429)</w:t>
            </w:r>
          </w:p>
        </w:tc>
      </w:tr>
    </w:tbl>
    <w:p>
      <w:pPr>
        <w:spacing w:after="0" w:line="316"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spacing w:after="0" w:line="202" w:lineRule="exact"/>
        <w:rPr>
          <w:sz w:val="20"/>
          <w:szCs w:val="20"/>
          <w:color w:val="auto"/>
        </w:rPr>
      </w:pPr>
    </w:p>
    <w:p>
      <w:pPr>
        <w:ind w:right="40" w:firstLine="433"/>
        <w:spacing w:after="0" w:line="298" w:lineRule="auto"/>
        <w:rPr>
          <w:sz w:val="20"/>
          <w:szCs w:val="20"/>
          <w:color w:val="auto"/>
        </w:rPr>
      </w:pPr>
      <w:r>
        <w:rPr>
          <w:rFonts w:ascii="Arial" w:cs="Arial" w:eastAsia="Arial" w:hAnsi="Arial"/>
          <w:sz w:val="16"/>
          <w:szCs w:val="16"/>
          <w:color w:val="auto"/>
        </w:rPr>
        <w:t>We expect to generate positive cash flow from operations in 2023,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As of September 30, 2023, we had $216,121 available in cash and cash equivalents. Our cash and cash equivalents are held in accounts managed by third party financial institutions and consist of invested cash and cash in our operating accounts. During 2023 and 2022, we experienced no loss or lack of access to our cash or cash equivalents; however, there can be no assurance that access to our cash and cash equivalents will not be impacted by adverse conditions in the financial markets.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42" w:name="page43"/>
    <w:bookmarkEnd w:id="42"/>
    <w:p>
      <w:pPr>
        <w:spacing w:after="0" w:line="182"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As of September 30, 2023, we had $11,291,333 face value of debt, resulting in a debt to total enterprise value ratio of 29.5%. As of September 30, 2023, the ratio of total fixed-rate debt and other instruments to total debt was 70.3% ($7,939,529 total fixed-rate debt including $1,664,918 on which we have interest rate swaps that have been included as fixed-rate debt). The weighted average interest rate of the total of fixed- and variable-rate debt at September 30, 2023 was 4.4%. Certain of our real estate assets are pledged as collateral for our debt. We are subject to certain restrictive covenants relating to our outstanding debt. We were in compliance with all financial covenants at September 30, 2023.</w:t>
      </w:r>
    </w:p>
    <w:p>
      <w:pPr>
        <w:spacing w:after="0" w:line="206" w:lineRule="exact"/>
        <w:rPr>
          <w:sz w:val="20"/>
          <w:szCs w:val="20"/>
          <w:color w:val="auto"/>
        </w:rPr>
      </w:pPr>
    </w:p>
    <w:p>
      <w:pPr>
        <w:ind w:right="420" w:firstLine="433"/>
        <w:spacing w:after="0" w:line="268" w:lineRule="auto"/>
        <w:rPr>
          <w:sz w:val="20"/>
          <w:szCs w:val="20"/>
          <w:color w:val="auto"/>
        </w:rPr>
      </w:pPr>
      <w:r>
        <w:rPr>
          <w:rFonts w:ascii="Arial" w:cs="Arial" w:eastAsia="Arial" w:hAnsi="Arial"/>
          <w:sz w:val="17"/>
          <w:szCs w:val="17"/>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spacing w:after="0" w:line="189" w:lineRule="exact"/>
        <w:rPr>
          <w:sz w:val="20"/>
          <w:szCs w:val="20"/>
          <w:color w:val="auto"/>
        </w:rPr>
      </w:pPr>
    </w:p>
    <w:p>
      <w:pPr>
        <w:ind w:right="160" w:firstLine="433"/>
        <w:spacing w:after="0" w:line="273" w:lineRule="auto"/>
        <w:rPr>
          <w:sz w:val="20"/>
          <w:szCs w:val="20"/>
          <w:color w:val="auto"/>
        </w:rPr>
      </w:pPr>
      <w:r>
        <w:rPr>
          <w:rFonts w:ascii="Arial" w:cs="Arial" w:eastAsia="Arial" w:hAnsi="Arial"/>
          <w:sz w:val="16"/>
          <w:szCs w:val="16"/>
          <w:color w:val="auto"/>
        </w:rPr>
        <w:t>We hold a BBB+/Stable rating from S&amp;P, which was upgraded from BBB/Stable in July 2023 in connection with the Life Storage Merger, and a Baa2 rating from Moody's Investors Service. We intend to manage our balance sheet to maintain these ratings. Certain of our real estate assets are pledged as collateral for our debt. As of September 30, 2023, we had a total of 1,664 unencumbered stores as defined by our public bonds. Our unencumbered asset value was calculated as $31,978,397 and our total asset value was calculated as $37,603,482 according to the calculations as defined by our public bonds.</w:t>
      </w:r>
    </w:p>
    <w:p>
      <w:pPr>
        <w:spacing w:after="0" w:line="199" w:lineRule="exact"/>
        <w:rPr>
          <w:sz w:val="20"/>
          <w:szCs w:val="20"/>
          <w:color w:val="auto"/>
        </w:rPr>
      </w:pPr>
    </w:p>
    <w:p>
      <w:pPr>
        <w:ind w:firstLine="433"/>
        <w:spacing w:after="0" w:line="251" w:lineRule="auto"/>
        <w:rPr>
          <w:sz w:val="20"/>
          <w:szCs w:val="20"/>
          <w:color w:val="auto"/>
        </w:rPr>
      </w:pPr>
      <w:r>
        <w:rPr>
          <w:rFonts w:ascii="Arial" w:cs="Arial" w:eastAsia="Arial" w:hAnsi="Arial"/>
          <w:sz w:val="17"/>
          <w:szCs w:val="17"/>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6"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56" w:lineRule="exact"/>
        <w:rPr>
          <w:sz w:val="20"/>
          <w:szCs w:val="20"/>
          <w:color w:val="auto"/>
        </w:rPr>
      </w:pPr>
    </w:p>
    <w:p>
      <w:pPr>
        <w:ind w:right="100" w:firstLine="433"/>
        <w:spacing w:after="0" w:line="273" w:lineRule="auto"/>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19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125"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5" w:lineRule="exact"/>
        <w:rPr>
          <w:sz w:val="20"/>
          <w:szCs w:val="20"/>
          <w:color w:val="auto"/>
        </w:rPr>
      </w:pPr>
    </w:p>
    <w:p>
      <w:pPr>
        <w:ind w:right="60" w:firstLine="433"/>
        <w:spacing w:after="0" w:line="289" w:lineRule="auto"/>
        <w:rPr>
          <w:sz w:val="20"/>
          <w:szCs w:val="20"/>
          <w:color w:val="auto"/>
        </w:rPr>
      </w:pPr>
      <w:r>
        <w:rPr>
          <w:rFonts w:ascii="Arial" w:cs="Arial" w:eastAsia="Arial" w:hAnsi="Arial"/>
          <w:sz w:val="17"/>
          <w:szCs w:val="17"/>
          <w:color w:val="auto"/>
        </w:rPr>
        <w:t>Interest rate risk is highly sensitive to many factors, including governmental monetary and tax policies, domestic and international economic and political considerations and other factors beyond our control.</w:t>
      </w:r>
    </w:p>
    <w:p>
      <w:pPr>
        <w:spacing w:after="0" w:line="54" w:lineRule="exact"/>
        <w:rPr>
          <w:sz w:val="20"/>
          <w:szCs w:val="20"/>
          <w:color w:val="auto"/>
        </w:rPr>
      </w:pPr>
    </w:p>
    <w:p>
      <w:pPr>
        <w:ind w:right="320" w:firstLine="433"/>
        <w:spacing w:after="0" w:line="289" w:lineRule="auto"/>
        <w:rPr>
          <w:sz w:val="20"/>
          <w:szCs w:val="20"/>
          <w:color w:val="auto"/>
        </w:rPr>
      </w:pPr>
      <w:r>
        <w:rPr>
          <w:rFonts w:ascii="Arial" w:cs="Arial" w:eastAsia="Arial" w:hAnsi="Arial"/>
          <w:sz w:val="17"/>
          <w:szCs w:val="17"/>
          <w:color w:val="auto"/>
        </w:rPr>
        <w:t>As of September 30, 2023, we had approximately $11.3 billion in total face value of debt, of which approximately $3.4 billion was subject to variable interest rates (excluding debt with interest rate swaps). If SOFR was to increase or decrease by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ind w:right="900"/>
        <w:spacing w:after="0" w:line="289" w:lineRule="auto"/>
        <w:rPr>
          <w:sz w:val="20"/>
          <w:szCs w:val="20"/>
          <w:color w:val="auto"/>
        </w:rPr>
      </w:pPr>
      <w:r>
        <w:rPr>
          <w:rFonts w:ascii="Arial" w:cs="Arial" w:eastAsia="Arial" w:hAnsi="Arial"/>
          <w:sz w:val="17"/>
          <w:szCs w:val="17"/>
          <w:color w:val="auto"/>
        </w:rPr>
        <w:t>100 basis points, the increase or decrease in interest expense on the variable-rate debt would increase or decrease future earnings and cash flows by approximately $33.5 million annually.</w:t>
      </w:r>
    </w:p>
    <w:p>
      <w:pPr>
        <w:spacing w:after="0" w:line="54"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250" w:lineRule="exact"/>
        <w:rPr>
          <w:sz w:val="20"/>
          <w:szCs w:val="20"/>
          <w:color w:val="auto"/>
        </w:rPr>
      </w:pPr>
    </w:p>
    <w:p>
      <w:pPr>
        <w:ind w:left="620" w:hanging="615"/>
        <w:spacing w:after="0"/>
        <w:tabs>
          <w:tab w:leader="none" w:pos="6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Controls and Procedures</w:t>
      </w:r>
    </w:p>
    <w:p>
      <w:pPr>
        <w:spacing w:after="0" w:line="256"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7" w:lineRule="exact"/>
        <w:rPr>
          <w:sz w:val="20"/>
          <w:szCs w:val="20"/>
          <w:color w:val="auto"/>
        </w:rPr>
      </w:pPr>
    </w:p>
    <w:p>
      <w:pPr>
        <w:ind w:right="120" w:firstLine="433"/>
        <w:spacing w:after="0" w:line="289" w:lineRule="auto"/>
        <w:rPr>
          <w:sz w:val="20"/>
          <w:szCs w:val="20"/>
          <w:color w:val="auto"/>
        </w:rPr>
      </w:pPr>
      <w:r>
        <w:rPr>
          <w:rFonts w:ascii="Arial" w:cs="Arial" w:eastAsia="Arial" w:hAnsi="Arial"/>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85" w:lineRule="exact"/>
        <w:rPr>
          <w:sz w:val="20"/>
          <w:szCs w:val="20"/>
          <w:color w:val="auto"/>
        </w:rPr>
      </w:pPr>
    </w:p>
    <w:p>
      <w:pPr>
        <w:jc w:val="both"/>
        <w:ind w:right="40" w:firstLine="433"/>
        <w:spacing w:after="0" w:line="268"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96" w:lineRule="exact"/>
        <w:rPr>
          <w:sz w:val="20"/>
          <w:szCs w:val="20"/>
          <w:color w:val="auto"/>
        </w:rPr>
      </w:pPr>
    </w:p>
    <w:p>
      <w:pPr>
        <w:ind w:left="620" w:hanging="615"/>
        <w:spacing w:after="0"/>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internal control over financial reporting</w:t>
      </w:r>
    </w:p>
    <w:p>
      <w:pPr>
        <w:spacing w:after="0" w:line="256"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86" w:right="379" w:bottom="1440" w:gutter="0" w:footer="0" w:header="0"/>
        </w:sectPr>
      </w:pPr>
    </w:p>
    <w:bookmarkStart w:id="44" w:name="page45"/>
    <w:bookmarkEnd w:id="44"/>
    <w:p>
      <w:pPr>
        <w:spacing w:after="0"/>
        <w:tabs>
          <w:tab w:leader="none" w:pos="880" w:val="left"/>
        </w:tabs>
        <w:rPr>
          <w:sz w:val="20"/>
          <w:szCs w:val="20"/>
          <w:color w:val="auto"/>
        </w:rPr>
      </w:pPr>
      <w:r>
        <w:rPr>
          <w:rFonts w:ascii="Arial" w:cs="Arial" w:eastAsia="Arial" w:hAnsi="Arial"/>
          <w:sz w:val="17"/>
          <w:szCs w:val="17"/>
          <w:b w:val="1"/>
          <w:bCs w:val="1"/>
          <w:color w:val="auto"/>
        </w:rPr>
        <w:t>PART II.</w:t>
        <w:tab/>
        <w:t>OTHER INFORMATION</w:t>
      </w: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tab/>
        <w:t>LEGAL PROCEEDINGS</w:t>
      </w:r>
    </w:p>
    <w:p>
      <w:pPr>
        <w:spacing w:after="0" w:line="256" w:lineRule="exact"/>
        <w:rPr>
          <w:sz w:val="20"/>
          <w:szCs w:val="20"/>
          <w:color w:val="auto"/>
        </w:rPr>
      </w:pPr>
    </w:p>
    <w:p>
      <w:pPr>
        <w:ind w:right="20" w:firstLine="433"/>
        <w:spacing w:after="0" w:line="281" w:lineRule="auto"/>
        <w:rPr>
          <w:sz w:val="20"/>
          <w:szCs w:val="20"/>
          <w:color w:val="auto"/>
        </w:rPr>
      </w:pPr>
      <w:r>
        <w:rPr>
          <w:rFonts w:ascii="Arial" w:cs="Arial" w:eastAsia="Arial" w:hAnsi="Arial"/>
          <w:sz w:val="16"/>
          <w:szCs w:val="16"/>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19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tab/>
        <w:t>RISK FACTORS</w:t>
      </w:r>
    </w:p>
    <w:p>
      <w:pPr>
        <w:spacing w:after="0" w:line="243" w:lineRule="exact"/>
        <w:rPr>
          <w:sz w:val="20"/>
          <w:szCs w:val="20"/>
          <w:color w:val="auto"/>
        </w:rPr>
      </w:pPr>
    </w:p>
    <w:p>
      <w:pPr>
        <w:ind w:right="20" w:firstLine="433"/>
        <w:spacing w:after="0" w:line="24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2022, and in “Part II. Item 1A. Risk Factors” in our Quarterly Reports on Form 10-Q for the periods ended March 31, 2023 and June 30, 2023, which could materially affect our business, financial condition and results of operations. There have been no material changes to the risk factors described in the “Risk Factors” section in our Annual Report on Form 10-K for the year ended December 31, 2022, and the risk factors described in the “Risk Factors” section in our Quarterly Reports on Form 10-Q for the periods ended March 31, 2023 and June 30, 2023. The risks described in our Annual Report on Form 10-K and our Quarterly Reports on Form 10-Q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DEFAULTS UPON SENIOR SECURITIES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5.</w:t>
        <w:tab/>
        <w:t>OTHER INFORMATION</w:t>
      </w:r>
    </w:p>
    <w:p>
      <w:pPr>
        <w:spacing w:after="0" w:line="256"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During the three months ended September 30, 2023, none of our officers or directors adopted, modified or terminated any contract, instruction or written plan for the purchase or sale of our securities that was intended to satisfy the affirmative defense conditions of Rule 10b5-1(c) or any “non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380" w:right="4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8"/>
        </w:trPr>
        <w:tc>
          <w:tcPr>
            <w:tcW w:w="800" w:type="dxa"/>
            <w:vAlign w:val="bottom"/>
            <w:gridSpan w:val="3"/>
          </w:tcPr>
          <w:p>
            <w:pPr>
              <w:spacing w:after="0"/>
              <w:rPr>
                <w:sz w:val="20"/>
                <w:szCs w:val="20"/>
                <w:color w:val="auto"/>
              </w:rPr>
            </w:pPr>
            <w:r>
              <w:rPr>
                <w:rFonts w:ascii="Arial" w:cs="Arial" w:eastAsia="Arial" w:hAnsi="Arial"/>
                <w:sz w:val="17"/>
                <w:szCs w:val="17"/>
                <w:b w:val="1"/>
                <w:bCs w:val="1"/>
                <w:color w:val="auto"/>
              </w:rPr>
              <w:t>ITEM 6.</w:t>
            </w:r>
          </w:p>
        </w:tc>
        <w:tc>
          <w:tcPr>
            <w:tcW w:w="5420" w:type="dxa"/>
            <w:vAlign w:val="bottom"/>
            <w:gridSpan w:val="22"/>
          </w:tcPr>
          <w:p>
            <w:pPr>
              <w:ind w:left="2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319"/>
        </w:trPr>
        <w:tc>
          <w:tcPr>
            <w:tcW w:w="280" w:type="dxa"/>
            <w:vAlign w:val="bottom"/>
          </w:tcPr>
          <w:p>
            <w:pPr>
              <w:spacing w:after="0"/>
              <w:rPr>
                <w:sz w:val="24"/>
                <w:szCs w:val="24"/>
                <w:color w:val="auto"/>
              </w:rPr>
            </w:pPr>
          </w:p>
        </w:tc>
        <w:tc>
          <w:tcPr>
            <w:tcW w:w="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Exhibit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14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5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140" w:type="dxa"/>
            <w:vAlign w:val="bottom"/>
            <w:gridSpan w:val="1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2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21"/>
          </w:tcPr>
          <w:p>
            <w:pPr>
              <w:spacing w:after="0"/>
              <w:rPr>
                <w:rFonts w:ascii="Arial" w:cs="Arial" w:eastAsia="Arial" w:hAnsi="Arial"/>
                <w:sz w:val="17"/>
                <w:szCs w:val="17"/>
                <w:color w:val="0000FF"/>
              </w:rPr>
            </w:pPr>
            <w:hyperlink r:id="rId66">
              <w:r>
                <w:rPr>
                  <w:rFonts w:ascii="Arial" w:cs="Arial" w:eastAsia="Arial" w:hAnsi="Arial"/>
                  <w:sz w:val="17"/>
                  <w:szCs w:val="17"/>
                  <w:color w:val="0000FF"/>
                </w:rPr>
                <w:t>Sixth Supplemental Indenture, dated as of July 25, 2023, among Life</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60" w:type="dxa"/>
            <w:vAlign w:val="bottom"/>
            <w:tcBorders>
              <w:top w:val="single" w:sz="8" w:color="0000FF"/>
            </w:tcBorders>
            <w:gridSpan w:val="7"/>
          </w:tcPr>
          <w:p>
            <w:pPr>
              <w:spacing w:after="0" w:line="150" w:lineRule="exact"/>
              <w:rPr>
                <w:rFonts w:ascii="Arial" w:cs="Arial" w:eastAsia="Arial" w:hAnsi="Arial"/>
                <w:sz w:val="17"/>
                <w:szCs w:val="17"/>
                <w:color w:val="0000FF"/>
                <w:w w:val="93"/>
              </w:rPr>
            </w:pPr>
            <w:hyperlink r:id="rId66">
              <w:r>
                <w:rPr>
                  <w:rFonts w:ascii="Arial" w:cs="Arial" w:eastAsia="Arial" w:hAnsi="Arial"/>
                  <w:sz w:val="17"/>
                  <w:szCs w:val="17"/>
                  <w:color w:val="0000FF"/>
                  <w:w w:val="93"/>
                </w:rPr>
                <w:t>Storage LP, as issuer, Life Storage LLC, as parent guarantor, and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20" w:type="dxa"/>
            <w:vAlign w:val="bottom"/>
            <w:tcBorders>
              <w:top w:val="single" w:sz="8" w:color="0000FF"/>
            </w:tcBorders>
            <w:gridSpan w:val="6"/>
          </w:tcPr>
          <w:p>
            <w:pPr>
              <w:spacing w:after="0" w:line="163" w:lineRule="exact"/>
              <w:rPr>
                <w:rFonts w:ascii="Arial" w:cs="Arial" w:eastAsia="Arial" w:hAnsi="Arial"/>
                <w:sz w:val="17"/>
                <w:szCs w:val="17"/>
                <w:color w:val="0000FF"/>
              </w:rPr>
            </w:pPr>
            <w:hyperlink r:id="rId66">
              <w:r>
                <w:rPr>
                  <w:rFonts w:ascii="Arial" w:cs="Arial" w:eastAsia="Arial" w:hAnsi="Arial"/>
                  <w:sz w:val="17"/>
                  <w:szCs w:val="17"/>
                  <w:color w:val="0000FF"/>
                </w:rPr>
                <w:t>Computershare Trust Company, N.A., as trustee.</w:t>
              </w:r>
            </w:hyperlink>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gridSpan w:val="2"/>
          </w:tcPr>
          <w:p>
            <w:pPr>
              <w:jc w:val="center"/>
              <w:ind w:left="193"/>
              <w:spacing w:after="0"/>
              <w:rPr>
                <w:sz w:val="20"/>
                <w:szCs w:val="20"/>
                <w:color w:val="auto"/>
              </w:rPr>
            </w:pPr>
            <w:r>
              <w:rPr>
                <w:rFonts w:ascii="Arial" w:cs="Arial" w:eastAsia="Arial" w:hAnsi="Arial"/>
                <w:sz w:val="17"/>
                <w:szCs w:val="17"/>
                <w:color w:val="auto"/>
                <w:w w:val="92"/>
              </w:rPr>
              <w:t>4.3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gridSpan w:val="21"/>
          </w:tcPr>
          <w:p>
            <w:pPr>
              <w:spacing w:after="0"/>
              <w:rPr>
                <w:rFonts w:ascii="Arial" w:cs="Arial" w:eastAsia="Arial" w:hAnsi="Arial"/>
                <w:sz w:val="17"/>
                <w:szCs w:val="17"/>
                <w:color w:val="0000FF"/>
                <w:w w:val="98"/>
              </w:rPr>
            </w:pPr>
            <w:hyperlink r:id="rId67">
              <w:r>
                <w:rPr>
                  <w:rFonts w:ascii="Arial" w:cs="Arial" w:eastAsia="Arial" w:hAnsi="Arial"/>
                  <w:sz w:val="17"/>
                  <w:szCs w:val="17"/>
                  <w:color w:val="0000FF"/>
                  <w:w w:val="98"/>
                </w:rPr>
                <w:t>Sixth Supplemental Indenture, dated as of July 25, 2023, among Extra</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740" w:type="dxa"/>
            <w:vAlign w:val="bottom"/>
            <w:tcBorders>
              <w:top w:val="single" w:sz="8" w:color="0000FF"/>
              <w:bottom w:val="single" w:sz="8" w:color="0000FF"/>
            </w:tcBorders>
            <w:gridSpan w:val="9"/>
          </w:tcPr>
          <w:p>
            <w:pPr>
              <w:spacing w:after="0" w:line="150" w:lineRule="exact"/>
              <w:rPr>
                <w:rFonts w:ascii="Arial" w:cs="Arial" w:eastAsia="Arial" w:hAnsi="Arial"/>
                <w:sz w:val="17"/>
                <w:szCs w:val="17"/>
                <w:color w:val="0000FF"/>
                <w:w w:val="89"/>
              </w:rPr>
            </w:pPr>
            <w:hyperlink r:id="rId67">
              <w:r>
                <w:rPr>
                  <w:rFonts w:ascii="Arial" w:cs="Arial" w:eastAsia="Arial" w:hAnsi="Arial"/>
                  <w:sz w:val="17"/>
                  <w:szCs w:val="17"/>
                  <w:color w:val="0000FF"/>
                  <w:w w:val="89"/>
                </w:rPr>
                <w:t>Space Storage LP, as issuer, Extra Space Storage Inc., ESS Holdings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20" w:type="dxa"/>
            <w:vAlign w:val="bottom"/>
            <w:gridSpan w:val="13"/>
          </w:tcPr>
          <w:p>
            <w:pPr>
              <w:spacing w:after="0" w:line="163" w:lineRule="exact"/>
              <w:rPr>
                <w:rFonts w:ascii="Arial" w:cs="Arial" w:eastAsia="Arial" w:hAnsi="Arial"/>
                <w:sz w:val="17"/>
                <w:szCs w:val="17"/>
                <w:color w:val="0000FF"/>
                <w:w w:val="93"/>
              </w:rPr>
            </w:pPr>
            <w:hyperlink r:id="rId67">
              <w:r>
                <w:rPr>
                  <w:rFonts w:ascii="Arial" w:cs="Arial" w:eastAsia="Arial" w:hAnsi="Arial"/>
                  <w:sz w:val="17"/>
                  <w:szCs w:val="17"/>
                  <w:color w:val="0000FF"/>
                  <w:w w:val="93"/>
                </w:rPr>
                <w:t>Business Trust I and ESS Holdings Business Trust II, as guarantors,</w:t>
              </w:r>
            </w:hyperlink>
          </w:p>
        </w:tc>
        <w:tc>
          <w:tcPr>
            <w:tcW w:w="240" w:type="dxa"/>
            <w:vAlign w:val="bottom"/>
            <w:gridSpan w:val="7"/>
          </w:tcPr>
          <w:p>
            <w:pPr>
              <w:spacing w:after="0" w:line="163" w:lineRule="exact"/>
              <w:rPr>
                <w:rFonts w:ascii="Arial" w:cs="Arial" w:eastAsia="Arial" w:hAnsi="Arial"/>
                <w:sz w:val="17"/>
                <w:szCs w:val="17"/>
                <w:color w:val="0000FF"/>
                <w:w w:val="77"/>
              </w:rPr>
            </w:pPr>
            <w:hyperlink r:id="rId67">
              <w:r>
                <w:rPr>
                  <w:rFonts w:ascii="Arial" w:cs="Arial" w:eastAsia="Arial" w:hAnsi="Arial"/>
                  <w:sz w:val="17"/>
                  <w:szCs w:val="17"/>
                  <w:color w:val="0000FF"/>
                  <w:w w:val="77"/>
                </w:rPr>
                <w:t>and</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40" w:type="dxa"/>
            <w:vAlign w:val="bottom"/>
            <w:tcBorders>
              <w:top w:val="single" w:sz="8" w:color="0000FF"/>
            </w:tcBorders>
            <w:gridSpan w:val="19"/>
          </w:tcPr>
          <w:p>
            <w:pPr>
              <w:spacing w:after="0" w:line="150" w:lineRule="exact"/>
              <w:rPr>
                <w:rFonts w:ascii="Arial" w:cs="Arial" w:eastAsia="Arial" w:hAnsi="Arial"/>
                <w:sz w:val="17"/>
                <w:szCs w:val="17"/>
                <w:color w:val="0000FF"/>
                <w:w w:val="95"/>
              </w:rPr>
            </w:pPr>
            <w:hyperlink r:id="rId67">
              <w:r>
                <w:rPr>
                  <w:rFonts w:ascii="Arial" w:cs="Arial" w:eastAsia="Arial" w:hAnsi="Arial"/>
                  <w:sz w:val="17"/>
                  <w:szCs w:val="17"/>
                  <w:color w:val="0000FF"/>
                  <w:w w:val="95"/>
                </w:rPr>
                <w:t>Computershare Trust Company, N.A., as trustee, including the form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89"/>
              </w:rPr>
            </w:pPr>
            <w:hyperlink r:id="rId67">
              <w:r>
                <w:rPr>
                  <w:rFonts w:ascii="Arial" w:cs="Arial" w:eastAsia="Arial" w:hAnsi="Arial"/>
                  <w:sz w:val="17"/>
                  <w:szCs w:val="17"/>
                  <w:color w:val="0000FF"/>
                  <w:w w:val="89"/>
                </w:rPr>
                <w:t>the Notes and the Guarantee.</w:t>
              </w:r>
            </w:hyperlink>
          </w:p>
        </w:tc>
        <w:tc>
          <w:tcPr>
            <w:tcW w:w="29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Arial" w:cs="Arial" w:eastAsia="Arial" w:hAnsi="Arial"/>
                <w:sz w:val="17"/>
                <w:szCs w:val="17"/>
                <w:color w:val="auto"/>
                <w:w w:val="92"/>
              </w:rPr>
              <w:t>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20" w:type="dxa"/>
            <w:vAlign w:val="bottom"/>
            <w:gridSpan w:val="21"/>
          </w:tcPr>
          <w:p>
            <w:pPr>
              <w:spacing w:after="0"/>
              <w:rPr>
                <w:rFonts w:ascii="Arial" w:cs="Arial" w:eastAsia="Arial" w:hAnsi="Arial"/>
                <w:sz w:val="17"/>
                <w:szCs w:val="17"/>
                <w:color w:val="0000FF"/>
                <w:w w:val="94"/>
              </w:rPr>
            </w:pPr>
            <w:hyperlink r:id="rId68">
              <w:r>
                <w:rPr>
                  <w:rFonts w:ascii="Arial" w:cs="Arial" w:eastAsia="Arial" w:hAnsi="Arial"/>
                  <w:sz w:val="17"/>
                  <w:szCs w:val="17"/>
                  <w:color w:val="0000FF"/>
                  <w:w w:val="94"/>
                </w:rPr>
                <w:t>Seventh Supplemental Indenture, dated as of July 25, 2023, among Extra</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960" w:type="dxa"/>
            <w:vAlign w:val="bottom"/>
            <w:tcBorders>
              <w:top w:val="single" w:sz="8" w:color="0000FF"/>
            </w:tcBorders>
            <w:gridSpan w:val="17"/>
          </w:tcPr>
          <w:p>
            <w:pPr>
              <w:spacing w:after="0" w:line="150" w:lineRule="exact"/>
              <w:rPr>
                <w:rFonts w:ascii="Arial" w:cs="Arial" w:eastAsia="Arial" w:hAnsi="Arial"/>
                <w:sz w:val="17"/>
                <w:szCs w:val="17"/>
                <w:color w:val="0000FF"/>
                <w:w w:val="93"/>
              </w:rPr>
            </w:pPr>
            <w:hyperlink r:id="rId68">
              <w:r>
                <w:rPr>
                  <w:rFonts w:ascii="Arial" w:cs="Arial" w:eastAsia="Arial" w:hAnsi="Arial"/>
                  <w:sz w:val="17"/>
                  <w:szCs w:val="17"/>
                  <w:color w:val="0000FF"/>
                  <w:w w:val="93"/>
                </w:rPr>
                <w:t>Space Storage LP, as issuer, Extra Space Storage Inc., ESS Holdings</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20" w:type="dxa"/>
            <w:vAlign w:val="bottom"/>
            <w:tcBorders>
              <w:top w:val="single" w:sz="8" w:color="0000FF"/>
            </w:tcBorders>
            <w:gridSpan w:val="13"/>
          </w:tcPr>
          <w:p>
            <w:pPr>
              <w:spacing w:after="0" w:line="163" w:lineRule="exact"/>
              <w:rPr>
                <w:rFonts w:ascii="Arial" w:cs="Arial" w:eastAsia="Arial" w:hAnsi="Arial"/>
                <w:sz w:val="17"/>
                <w:szCs w:val="17"/>
                <w:color w:val="0000FF"/>
                <w:w w:val="93"/>
              </w:rPr>
            </w:pPr>
            <w:hyperlink r:id="rId68">
              <w:r>
                <w:rPr>
                  <w:rFonts w:ascii="Arial" w:cs="Arial" w:eastAsia="Arial" w:hAnsi="Arial"/>
                  <w:sz w:val="17"/>
                  <w:szCs w:val="17"/>
                  <w:color w:val="0000FF"/>
                  <w:w w:val="93"/>
                </w:rPr>
                <w:t>Business Trust I and ESS Holdings Business Trust II, as guarantors,</w:t>
              </w:r>
            </w:hyperlink>
          </w:p>
        </w:tc>
        <w:tc>
          <w:tcPr>
            <w:tcW w:w="240" w:type="dxa"/>
            <w:vAlign w:val="bottom"/>
            <w:gridSpan w:val="7"/>
          </w:tcPr>
          <w:p>
            <w:pPr>
              <w:spacing w:after="0" w:line="163" w:lineRule="exact"/>
              <w:rPr>
                <w:rFonts w:ascii="Arial" w:cs="Arial" w:eastAsia="Arial" w:hAnsi="Arial"/>
                <w:sz w:val="17"/>
                <w:szCs w:val="17"/>
                <w:color w:val="0000FF"/>
                <w:w w:val="77"/>
              </w:rPr>
            </w:pPr>
            <w:hyperlink r:id="rId68">
              <w:r>
                <w:rPr>
                  <w:rFonts w:ascii="Arial" w:cs="Arial" w:eastAsia="Arial" w:hAnsi="Arial"/>
                  <w:sz w:val="17"/>
                  <w:szCs w:val="17"/>
                  <w:color w:val="0000FF"/>
                  <w:w w:val="77"/>
                </w:rPr>
                <w:t>and</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40" w:type="dxa"/>
            <w:vAlign w:val="bottom"/>
            <w:tcBorders>
              <w:top w:val="single" w:sz="8" w:color="0000FF"/>
            </w:tcBorders>
            <w:gridSpan w:val="19"/>
          </w:tcPr>
          <w:p>
            <w:pPr>
              <w:spacing w:after="0" w:line="150" w:lineRule="exact"/>
              <w:rPr>
                <w:rFonts w:ascii="Arial" w:cs="Arial" w:eastAsia="Arial" w:hAnsi="Arial"/>
                <w:sz w:val="17"/>
                <w:szCs w:val="17"/>
                <w:color w:val="0000FF"/>
                <w:w w:val="95"/>
              </w:rPr>
            </w:pPr>
            <w:hyperlink r:id="rId68">
              <w:r>
                <w:rPr>
                  <w:rFonts w:ascii="Arial" w:cs="Arial" w:eastAsia="Arial" w:hAnsi="Arial"/>
                  <w:sz w:val="17"/>
                  <w:szCs w:val="17"/>
                  <w:color w:val="0000FF"/>
                  <w:w w:val="95"/>
                </w:rPr>
                <w:t>Computershare Trust Company, N.A., as trustee, including the form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89"/>
              </w:rPr>
            </w:pPr>
            <w:hyperlink r:id="rId68">
              <w:r>
                <w:rPr>
                  <w:rFonts w:ascii="Arial" w:cs="Arial" w:eastAsia="Arial" w:hAnsi="Arial"/>
                  <w:sz w:val="17"/>
                  <w:szCs w:val="17"/>
                  <w:color w:val="0000FF"/>
                  <w:w w:val="89"/>
                </w:rPr>
                <w:t>the Notes and the Guarantee.</w:t>
              </w:r>
            </w:hyperlink>
          </w:p>
        </w:tc>
        <w:tc>
          <w:tcPr>
            <w:tcW w:w="292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Arial" w:cs="Arial" w:eastAsia="Arial" w:hAnsi="Arial"/>
                <w:sz w:val="17"/>
                <w:szCs w:val="17"/>
                <w:color w:val="auto"/>
                <w:w w:val="92"/>
              </w:rPr>
              <w:t>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20" w:type="dxa"/>
            <w:vAlign w:val="bottom"/>
            <w:gridSpan w:val="21"/>
          </w:tcPr>
          <w:p>
            <w:pPr>
              <w:spacing w:after="0"/>
              <w:rPr>
                <w:rFonts w:ascii="Arial" w:cs="Arial" w:eastAsia="Arial" w:hAnsi="Arial"/>
                <w:sz w:val="17"/>
                <w:szCs w:val="17"/>
                <w:color w:val="0000FF"/>
                <w:w w:val="96"/>
              </w:rPr>
            </w:pPr>
            <w:hyperlink r:id="rId69">
              <w:r>
                <w:rPr>
                  <w:rFonts w:ascii="Arial" w:cs="Arial" w:eastAsia="Arial" w:hAnsi="Arial"/>
                  <w:sz w:val="17"/>
                  <w:szCs w:val="17"/>
                  <w:color w:val="0000FF"/>
                  <w:w w:val="96"/>
                </w:rPr>
                <w:t>Eighth Supplemental Indenture, dated as of July 25, 2023, among Extra</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40" w:type="dxa"/>
            <w:vAlign w:val="bottom"/>
            <w:tcBorders>
              <w:top w:val="single" w:sz="8" w:color="0000FF"/>
            </w:tcBorders>
            <w:gridSpan w:val="14"/>
          </w:tcPr>
          <w:p>
            <w:pPr>
              <w:spacing w:after="0" w:line="150" w:lineRule="exact"/>
              <w:rPr>
                <w:rFonts w:ascii="Arial" w:cs="Arial" w:eastAsia="Arial" w:hAnsi="Arial"/>
                <w:sz w:val="17"/>
                <w:szCs w:val="17"/>
                <w:color w:val="0000FF"/>
                <w:w w:val="91"/>
              </w:rPr>
            </w:pPr>
            <w:hyperlink r:id="rId69">
              <w:r>
                <w:rPr>
                  <w:rFonts w:ascii="Arial" w:cs="Arial" w:eastAsia="Arial" w:hAnsi="Arial"/>
                  <w:sz w:val="17"/>
                  <w:szCs w:val="17"/>
                  <w:color w:val="0000FF"/>
                  <w:w w:val="91"/>
                </w:rPr>
                <w:t>Space Storage LP, as issuer, Extra Space Storage Inc., ESS Holdings</w:t>
              </w:r>
            </w:hyperlink>
          </w:p>
        </w:tc>
        <w:tc>
          <w:tcPr>
            <w:tcW w:w="8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20" w:type="dxa"/>
            <w:vAlign w:val="bottom"/>
            <w:tcBorders>
              <w:top w:val="single" w:sz="8" w:color="0000FF"/>
            </w:tcBorders>
            <w:gridSpan w:val="13"/>
          </w:tcPr>
          <w:p>
            <w:pPr>
              <w:spacing w:after="0" w:line="163" w:lineRule="exact"/>
              <w:rPr>
                <w:rFonts w:ascii="Arial" w:cs="Arial" w:eastAsia="Arial" w:hAnsi="Arial"/>
                <w:sz w:val="17"/>
                <w:szCs w:val="17"/>
                <w:color w:val="0000FF"/>
                <w:w w:val="93"/>
              </w:rPr>
            </w:pPr>
            <w:hyperlink r:id="rId69">
              <w:r>
                <w:rPr>
                  <w:rFonts w:ascii="Arial" w:cs="Arial" w:eastAsia="Arial" w:hAnsi="Arial"/>
                  <w:sz w:val="17"/>
                  <w:szCs w:val="17"/>
                  <w:color w:val="0000FF"/>
                  <w:w w:val="93"/>
                </w:rPr>
                <w:t>Business Trust I and ESS Holdings Business Trust II, as guarantors,</w:t>
              </w:r>
            </w:hyperlink>
          </w:p>
        </w:tc>
        <w:tc>
          <w:tcPr>
            <w:tcW w:w="240" w:type="dxa"/>
            <w:vAlign w:val="bottom"/>
            <w:gridSpan w:val="7"/>
          </w:tcPr>
          <w:p>
            <w:pPr>
              <w:spacing w:after="0" w:line="163" w:lineRule="exact"/>
              <w:rPr>
                <w:rFonts w:ascii="Arial" w:cs="Arial" w:eastAsia="Arial" w:hAnsi="Arial"/>
                <w:sz w:val="17"/>
                <w:szCs w:val="17"/>
                <w:color w:val="0000FF"/>
                <w:w w:val="77"/>
              </w:rPr>
            </w:pPr>
            <w:hyperlink r:id="rId69">
              <w:r>
                <w:rPr>
                  <w:rFonts w:ascii="Arial" w:cs="Arial" w:eastAsia="Arial" w:hAnsi="Arial"/>
                  <w:sz w:val="17"/>
                  <w:szCs w:val="17"/>
                  <w:color w:val="0000FF"/>
                  <w:w w:val="77"/>
                </w:rPr>
                <w:t>and</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40" w:type="dxa"/>
            <w:vAlign w:val="bottom"/>
            <w:tcBorders>
              <w:top w:val="single" w:sz="8" w:color="0000FF"/>
            </w:tcBorders>
            <w:gridSpan w:val="19"/>
          </w:tcPr>
          <w:p>
            <w:pPr>
              <w:spacing w:after="0" w:line="150" w:lineRule="exact"/>
              <w:rPr>
                <w:rFonts w:ascii="Arial" w:cs="Arial" w:eastAsia="Arial" w:hAnsi="Arial"/>
                <w:sz w:val="17"/>
                <w:szCs w:val="17"/>
                <w:color w:val="0000FF"/>
                <w:w w:val="95"/>
              </w:rPr>
            </w:pPr>
            <w:hyperlink r:id="rId69">
              <w:r>
                <w:rPr>
                  <w:rFonts w:ascii="Arial" w:cs="Arial" w:eastAsia="Arial" w:hAnsi="Arial"/>
                  <w:sz w:val="17"/>
                  <w:szCs w:val="17"/>
                  <w:color w:val="0000FF"/>
                  <w:w w:val="95"/>
                </w:rPr>
                <w:t>Computershare Trust Company, N.A., as trustee, including the form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89"/>
              </w:rPr>
            </w:pPr>
            <w:hyperlink r:id="rId69">
              <w:r>
                <w:rPr>
                  <w:rFonts w:ascii="Arial" w:cs="Arial" w:eastAsia="Arial" w:hAnsi="Arial"/>
                  <w:sz w:val="17"/>
                  <w:szCs w:val="17"/>
                  <w:color w:val="0000FF"/>
                  <w:w w:val="89"/>
                </w:rPr>
                <w:t>the Notes and the Guarantee.</w:t>
              </w:r>
            </w:hyperlink>
          </w:p>
        </w:tc>
        <w:tc>
          <w:tcPr>
            <w:tcW w:w="292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Arial" w:cs="Arial" w:eastAsia="Arial" w:hAnsi="Arial"/>
                <w:sz w:val="17"/>
                <w:szCs w:val="17"/>
                <w:color w:val="auto"/>
                <w:w w:val="92"/>
              </w:rPr>
              <w:t>4.6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20" w:type="dxa"/>
            <w:vAlign w:val="bottom"/>
            <w:gridSpan w:val="21"/>
          </w:tcPr>
          <w:p>
            <w:pPr>
              <w:spacing w:after="0"/>
              <w:rPr>
                <w:rFonts w:ascii="Arial" w:cs="Arial" w:eastAsia="Arial" w:hAnsi="Arial"/>
                <w:sz w:val="17"/>
                <w:szCs w:val="17"/>
                <w:color w:val="0000FF"/>
                <w:w w:val="98"/>
              </w:rPr>
            </w:pPr>
            <w:hyperlink r:id="rId70">
              <w:r>
                <w:rPr>
                  <w:rFonts w:ascii="Arial" w:cs="Arial" w:eastAsia="Arial" w:hAnsi="Arial"/>
                  <w:sz w:val="17"/>
                  <w:szCs w:val="17"/>
                  <w:color w:val="0000FF"/>
                  <w:w w:val="98"/>
                </w:rPr>
                <w:t>Ninth Supplemental Indenture, dated as of July 25, 2023, among Extra</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780" w:type="dxa"/>
            <w:vAlign w:val="bottom"/>
            <w:tcBorders>
              <w:top w:val="single" w:sz="8" w:color="0000FF"/>
            </w:tcBorders>
            <w:gridSpan w:val="11"/>
          </w:tcPr>
          <w:p>
            <w:pPr>
              <w:spacing w:after="0" w:line="150" w:lineRule="exact"/>
              <w:rPr>
                <w:rFonts w:ascii="Arial" w:cs="Arial" w:eastAsia="Arial" w:hAnsi="Arial"/>
                <w:sz w:val="17"/>
                <w:szCs w:val="17"/>
                <w:color w:val="0000FF"/>
                <w:w w:val="90"/>
              </w:rPr>
            </w:pPr>
            <w:hyperlink r:id="rId70">
              <w:r>
                <w:rPr>
                  <w:rFonts w:ascii="Arial" w:cs="Arial" w:eastAsia="Arial" w:hAnsi="Arial"/>
                  <w:sz w:val="17"/>
                  <w:szCs w:val="17"/>
                  <w:color w:val="0000FF"/>
                  <w:w w:val="90"/>
                </w:rPr>
                <w:t>Space Storage LP, as issuer, Extra Space Storage Inc., ESS Holdings</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20" w:type="dxa"/>
            <w:vAlign w:val="bottom"/>
            <w:tcBorders>
              <w:top w:val="single" w:sz="8" w:color="0000FF"/>
            </w:tcBorders>
            <w:gridSpan w:val="13"/>
          </w:tcPr>
          <w:p>
            <w:pPr>
              <w:spacing w:after="0" w:line="163" w:lineRule="exact"/>
              <w:rPr>
                <w:rFonts w:ascii="Arial" w:cs="Arial" w:eastAsia="Arial" w:hAnsi="Arial"/>
                <w:sz w:val="17"/>
                <w:szCs w:val="17"/>
                <w:color w:val="0000FF"/>
                <w:w w:val="93"/>
              </w:rPr>
            </w:pPr>
            <w:hyperlink r:id="rId70">
              <w:r>
                <w:rPr>
                  <w:rFonts w:ascii="Arial" w:cs="Arial" w:eastAsia="Arial" w:hAnsi="Arial"/>
                  <w:sz w:val="17"/>
                  <w:szCs w:val="17"/>
                  <w:color w:val="0000FF"/>
                  <w:w w:val="93"/>
                </w:rPr>
                <w:t>Business Trust I and ESS Holdings Business Trust II, as guarantors,</w:t>
              </w:r>
            </w:hyperlink>
          </w:p>
        </w:tc>
        <w:tc>
          <w:tcPr>
            <w:tcW w:w="240" w:type="dxa"/>
            <w:vAlign w:val="bottom"/>
            <w:gridSpan w:val="7"/>
          </w:tcPr>
          <w:p>
            <w:pPr>
              <w:spacing w:after="0" w:line="163" w:lineRule="exact"/>
              <w:rPr>
                <w:rFonts w:ascii="Arial" w:cs="Arial" w:eastAsia="Arial" w:hAnsi="Arial"/>
                <w:sz w:val="17"/>
                <w:szCs w:val="17"/>
                <w:color w:val="0000FF"/>
                <w:w w:val="77"/>
              </w:rPr>
            </w:pPr>
            <w:hyperlink r:id="rId70">
              <w:r>
                <w:rPr>
                  <w:rFonts w:ascii="Arial" w:cs="Arial" w:eastAsia="Arial" w:hAnsi="Arial"/>
                  <w:sz w:val="17"/>
                  <w:szCs w:val="17"/>
                  <w:color w:val="0000FF"/>
                  <w:w w:val="77"/>
                </w:rPr>
                <w:t>and</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40" w:type="dxa"/>
            <w:vAlign w:val="bottom"/>
            <w:tcBorders>
              <w:top w:val="single" w:sz="8" w:color="0000FF"/>
            </w:tcBorders>
            <w:gridSpan w:val="19"/>
          </w:tcPr>
          <w:p>
            <w:pPr>
              <w:spacing w:after="0" w:line="150" w:lineRule="exact"/>
              <w:rPr>
                <w:rFonts w:ascii="Arial" w:cs="Arial" w:eastAsia="Arial" w:hAnsi="Arial"/>
                <w:sz w:val="17"/>
                <w:szCs w:val="17"/>
                <w:color w:val="0000FF"/>
                <w:w w:val="95"/>
              </w:rPr>
            </w:pPr>
            <w:hyperlink r:id="rId70">
              <w:r>
                <w:rPr>
                  <w:rFonts w:ascii="Arial" w:cs="Arial" w:eastAsia="Arial" w:hAnsi="Arial"/>
                  <w:sz w:val="17"/>
                  <w:szCs w:val="17"/>
                  <w:color w:val="0000FF"/>
                  <w:w w:val="95"/>
                </w:rPr>
                <w:t>Computershare Trust Company, N.A., as trustee, including the form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89"/>
              </w:rPr>
            </w:pPr>
            <w:hyperlink r:id="rId70">
              <w:r>
                <w:rPr>
                  <w:rFonts w:ascii="Arial" w:cs="Arial" w:eastAsia="Arial" w:hAnsi="Arial"/>
                  <w:sz w:val="17"/>
                  <w:szCs w:val="17"/>
                  <w:color w:val="0000FF"/>
                  <w:w w:val="89"/>
                </w:rPr>
                <w:t>the Notes and the Guarantee.</w:t>
              </w:r>
            </w:hyperlink>
          </w:p>
        </w:tc>
        <w:tc>
          <w:tcPr>
            <w:tcW w:w="292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Arial" w:cs="Arial" w:eastAsia="Arial" w:hAnsi="Arial"/>
                <w:sz w:val="17"/>
                <w:szCs w:val="17"/>
                <w:color w:val="auto"/>
                <w:w w:val="92"/>
              </w:rPr>
              <w:t>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20" w:type="dxa"/>
            <w:vAlign w:val="bottom"/>
            <w:gridSpan w:val="21"/>
          </w:tcPr>
          <w:p>
            <w:pPr>
              <w:spacing w:after="0"/>
              <w:rPr>
                <w:rFonts w:ascii="Arial" w:cs="Arial" w:eastAsia="Arial" w:hAnsi="Arial"/>
                <w:sz w:val="17"/>
                <w:szCs w:val="17"/>
                <w:color w:val="0000FF"/>
                <w:w w:val="97"/>
              </w:rPr>
            </w:pPr>
            <w:hyperlink r:id="rId71">
              <w:r>
                <w:rPr>
                  <w:rFonts w:ascii="Arial" w:cs="Arial" w:eastAsia="Arial" w:hAnsi="Arial"/>
                  <w:sz w:val="17"/>
                  <w:szCs w:val="17"/>
                  <w:color w:val="0000FF"/>
                  <w:w w:val="97"/>
                </w:rPr>
                <w:t>Tenth Supplemental Indenture, dated as of July 25, 2023, among Extra</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760" w:type="dxa"/>
            <w:vAlign w:val="bottom"/>
            <w:tcBorders>
              <w:top w:val="single" w:sz="8" w:color="0000FF"/>
            </w:tcBorders>
            <w:gridSpan w:val="10"/>
          </w:tcPr>
          <w:p>
            <w:pPr>
              <w:spacing w:after="0" w:line="150" w:lineRule="exact"/>
              <w:rPr>
                <w:rFonts w:ascii="Arial" w:cs="Arial" w:eastAsia="Arial" w:hAnsi="Arial"/>
                <w:sz w:val="17"/>
                <w:szCs w:val="17"/>
                <w:color w:val="0000FF"/>
                <w:w w:val="89"/>
              </w:rPr>
            </w:pPr>
            <w:hyperlink r:id="rId71">
              <w:r>
                <w:rPr>
                  <w:rFonts w:ascii="Arial" w:cs="Arial" w:eastAsia="Arial" w:hAnsi="Arial"/>
                  <w:sz w:val="17"/>
                  <w:szCs w:val="17"/>
                  <w:color w:val="0000FF"/>
                  <w:w w:val="89"/>
                </w:rPr>
                <w:t>Space Storage LP, as issuer, Extra Space Storage Inc., ESS Holdings</w:t>
              </w:r>
            </w:hyperlink>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20" w:type="dxa"/>
            <w:vAlign w:val="bottom"/>
            <w:tcBorders>
              <w:top w:val="single" w:sz="8" w:color="0000FF"/>
            </w:tcBorders>
            <w:gridSpan w:val="13"/>
          </w:tcPr>
          <w:p>
            <w:pPr>
              <w:spacing w:after="0" w:line="163" w:lineRule="exact"/>
              <w:rPr>
                <w:rFonts w:ascii="Arial" w:cs="Arial" w:eastAsia="Arial" w:hAnsi="Arial"/>
                <w:sz w:val="17"/>
                <w:szCs w:val="17"/>
                <w:color w:val="0000FF"/>
                <w:w w:val="93"/>
              </w:rPr>
            </w:pPr>
            <w:hyperlink r:id="rId71">
              <w:r>
                <w:rPr>
                  <w:rFonts w:ascii="Arial" w:cs="Arial" w:eastAsia="Arial" w:hAnsi="Arial"/>
                  <w:sz w:val="17"/>
                  <w:szCs w:val="17"/>
                  <w:color w:val="0000FF"/>
                  <w:w w:val="93"/>
                </w:rPr>
                <w:t>Business Trust I and ESS Holdings Business Trust II, as guarantors,</w:t>
              </w:r>
            </w:hyperlink>
          </w:p>
        </w:tc>
        <w:tc>
          <w:tcPr>
            <w:tcW w:w="240" w:type="dxa"/>
            <w:vAlign w:val="bottom"/>
            <w:gridSpan w:val="7"/>
          </w:tcPr>
          <w:p>
            <w:pPr>
              <w:spacing w:after="0" w:line="163" w:lineRule="exact"/>
              <w:rPr>
                <w:rFonts w:ascii="Arial" w:cs="Arial" w:eastAsia="Arial" w:hAnsi="Arial"/>
                <w:sz w:val="17"/>
                <w:szCs w:val="17"/>
                <w:color w:val="0000FF"/>
                <w:w w:val="77"/>
              </w:rPr>
            </w:pPr>
            <w:hyperlink r:id="rId71">
              <w:r>
                <w:rPr>
                  <w:rFonts w:ascii="Arial" w:cs="Arial" w:eastAsia="Arial" w:hAnsi="Arial"/>
                  <w:sz w:val="17"/>
                  <w:szCs w:val="17"/>
                  <w:color w:val="0000FF"/>
                  <w:w w:val="77"/>
                </w:rPr>
                <w:t>and</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40" w:type="dxa"/>
            <w:vAlign w:val="bottom"/>
            <w:tcBorders>
              <w:top w:val="single" w:sz="8" w:color="0000FF"/>
            </w:tcBorders>
            <w:gridSpan w:val="19"/>
          </w:tcPr>
          <w:p>
            <w:pPr>
              <w:spacing w:after="0" w:line="150" w:lineRule="exact"/>
              <w:rPr>
                <w:rFonts w:ascii="Arial" w:cs="Arial" w:eastAsia="Arial" w:hAnsi="Arial"/>
                <w:sz w:val="17"/>
                <w:szCs w:val="17"/>
                <w:color w:val="0000FF"/>
                <w:w w:val="95"/>
              </w:rPr>
            </w:pPr>
            <w:hyperlink r:id="rId71">
              <w:r>
                <w:rPr>
                  <w:rFonts w:ascii="Arial" w:cs="Arial" w:eastAsia="Arial" w:hAnsi="Arial"/>
                  <w:sz w:val="17"/>
                  <w:szCs w:val="17"/>
                  <w:color w:val="0000FF"/>
                  <w:w w:val="95"/>
                </w:rPr>
                <w:t>Computershare Trust Company, N.A., as trustee, including the form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89"/>
              </w:rPr>
            </w:pPr>
            <w:hyperlink r:id="rId71">
              <w:r>
                <w:rPr>
                  <w:rFonts w:ascii="Arial" w:cs="Arial" w:eastAsia="Arial" w:hAnsi="Arial"/>
                  <w:sz w:val="17"/>
                  <w:szCs w:val="17"/>
                  <w:color w:val="0000FF"/>
                  <w:w w:val="89"/>
                </w:rPr>
                <w:t>the Notes and the Guarantee.</w:t>
              </w:r>
            </w:hyperlink>
          </w:p>
        </w:tc>
        <w:tc>
          <w:tcPr>
            <w:tcW w:w="292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Arial" w:cs="Arial" w:eastAsia="Arial" w:hAnsi="Arial"/>
                <w:sz w:val="17"/>
                <w:szCs w:val="17"/>
                <w:color w:val="auto"/>
                <w:w w:val="90"/>
              </w:rPr>
              <w:t>22.1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0"/>
              </w:rPr>
              <w:t>Issuer and Guarantors of Guaranteed Securities</w:t>
            </w:r>
          </w:p>
        </w:tc>
        <w:tc>
          <w:tcPr>
            <w:tcW w:w="19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jc w:val="center"/>
              <w:ind w:left="193"/>
              <w:spacing w:after="0"/>
              <w:rPr>
                <w:sz w:val="20"/>
                <w:szCs w:val="20"/>
                <w:color w:val="auto"/>
              </w:rPr>
            </w:pPr>
            <w:r>
              <w:rPr>
                <w:rFonts w:ascii="Arial" w:cs="Arial" w:eastAsia="Arial" w:hAnsi="Arial"/>
                <w:sz w:val="17"/>
                <w:szCs w:val="17"/>
                <w:color w:val="auto"/>
                <w:w w:val="90"/>
              </w:rPr>
              <w:t>31.1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gridSpan w:val="21"/>
          </w:tcPr>
          <w:p>
            <w:pPr>
              <w:spacing w:after="0"/>
              <w:rPr>
                <w:sz w:val="20"/>
                <w:szCs w:val="20"/>
                <w:color w:val="auto"/>
              </w:rPr>
            </w:pPr>
            <w:r>
              <w:rPr>
                <w:rFonts w:ascii="Arial" w:cs="Arial" w:eastAsia="Arial" w:hAnsi="Arial"/>
                <w:sz w:val="17"/>
                <w:szCs w:val="17"/>
                <w:color w:val="0000FF"/>
              </w:rPr>
              <w:t>Certification of Chief Executive Officer pursuant to Section 302 of the</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00" w:type="dxa"/>
            <w:vAlign w:val="bottom"/>
            <w:tcBorders>
              <w:top w:val="single" w:sz="8" w:color="0000FF"/>
            </w:tcBorders>
            <w:gridSpan w:val="12"/>
          </w:tcPr>
          <w:p>
            <w:pPr>
              <w:spacing w:after="0" w:line="150" w:lineRule="exact"/>
              <w:rPr>
                <w:sz w:val="20"/>
                <w:szCs w:val="20"/>
                <w:color w:val="auto"/>
              </w:rPr>
            </w:pPr>
            <w:r>
              <w:rPr>
                <w:rFonts w:ascii="Arial" w:cs="Arial" w:eastAsia="Arial" w:hAnsi="Arial"/>
                <w:sz w:val="17"/>
                <w:szCs w:val="17"/>
                <w:color w:val="0000FF"/>
              </w:rPr>
              <w:t>Sarbanes-Oxley Act of 2002.</w:t>
            </w:r>
          </w:p>
        </w:tc>
        <w:tc>
          <w:tcPr>
            <w:tcW w:w="12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Arial" w:cs="Arial" w:eastAsia="Arial" w:hAnsi="Arial"/>
                <w:sz w:val="17"/>
                <w:szCs w:val="17"/>
                <w:color w:val="auto"/>
                <w:w w:val="90"/>
              </w:rPr>
              <w:t>31.2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20" w:type="dxa"/>
            <w:vAlign w:val="bottom"/>
            <w:gridSpan w:val="21"/>
          </w:tcPr>
          <w:p>
            <w:pPr>
              <w:spacing w:after="0"/>
              <w:rPr>
                <w:sz w:val="20"/>
                <w:szCs w:val="20"/>
                <w:color w:val="auto"/>
              </w:rPr>
            </w:pPr>
            <w:r>
              <w:rPr>
                <w:rFonts w:ascii="Arial" w:cs="Arial" w:eastAsia="Arial" w:hAnsi="Arial"/>
                <w:sz w:val="17"/>
                <w:szCs w:val="17"/>
                <w:color w:val="0000FF"/>
              </w:rPr>
              <w:t>Certification of Chief Financial Officer pursuant to Section 302 of the</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720" w:type="dxa"/>
            <w:vAlign w:val="bottom"/>
            <w:tcBorders>
              <w:top w:val="single" w:sz="8" w:color="0000FF"/>
            </w:tcBorders>
            <w:gridSpan w:val="8"/>
          </w:tcPr>
          <w:p>
            <w:pPr>
              <w:spacing w:after="0" w:line="150" w:lineRule="exact"/>
              <w:rPr>
                <w:sz w:val="20"/>
                <w:szCs w:val="20"/>
                <w:color w:val="auto"/>
              </w:rPr>
            </w:pPr>
            <w:r>
              <w:rPr>
                <w:rFonts w:ascii="Arial" w:cs="Arial" w:eastAsia="Arial" w:hAnsi="Arial"/>
                <w:sz w:val="17"/>
                <w:szCs w:val="17"/>
                <w:color w:val="0000FF"/>
              </w:rPr>
              <w:t>Sarbanes-Oxley Act of 2002.</w:t>
            </w:r>
          </w:p>
        </w:tc>
        <w:tc>
          <w:tcPr>
            <w:tcW w:w="20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90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Arial" w:cs="Arial" w:eastAsia="Arial" w:hAnsi="Arial"/>
                <w:sz w:val="17"/>
                <w:szCs w:val="17"/>
                <w:color w:val="auto"/>
                <w:w w:val="90"/>
              </w:rPr>
              <w:t>32.1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5"/>
              </w:rPr>
              <w:t>Certifications of the Chief Executive Officer and Chief Financial Officer</w:t>
            </w:r>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0" w:type="dxa"/>
            <w:vAlign w:val="bottom"/>
            <w:tcBorders>
              <w:bottom w:val="single" w:sz="8" w:color="0000FF"/>
            </w:tcBorders>
            <w:gridSpan w:val="18"/>
          </w:tcPr>
          <w:p>
            <w:pPr>
              <w:spacing w:after="0" w:line="150" w:lineRule="exact"/>
              <w:rPr>
                <w:sz w:val="20"/>
                <w:szCs w:val="20"/>
                <w:color w:val="auto"/>
              </w:rPr>
            </w:pPr>
            <w:r>
              <w:rPr>
                <w:rFonts w:ascii="Arial" w:cs="Arial" w:eastAsia="Arial" w:hAnsi="Arial"/>
                <w:sz w:val="17"/>
                <w:szCs w:val="17"/>
                <w:color w:val="0000FF"/>
                <w:w w:val="91"/>
              </w:rPr>
              <w:t>pursuant to 18 U.S.C. Section 1350, as adopted pursuant to Section 906</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7"/>
          <w:szCs w:val="17"/>
          <w:u w:val="single" w:color="auto"/>
          <w:color w:val="0000FF"/>
        </w:rPr>
        <w:t>of the Sarbanes-Oxley Act of 2002.</w:t>
      </w:r>
    </w:p>
    <w:p>
      <w:pPr>
        <w:spacing w:after="0" w:line="15" w:lineRule="exact"/>
        <w:rPr>
          <w:sz w:val="20"/>
          <w:szCs w:val="20"/>
          <w:color w:val="auto"/>
        </w:rPr>
      </w:pPr>
    </w:p>
    <w:p>
      <w:pPr>
        <w:ind w:left="1160" w:hanging="768"/>
        <w:spacing w:after="0" w:line="235" w:lineRule="auto"/>
        <w:tabs>
          <w:tab w:leader="none" w:pos="10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Extra Space Storage Inc.’s Quarterly Report on Form 10-Q for the quarter ended September 30, 2023,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4" w:lineRule="exact"/>
        <w:rPr>
          <w:sz w:val="20"/>
          <w:szCs w:val="20"/>
          <w:color w:val="auto"/>
        </w:rPr>
      </w:pPr>
    </w:p>
    <w:p>
      <w:pPr>
        <w:ind w:left="1160" w:right="100" w:hanging="768"/>
        <w:spacing w:after="0" w:line="241" w:lineRule="auto"/>
        <w:tabs>
          <w:tab w:leader="none" w:pos="1003"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3"/>
              </w:rPr>
              <w:t>Incorporated by Reference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8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b w:val="1"/>
                <w:bCs w:val="1"/>
                <w:color w:val="auto"/>
                <w:w w:val="73"/>
              </w:rPr>
              <w:t>Herewith</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Form</w:t>
            </w:r>
          </w:p>
        </w:tc>
        <w:tc>
          <w:tcPr>
            <w:tcW w:w="500" w:type="dxa"/>
            <w:vAlign w:val="bottom"/>
          </w:tcPr>
          <w:p>
            <w:pPr>
              <w:spacing w:after="0"/>
              <w:rPr>
                <w:sz w:val="14"/>
                <w:szCs w:val="14"/>
                <w:color w:val="auto"/>
              </w:rPr>
            </w:pPr>
          </w:p>
        </w:tc>
        <w:tc>
          <w:tcPr>
            <w:tcW w:w="118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Date</w:t>
            </w:r>
          </w:p>
        </w:tc>
        <w:tc>
          <w:tcPr>
            <w:tcW w:w="1560" w:type="dxa"/>
            <w:vAlign w:val="bottom"/>
            <w:gridSpan w:val="6"/>
          </w:tcPr>
          <w:p>
            <w:pPr>
              <w:ind w:left="1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00" w:type="dxa"/>
            <w:vAlign w:val="bottom"/>
            <w:gridSpan w:val="3"/>
          </w:tcPr>
          <w:p>
            <w:pPr>
              <w:spacing w:after="0"/>
              <w:rPr>
                <w:sz w:val="20"/>
                <w:szCs w:val="20"/>
                <w:color w:val="auto"/>
              </w:rPr>
            </w:pPr>
            <w:r>
              <w:rPr>
                <w:rFonts w:ascii="Arial" w:cs="Arial" w:eastAsia="Arial" w:hAnsi="Arial"/>
                <w:sz w:val="17"/>
                <w:szCs w:val="17"/>
                <w:color w:val="auto"/>
              </w:rPr>
              <w:t>8-K</w:t>
            </w:r>
          </w:p>
        </w:tc>
        <w:tc>
          <w:tcPr>
            <w:tcW w:w="1680" w:type="dxa"/>
            <w:vAlign w:val="bottom"/>
            <w:gridSpan w:val="4"/>
          </w:tcPr>
          <w:p>
            <w:pPr>
              <w:jc w:val="center"/>
              <w:ind w:right="380"/>
              <w:spacing w:after="0"/>
              <w:rPr>
                <w:sz w:val="20"/>
                <w:szCs w:val="20"/>
                <w:color w:val="auto"/>
              </w:rPr>
            </w:pPr>
            <w:r>
              <w:rPr>
                <w:rFonts w:ascii="Arial" w:cs="Arial" w:eastAsia="Arial" w:hAnsi="Arial"/>
                <w:sz w:val="17"/>
                <w:szCs w:val="17"/>
                <w:color w:val="auto"/>
                <w:w w:val="92"/>
              </w:rPr>
              <w:t>July 25, 2023</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4.2</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7"/>
        </w:trPr>
        <w:tc>
          <w:tcPr>
            <w:tcW w:w="800" w:type="dxa"/>
            <w:vAlign w:val="bottom"/>
            <w:gridSpan w:val="3"/>
          </w:tcPr>
          <w:p>
            <w:pPr>
              <w:spacing w:after="0"/>
              <w:rPr>
                <w:sz w:val="20"/>
                <w:szCs w:val="20"/>
                <w:color w:val="auto"/>
              </w:rPr>
            </w:pPr>
            <w:r>
              <w:rPr>
                <w:rFonts w:ascii="Arial" w:cs="Arial" w:eastAsia="Arial" w:hAnsi="Arial"/>
                <w:sz w:val="17"/>
                <w:szCs w:val="17"/>
                <w:color w:val="auto"/>
              </w:rPr>
              <w:t>8-K</w:t>
            </w:r>
          </w:p>
        </w:tc>
        <w:tc>
          <w:tcPr>
            <w:tcW w:w="1680" w:type="dxa"/>
            <w:vAlign w:val="bottom"/>
            <w:gridSpan w:val="4"/>
          </w:tcPr>
          <w:p>
            <w:pPr>
              <w:jc w:val="center"/>
              <w:ind w:right="380"/>
              <w:spacing w:after="0"/>
              <w:rPr>
                <w:sz w:val="20"/>
                <w:szCs w:val="20"/>
                <w:color w:val="auto"/>
              </w:rPr>
            </w:pPr>
            <w:r>
              <w:rPr>
                <w:rFonts w:ascii="Arial" w:cs="Arial" w:eastAsia="Arial" w:hAnsi="Arial"/>
                <w:sz w:val="17"/>
                <w:szCs w:val="17"/>
                <w:color w:val="auto"/>
                <w:w w:val="92"/>
              </w:rPr>
              <w:t>July 25, 2023</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4.4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1"/>
        </w:trPr>
        <w:tc>
          <w:tcPr>
            <w:tcW w:w="800" w:type="dxa"/>
            <w:vAlign w:val="bottom"/>
            <w:gridSpan w:val="3"/>
          </w:tcPr>
          <w:p>
            <w:pPr>
              <w:spacing w:after="0"/>
              <w:rPr>
                <w:sz w:val="20"/>
                <w:szCs w:val="20"/>
                <w:color w:val="auto"/>
              </w:rPr>
            </w:pPr>
            <w:r>
              <w:rPr>
                <w:rFonts w:ascii="Arial" w:cs="Arial" w:eastAsia="Arial" w:hAnsi="Arial"/>
                <w:sz w:val="17"/>
                <w:szCs w:val="17"/>
                <w:color w:val="auto"/>
              </w:rPr>
              <w:t>8-K</w:t>
            </w:r>
          </w:p>
        </w:tc>
        <w:tc>
          <w:tcPr>
            <w:tcW w:w="1680" w:type="dxa"/>
            <w:vAlign w:val="bottom"/>
            <w:gridSpan w:val="4"/>
          </w:tcPr>
          <w:p>
            <w:pPr>
              <w:jc w:val="center"/>
              <w:ind w:right="380"/>
              <w:spacing w:after="0"/>
              <w:rPr>
                <w:sz w:val="20"/>
                <w:szCs w:val="20"/>
                <w:color w:val="auto"/>
              </w:rPr>
            </w:pPr>
            <w:r>
              <w:rPr>
                <w:rFonts w:ascii="Arial" w:cs="Arial" w:eastAsia="Arial" w:hAnsi="Arial"/>
                <w:sz w:val="17"/>
                <w:szCs w:val="17"/>
                <w:color w:val="auto"/>
                <w:w w:val="92"/>
              </w:rPr>
              <w:t>July 25, 2023</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4.5</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1"/>
        </w:trPr>
        <w:tc>
          <w:tcPr>
            <w:tcW w:w="800" w:type="dxa"/>
            <w:vAlign w:val="bottom"/>
            <w:gridSpan w:val="3"/>
          </w:tcPr>
          <w:p>
            <w:pPr>
              <w:spacing w:after="0"/>
              <w:rPr>
                <w:sz w:val="20"/>
                <w:szCs w:val="20"/>
                <w:color w:val="auto"/>
              </w:rPr>
            </w:pPr>
            <w:r>
              <w:rPr>
                <w:rFonts w:ascii="Arial" w:cs="Arial" w:eastAsia="Arial" w:hAnsi="Arial"/>
                <w:sz w:val="17"/>
                <w:szCs w:val="17"/>
                <w:color w:val="auto"/>
              </w:rPr>
              <w:t>8-K</w:t>
            </w:r>
          </w:p>
        </w:tc>
        <w:tc>
          <w:tcPr>
            <w:tcW w:w="1680" w:type="dxa"/>
            <w:vAlign w:val="bottom"/>
            <w:gridSpan w:val="4"/>
          </w:tcPr>
          <w:p>
            <w:pPr>
              <w:jc w:val="center"/>
              <w:ind w:right="380"/>
              <w:spacing w:after="0"/>
              <w:rPr>
                <w:sz w:val="20"/>
                <w:szCs w:val="20"/>
                <w:color w:val="auto"/>
              </w:rPr>
            </w:pPr>
            <w:r>
              <w:rPr>
                <w:rFonts w:ascii="Arial" w:cs="Arial" w:eastAsia="Arial" w:hAnsi="Arial"/>
                <w:sz w:val="17"/>
                <w:szCs w:val="17"/>
                <w:color w:val="auto"/>
                <w:w w:val="92"/>
              </w:rPr>
              <w:t>July 25, 2023</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4.6</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1"/>
        </w:trPr>
        <w:tc>
          <w:tcPr>
            <w:tcW w:w="800" w:type="dxa"/>
            <w:vAlign w:val="bottom"/>
            <w:gridSpan w:val="3"/>
          </w:tcPr>
          <w:p>
            <w:pPr>
              <w:spacing w:after="0"/>
              <w:rPr>
                <w:sz w:val="20"/>
                <w:szCs w:val="20"/>
                <w:color w:val="auto"/>
              </w:rPr>
            </w:pPr>
            <w:r>
              <w:rPr>
                <w:rFonts w:ascii="Arial" w:cs="Arial" w:eastAsia="Arial" w:hAnsi="Arial"/>
                <w:sz w:val="17"/>
                <w:szCs w:val="17"/>
                <w:color w:val="auto"/>
              </w:rPr>
              <w:t>8-K</w:t>
            </w:r>
          </w:p>
        </w:tc>
        <w:tc>
          <w:tcPr>
            <w:tcW w:w="1680" w:type="dxa"/>
            <w:vAlign w:val="bottom"/>
            <w:gridSpan w:val="4"/>
          </w:tcPr>
          <w:p>
            <w:pPr>
              <w:jc w:val="center"/>
              <w:ind w:right="380"/>
              <w:spacing w:after="0"/>
              <w:rPr>
                <w:sz w:val="20"/>
                <w:szCs w:val="20"/>
                <w:color w:val="auto"/>
              </w:rPr>
            </w:pPr>
            <w:r>
              <w:rPr>
                <w:rFonts w:ascii="Arial" w:cs="Arial" w:eastAsia="Arial" w:hAnsi="Arial"/>
                <w:sz w:val="17"/>
                <w:szCs w:val="17"/>
                <w:color w:val="auto"/>
                <w:w w:val="92"/>
              </w:rPr>
              <w:t>July 25, 2023</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4.7</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1"/>
        </w:trPr>
        <w:tc>
          <w:tcPr>
            <w:tcW w:w="800" w:type="dxa"/>
            <w:vAlign w:val="bottom"/>
            <w:gridSpan w:val="3"/>
          </w:tcPr>
          <w:p>
            <w:pPr>
              <w:spacing w:after="0"/>
              <w:rPr>
                <w:sz w:val="20"/>
                <w:szCs w:val="20"/>
                <w:color w:val="auto"/>
              </w:rPr>
            </w:pPr>
            <w:r>
              <w:rPr>
                <w:rFonts w:ascii="Arial" w:cs="Arial" w:eastAsia="Arial" w:hAnsi="Arial"/>
                <w:sz w:val="17"/>
                <w:szCs w:val="17"/>
                <w:color w:val="auto"/>
              </w:rPr>
              <w:t>8-K</w:t>
            </w:r>
          </w:p>
        </w:tc>
        <w:tc>
          <w:tcPr>
            <w:tcW w:w="1680" w:type="dxa"/>
            <w:vAlign w:val="bottom"/>
            <w:gridSpan w:val="4"/>
          </w:tcPr>
          <w:p>
            <w:pPr>
              <w:jc w:val="center"/>
              <w:ind w:right="380"/>
              <w:spacing w:after="0"/>
              <w:rPr>
                <w:sz w:val="20"/>
                <w:szCs w:val="20"/>
                <w:color w:val="auto"/>
              </w:rPr>
            </w:pPr>
            <w:r>
              <w:rPr>
                <w:rFonts w:ascii="Arial" w:cs="Arial" w:eastAsia="Arial" w:hAnsi="Arial"/>
                <w:sz w:val="17"/>
                <w:szCs w:val="17"/>
                <w:color w:val="auto"/>
                <w:w w:val="92"/>
              </w:rPr>
              <w:t>July 25, 2023</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4.8</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X</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X</w:t>
      </w:r>
    </w:p>
    <w:p>
      <w:pPr>
        <w:spacing w:after="0" w:line="211"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X</w:t>
      </w:r>
    </w:p>
    <w:p>
      <w:pPr>
        <w:spacing w:after="0" w:line="211"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X</w:t>
      </w:r>
    </w:p>
    <w:p>
      <w:pPr>
        <w:spacing w:after="0" w:line="382"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6320" w:space="180"/>
            <w:col w:w="4040"/>
          </w:cols>
          <w:pgMar w:left="320" w:top="1380" w:right="103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120" w:firstLine="433"/>
        <w:spacing w:after="0" w:line="281"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EXTRA SPACE STORAGE INC.</w:t>
            </w:r>
          </w:p>
        </w:tc>
      </w:tr>
      <w:tr>
        <w:trPr>
          <w:trHeight w:val="223"/>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Registrant</w:t>
            </w:r>
          </w:p>
        </w:tc>
      </w:tr>
      <w:tr>
        <w:trPr>
          <w:trHeight w:val="485"/>
        </w:trPr>
        <w:tc>
          <w:tcPr>
            <w:tcW w:w="6300" w:type="dxa"/>
            <w:vAlign w:val="bottom"/>
          </w:tcPr>
          <w:p>
            <w:pPr>
              <w:spacing w:after="0"/>
              <w:rPr>
                <w:sz w:val="20"/>
                <w:szCs w:val="20"/>
                <w:color w:val="auto"/>
              </w:rPr>
            </w:pPr>
            <w:r>
              <w:rPr>
                <w:rFonts w:ascii="Arial" w:cs="Arial" w:eastAsia="Arial" w:hAnsi="Arial"/>
                <w:sz w:val="17"/>
                <w:szCs w:val="17"/>
                <w:color w:val="auto"/>
              </w:rPr>
              <w:t>Date: November 9, 2023</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Joseph D. Margolis</w:t>
            </w:r>
          </w:p>
        </w:tc>
      </w:tr>
      <w:tr>
        <w:trPr>
          <w:trHeight w:val="216"/>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Joseph D. Margolis</w:t>
            </w:r>
          </w:p>
        </w:tc>
      </w:tr>
      <w:tr>
        <w:trPr>
          <w:trHeight w:val="172"/>
        </w:trPr>
        <w:tc>
          <w:tcPr>
            <w:tcW w:w="6300" w:type="dxa"/>
            <w:vAlign w:val="bottom"/>
          </w:tcPr>
          <w:p>
            <w:pPr>
              <w:spacing w:after="0"/>
              <w:rPr>
                <w:sz w:val="14"/>
                <w:szCs w:val="14"/>
                <w:color w:val="auto"/>
              </w:rPr>
            </w:pPr>
          </w:p>
        </w:tc>
        <w:tc>
          <w:tcPr>
            <w:tcW w:w="4800" w:type="dxa"/>
            <w:vAlign w:val="bottom"/>
          </w:tcPr>
          <w:p>
            <w:pPr>
              <w:ind w:left="20"/>
              <w:spacing w:after="0" w:line="172" w:lineRule="exact"/>
              <w:rPr>
                <w:sz w:val="20"/>
                <w:szCs w:val="20"/>
                <w:color w:val="auto"/>
              </w:rPr>
            </w:pPr>
            <w:r>
              <w:rPr>
                <w:rFonts w:ascii="Arial" w:cs="Arial" w:eastAsia="Arial" w:hAnsi="Arial"/>
                <w:sz w:val="17"/>
                <w:szCs w:val="17"/>
                <w:i w:val="1"/>
                <w:iCs w:val="1"/>
                <w:color w:val="auto"/>
              </w:rPr>
              <w:t>Chief Executive Officer</w:t>
            </w:r>
          </w:p>
        </w:tc>
      </w:t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r>
        <w:trPr>
          <w:trHeight w:val="499"/>
        </w:trPr>
        <w:tc>
          <w:tcPr>
            <w:tcW w:w="6300" w:type="dxa"/>
            <w:vAlign w:val="bottom"/>
          </w:tcPr>
          <w:p>
            <w:pPr>
              <w:spacing w:after="0"/>
              <w:rPr>
                <w:sz w:val="20"/>
                <w:szCs w:val="20"/>
                <w:color w:val="auto"/>
              </w:rPr>
            </w:pPr>
            <w:r>
              <w:rPr>
                <w:rFonts w:ascii="Arial" w:cs="Arial" w:eastAsia="Arial" w:hAnsi="Arial"/>
                <w:sz w:val="17"/>
                <w:szCs w:val="17"/>
                <w:color w:val="auto"/>
              </w:rPr>
              <w:t>Date: November 9, 2023</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P. Scott Stubbs</w:t>
            </w:r>
          </w:p>
        </w:tc>
      </w:tr>
      <w:tr>
        <w:trPr>
          <w:trHeight w:val="216"/>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P. Scott Stubbs</w:t>
            </w:r>
          </w:p>
        </w:tc>
      </w:tr>
      <w:tr>
        <w:trPr>
          <w:trHeight w:val="223"/>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Executive Vice President and Chief Financial Officer</w:t>
            </w:r>
          </w:p>
        </w:tc>
      </w:tr>
      <w:tr>
        <w:trPr>
          <w:trHeight w:val="223"/>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180"/>
          </w:cols>
          <w:pgMar w:left="320" w:top="1380" w:right="39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22.1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Issuer and Guarantors of Guaranteed Securities</w:t>
      </w:r>
    </w:p>
    <w:p>
      <w:pPr>
        <w:spacing w:after="0" w:line="200" w:lineRule="exact"/>
        <w:rPr>
          <w:sz w:val="20"/>
          <w:szCs w:val="20"/>
          <w:color w:val="auto"/>
        </w:rPr>
      </w:pPr>
    </w:p>
    <w:p>
      <w:pPr>
        <w:spacing w:after="0" w:line="2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following entities are included in the Obligated Group, as defined in the Annual Report on Form 10-K of Extra Space Storage Inc. to which this document is being filed as an exhibit, for the 3.500% Senior Notes due 2026, the 3.875% Senior Notes due 2027, the 5.700% Senior Notes due 2028, the 3.900% Senior Notes due 2029, the 4.000% Senior Notes due 2029, the 2.200% Senior Notes due 2030, the 2.550% Senior Notes due 2031, the 2.400% Senior Notes due 2031, and the 2.350% Senior Notes due 2032 (collectively, the "Notes"). The guarantors have fully and unconditionally guaranteed the Notes on a joint and several basis.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Name of Issuer or Guarantor</w:t>
            </w:r>
          </w:p>
        </w:tc>
        <w:tc>
          <w:tcPr>
            <w:tcW w:w="3480" w:type="dxa"/>
            <w:vAlign w:val="bottom"/>
          </w:tcPr>
          <w:p>
            <w:pPr>
              <w:ind w:left="1240"/>
              <w:spacing w:after="0"/>
              <w:rPr>
                <w:sz w:val="20"/>
                <w:szCs w:val="20"/>
                <w:color w:val="auto"/>
              </w:rPr>
            </w:pPr>
            <w:r>
              <w:rPr>
                <w:rFonts w:ascii="Arial" w:cs="Arial" w:eastAsia="Arial" w:hAnsi="Arial"/>
                <w:sz w:val="14"/>
                <w:szCs w:val="14"/>
                <w:b w:val="1"/>
                <w:bCs w:val="1"/>
                <w:color w:val="auto"/>
              </w:rPr>
              <w:t>Reported as Issuer or Guarantor</w:t>
            </w:r>
          </w:p>
        </w:tc>
        <w:tc>
          <w:tcPr>
            <w:tcW w:w="294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State of Incorporation or Organization</w:t>
            </w:r>
          </w:p>
        </w:tc>
      </w:tr>
      <w:tr>
        <w:trPr>
          <w:trHeight w:val="24"/>
        </w:trPr>
        <w:tc>
          <w:tcPr>
            <w:tcW w:w="3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7"/>
                <w:szCs w:val="17"/>
                <w:color w:val="auto"/>
              </w:rPr>
              <w:t>Extra Space Storage LP</w:t>
            </w:r>
          </w:p>
        </w:tc>
        <w:tc>
          <w:tcPr>
            <w:tcW w:w="3480" w:type="dxa"/>
            <w:vAlign w:val="bottom"/>
          </w:tcPr>
          <w:p>
            <w:pPr>
              <w:ind w:left="1120"/>
              <w:spacing w:after="0"/>
              <w:rPr>
                <w:sz w:val="20"/>
                <w:szCs w:val="20"/>
                <w:color w:val="auto"/>
              </w:rPr>
            </w:pPr>
            <w:r>
              <w:rPr>
                <w:rFonts w:ascii="Arial" w:cs="Arial" w:eastAsia="Arial" w:hAnsi="Arial"/>
                <w:sz w:val="17"/>
                <w:szCs w:val="17"/>
                <w:color w:val="auto"/>
              </w:rPr>
              <w:t>Issuer</w:t>
            </w:r>
          </w:p>
        </w:tc>
        <w:tc>
          <w:tcPr>
            <w:tcW w:w="2940" w:type="dxa"/>
            <w:vAlign w:val="bottom"/>
          </w:tcPr>
          <w:p>
            <w:pPr>
              <w:jc w:val="center"/>
              <w:ind w:right="36"/>
              <w:spacing w:after="0"/>
              <w:rPr>
                <w:sz w:val="20"/>
                <w:szCs w:val="20"/>
                <w:color w:val="auto"/>
              </w:rPr>
            </w:pPr>
            <w:r>
              <w:rPr>
                <w:rFonts w:ascii="Arial" w:cs="Arial" w:eastAsia="Arial" w:hAnsi="Arial"/>
                <w:sz w:val="17"/>
                <w:szCs w:val="17"/>
                <w:color w:val="auto"/>
                <w:w w:val="91"/>
              </w:rPr>
              <w:t>Delaware</w:t>
            </w:r>
          </w:p>
        </w:tc>
      </w:tr>
      <w:tr>
        <w:trPr>
          <w:trHeight w:val="223"/>
        </w:trPr>
        <w:tc>
          <w:tcPr>
            <w:tcW w:w="3360" w:type="dxa"/>
            <w:vAlign w:val="bottom"/>
          </w:tcPr>
          <w:p>
            <w:pPr>
              <w:ind w:left="20"/>
              <w:spacing w:after="0"/>
              <w:rPr>
                <w:sz w:val="20"/>
                <w:szCs w:val="20"/>
                <w:color w:val="auto"/>
              </w:rPr>
            </w:pPr>
            <w:r>
              <w:rPr>
                <w:rFonts w:ascii="Arial" w:cs="Arial" w:eastAsia="Arial" w:hAnsi="Arial"/>
                <w:sz w:val="17"/>
                <w:szCs w:val="17"/>
                <w:color w:val="auto"/>
              </w:rPr>
              <w:t>Extra Space Storage Inc.</w:t>
            </w:r>
          </w:p>
        </w:tc>
        <w:tc>
          <w:tcPr>
            <w:tcW w:w="3480" w:type="dxa"/>
            <w:vAlign w:val="bottom"/>
          </w:tcPr>
          <w:p>
            <w:pPr>
              <w:ind w:left="1120"/>
              <w:spacing w:after="0"/>
              <w:rPr>
                <w:sz w:val="20"/>
                <w:szCs w:val="20"/>
                <w:color w:val="auto"/>
              </w:rPr>
            </w:pPr>
            <w:r>
              <w:rPr>
                <w:rFonts w:ascii="Arial" w:cs="Arial" w:eastAsia="Arial" w:hAnsi="Arial"/>
                <w:sz w:val="17"/>
                <w:szCs w:val="17"/>
                <w:color w:val="auto"/>
              </w:rPr>
              <w:t>Parent Guarantor</w:t>
            </w:r>
          </w:p>
        </w:tc>
        <w:tc>
          <w:tcPr>
            <w:tcW w:w="2940" w:type="dxa"/>
            <w:vAlign w:val="bottom"/>
          </w:tcPr>
          <w:p>
            <w:pPr>
              <w:jc w:val="center"/>
              <w:ind w:right="16"/>
              <w:spacing w:after="0"/>
              <w:rPr>
                <w:sz w:val="20"/>
                <w:szCs w:val="20"/>
                <w:color w:val="auto"/>
              </w:rPr>
            </w:pPr>
            <w:r>
              <w:rPr>
                <w:rFonts w:ascii="Arial" w:cs="Arial" w:eastAsia="Arial" w:hAnsi="Arial"/>
                <w:sz w:val="17"/>
                <w:szCs w:val="17"/>
                <w:color w:val="auto"/>
                <w:w w:val="97"/>
              </w:rPr>
              <w:t>Maryland</w:t>
            </w:r>
          </w:p>
        </w:tc>
      </w:tr>
      <w:tr>
        <w:trPr>
          <w:trHeight w:val="223"/>
        </w:trPr>
        <w:tc>
          <w:tcPr>
            <w:tcW w:w="3360" w:type="dxa"/>
            <w:vAlign w:val="bottom"/>
          </w:tcPr>
          <w:p>
            <w:pPr>
              <w:ind w:left="20"/>
              <w:spacing w:after="0"/>
              <w:rPr>
                <w:sz w:val="20"/>
                <w:szCs w:val="20"/>
                <w:color w:val="auto"/>
              </w:rPr>
            </w:pPr>
            <w:r>
              <w:rPr>
                <w:rFonts w:ascii="Arial" w:cs="Arial" w:eastAsia="Arial" w:hAnsi="Arial"/>
                <w:sz w:val="17"/>
                <w:szCs w:val="17"/>
                <w:color w:val="auto"/>
              </w:rPr>
              <w:t>ESS Holdings Business Trust I</w:t>
            </w:r>
          </w:p>
        </w:tc>
        <w:tc>
          <w:tcPr>
            <w:tcW w:w="3480" w:type="dxa"/>
            <w:vAlign w:val="bottom"/>
          </w:tcPr>
          <w:p>
            <w:pPr>
              <w:ind w:left="1120"/>
              <w:spacing w:after="0"/>
              <w:rPr>
                <w:sz w:val="20"/>
                <w:szCs w:val="20"/>
                <w:color w:val="auto"/>
              </w:rPr>
            </w:pPr>
            <w:r>
              <w:rPr>
                <w:rFonts w:ascii="Arial" w:cs="Arial" w:eastAsia="Arial" w:hAnsi="Arial"/>
                <w:sz w:val="17"/>
                <w:szCs w:val="17"/>
                <w:color w:val="auto"/>
              </w:rPr>
              <w:t>Subsidiary Guarantor</w:t>
            </w:r>
          </w:p>
        </w:tc>
        <w:tc>
          <w:tcPr>
            <w:tcW w:w="2940" w:type="dxa"/>
            <w:vAlign w:val="bottom"/>
          </w:tcPr>
          <w:p>
            <w:pPr>
              <w:jc w:val="center"/>
              <w:ind w:right="36"/>
              <w:spacing w:after="0"/>
              <w:rPr>
                <w:sz w:val="20"/>
                <w:szCs w:val="20"/>
                <w:color w:val="auto"/>
              </w:rPr>
            </w:pPr>
            <w:r>
              <w:rPr>
                <w:rFonts w:ascii="Arial" w:cs="Arial" w:eastAsia="Arial" w:hAnsi="Arial"/>
                <w:sz w:val="17"/>
                <w:szCs w:val="17"/>
                <w:color w:val="auto"/>
                <w:w w:val="89"/>
              </w:rPr>
              <w:t>Massachusetts</w:t>
            </w:r>
          </w:p>
        </w:tc>
      </w:tr>
      <w:tr>
        <w:trPr>
          <w:trHeight w:val="223"/>
        </w:trPr>
        <w:tc>
          <w:tcPr>
            <w:tcW w:w="3360" w:type="dxa"/>
            <w:vAlign w:val="bottom"/>
          </w:tcPr>
          <w:p>
            <w:pPr>
              <w:ind w:left="20"/>
              <w:spacing w:after="0"/>
              <w:rPr>
                <w:sz w:val="20"/>
                <w:szCs w:val="20"/>
                <w:color w:val="auto"/>
              </w:rPr>
            </w:pPr>
            <w:r>
              <w:rPr>
                <w:rFonts w:ascii="Arial" w:cs="Arial" w:eastAsia="Arial" w:hAnsi="Arial"/>
                <w:sz w:val="17"/>
                <w:szCs w:val="17"/>
                <w:color w:val="auto"/>
              </w:rPr>
              <w:t>ESS Holdings Business Trust II</w:t>
            </w:r>
          </w:p>
        </w:tc>
        <w:tc>
          <w:tcPr>
            <w:tcW w:w="3480" w:type="dxa"/>
            <w:vAlign w:val="bottom"/>
          </w:tcPr>
          <w:p>
            <w:pPr>
              <w:ind w:left="1120"/>
              <w:spacing w:after="0"/>
              <w:rPr>
                <w:sz w:val="20"/>
                <w:szCs w:val="20"/>
                <w:color w:val="auto"/>
              </w:rPr>
            </w:pPr>
            <w:r>
              <w:rPr>
                <w:rFonts w:ascii="Arial" w:cs="Arial" w:eastAsia="Arial" w:hAnsi="Arial"/>
                <w:sz w:val="17"/>
                <w:szCs w:val="17"/>
                <w:color w:val="auto"/>
              </w:rPr>
              <w:t>Subsidiary Guarantor</w:t>
            </w:r>
          </w:p>
        </w:tc>
        <w:tc>
          <w:tcPr>
            <w:tcW w:w="2940" w:type="dxa"/>
            <w:vAlign w:val="bottom"/>
          </w:tcPr>
          <w:p>
            <w:pPr>
              <w:jc w:val="center"/>
              <w:ind w:right="36"/>
              <w:spacing w:after="0"/>
              <w:rPr>
                <w:sz w:val="20"/>
                <w:szCs w:val="20"/>
                <w:color w:val="auto"/>
              </w:rPr>
            </w:pPr>
            <w:r>
              <w:rPr>
                <w:rFonts w:ascii="Arial" w:cs="Arial" w:eastAsia="Arial" w:hAnsi="Arial"/>
                <w:sz w:val="17"/>
                <w:szCs w:val="17"/>
                <w:color w:val="auto"/>
                <w:w w:val="89"/>
              </w:rPr>
              <w:t>Massachusetts</w:t>
            </w:r>
          </w:p>
        </w:tc>
      </w:tr>
    </w:tbl>
    <w:p>
      <w:pPr>
        <w:sectPr>
          <w:pgSz w:w="11900" w:h="16838" w:orient="portrait"/>
          <w:cols w:equalWidth="0" w:num="1">
            <w:col w:w="11240"/>
          </w:cols>
          <w:pgMar w:left="320" w:top="86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Joseph D. Margolis, certify that:</w:t>
      </w:r>
    </w:p>
    <w:p>
      <w:pPr>
        <w:spacing w:after="0" w:line="224" w:lineRule="exact"/>
        <w:rPr>
          <w:sz w:val="20"/>
          <w:szCs w:val="20"/>
          <w:color w:val="auto"/>
        </w:rPr>
      </w:pPr>
    </w:p>
    <w:p>
      <w:pPr>
        <w:ind w:left="640" w:hanging="635"/>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Extra Space Storage Inc.;</w:t>
      </w:r>
    </w:p>
    <w:p>
      <w:pPr>
        <w:spacing w:after="0" w:line="224"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1260" w:right="100" w:hanging="626"/>
        <w:spacing w:after="0" w:line="273" w:lineRule="auto"/>
        <w:tabs>
          <w:tab w:leader="none" w:pos="125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260" w:right="360" w:hanging="626"/>
        <w:spacing w:after="0" w:line="273" w:lineRule="auto"/>
        <w:tabs>
          <w:tab w:leader="none" w:pos="12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260" w:right="520" w:hanging="626"/>
        <w:spacing w:after="0" w:line="360" w:lineRule="auto"/>
        <w:tabs>
          <w:tab w:leader="none" w:pos="125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1260" w:right="100" w:hanging="626"/>
        <w:spacing w:after="0" w:line="273" w:lineRule="auto"/>
        <w:tabs>
          <w:tab w:leader="none" w:pos="12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640" w:right="320" w:hanging="635"/>
        <w:spacing w:after="0" w:line="32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260" w:right="20" w:hanging="626"/>
        <w:spacing w:after="0" w:line="289" w:lineRule="auto"/>
        <w:tabs>
          <w:tab w:leader="none" w:pos="125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1260" w:right="520" w:hanging="626"/>
        <w:spacing w:after="0" w:line="289" w:lineRule="auto"/>
        <w:tabs>
          <w:tab w:leader="none" w:pos="12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220" w:type="dxa"/>
            <w:vAlign w:val="bottom"/>
          </w:tcPr>
          <w:p>
            <w:pPr>
              <w:spacing w:after="0"/>
              <w:rPr>
                <w:sz w:val="20"/>
                <w:szCs w:val="20"/>
                <w:color w:val="auto"/>
              </w:rPr>
            </w:pPr>
            <w:r>
              <w:rPr>
                <w:rFonts w:ascii="Arial" w:cs="Arial" w:eastAsia="Arial" w:hAnsi="Arial"/>
                <w:sz w:val="17"/>
                <w:szCs w:val="17"/>
                <w:color w:val="auto"/>
              </w:rPr>
              <w:t>Date: November 9, 2023</w:t>
            </w:r>
          </w:p>
        </w:tc>
        <w:tc>
          <w:tcPr>
            <w:tcW w:w="2180" w:type="dxa"/>
            <w:vAlign w:val="bottom"/>
          </w:tcPr>
          <w:p>
            <w:pPr>
              <w:ind w:left="1500"/>
              <w:spacing w:after="0"/>
              <w:rPr>
                <w:sz w:val="20"/>
                <w:szCs w:val="20"/>
                <w:color w:val="auto"/>
              </w:rPr>
            </w:pPr>
            <w:r>
              <w:rPr>
                <w:rFonts w:ascii="Arial" w:cs="Arial" w:eastAsia="Arial" w:hAnsi="Arial"/>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Joseph D. Margolis</w:t>
            </w:r>
          </w:p>
        </w:tc>
      </w:tr>
      <w:tr>
        <w:trPr>
          <w:trHeight w:val="216"/>
        </w:trPr>
        <w:tc>
          <w:tcPr>
            <w:tcW w:w="3220" w:type="dxa"/>
            <w:vAlign w:val="bottom"/>
          </w:tcPr>
          <w:p>
            <w:pPr>
              <w:spacing w:after="0"/>
              <w:rPr>
                <w:sz w:val="18"/>
                <w:szCs w:val="18"/>
                <w:color w:val="auto"/>
              </w:rPr>
            </w:pPr>
          </w:p>
        </w:tc>
        <w:tc>
          <w:tcPr>
            <w:tcW w:w="2180" w:type="dxa"/>
            <w:vAlign w:val="bottom"/>
          </w:tcPr>
          <w:p>
            <w:pPr>
              <w:ind w:left="1500"/>
              <w:spacing w:after="0"/>
              <w:rPr>
                <w:sz w:val="20"/>
                <w:szCs w:val="20"/>
                <w:color w:val="auto"/>
              </w:rPr>
            </w:pPr>
            <w:r>
              <w:rPr>
                <w:rFonts w:ascii="Arial" w:cs="Arial" w:eastAsia="Arial" w:hAnsi="Arial"/>
                <w:sz w:val="17"/>
                <w:szCs w:val="17"/>
                <w:color w:val="auto"/>
              </w:rPr>
              <w:t>Name:</w:t>
            </w:r>
          </w:p>
        </w:tc>
        <w:tc>
          <w:tcPr>
            <w:tcW w:w="5160" w:type="dxa"/>
            <w:vAlign w:val="bottom"/>
          </w:tcPr>
          <w:p>
            <w:pPr>
              <w:ind w:left="20"/>
              <w:spacing w:after="0"/>
              <w:rPr>
                <w:sz w:val="20"/>
                <w:szCs w:val="20"/>
                <w:color w:val="auto"/>
              </w:rPr>
            </w:pPr>
            <w:r>
              <w:rPr>
                <w:rFonts w:ascii="Arial" w:cs="Arial" w:eastAsia="Arial" w:hAnsi="Arial"/>
                <w:sz w:val="17"/>
                <w:szCs w:val="17"/>
                <w:color w:val="auto"/>
              </w:rPr>
              <w:t>Joseph D. Margolis</w:t>
            </w:r>
          </w:p>
        </w:tc>
      </w:tr>
      <w:tr>
        <w:trPr>
          <w:trHeight w:val="223"/>
        </w:trPr>
        <w:tc>
          <w:tcPr>
            <w:tcW w:w="3220" w:type="dxa"/>
            <w:vAlign w:val="bottom"/>
          </w:tcPr>
          <w:p>
            <w:pPr>
              <w:spacing w:after="0"/>
              <w:rPr>
                <w:sz w:val="19"/>
                <w:szCs w:val="19"/>
                <w:color w:val="auto"/>
              </w:rPr>
            </w:pPr>
          </w:p>
        </w:tc>
        <w:tc>
          <w:tcPr>
            <w:tcW w:w="2180" w:type="dxa"/>
            <w:vAlign w:val="bottom"/>
          </w:tcPr>
          <w:p>
            <w:pPr>
              <w:ind w:left="1500"/>
              <w:spacing w:after="0"/>
              <w:rPr>
                <w:sz w:val="20"/>
                <w:szCs w:val="20"/>
                <w:color w:val="auto"/>
              </w:rPr>
            </w:pPr>
            <w:r>
              <w:rPr>
                <w:rFonts w:ascii="Arial" w:cs="Arial" w:eastAsia="Arial" w:hAnsi="Arial"/>
                <w:sz w:val="17"/>
                <w:szCs w:val="17"/>
                <w:color w:val="auto"/>
              </w:rPr>
              <w:t>Title:</w:t>
            </w:r>
          </w:p>
        </w:tc>
        <w:tc>
          <w:tcPr>
            <w:tcW w:w="516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86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P. Scott Stubbs, certify that:</w:t>
      </w:r>
    </w:p>
    <w:p>
      <w:pPr>
        <w:spacing w:after="0" w:line="224" w:lineRule="exact"/>
        <w:rPr>
          <w:sz w:val="20"/>
          <w:szCs w:val="20"/>
          <w:color w:val="auto"/>
        </w:rPr>
      </w:pPr>
    </w:p>
    <w:p>
      <w:pPr>
        <w:ind w:left="640" w:hanging="635"/>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Extra Space Storage Inc.;</w:t>
      </w:r>
    </w:p>
    <w:p>
      <w:pPr>
        <w:spacing w:after="0" w:line="224"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1260" w:right="100" w:hanging="626"/>
        <w:spacing w:after="0" w:line="273" w:lineRule="auto"/>
        <w:tabs>
          <w:tab w:leader="none" w:pos="125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260" w:right="360" w:hanging="626"/>
        <w:spacing w:after="0" w:line="273" w:lineRule="auto"/>
        <w:tabs>
          <w:tab w:leader="none" w:pos="12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260" w:right="520" w:hanging="626"/>
        <w:spacing w:after="0" w:line="360" w:lineRule="auto"/>
        <w:tabs>
          <w:tab w:leader="none" w:pos="125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1260" w:right="100" w:hanging="626"/>
        <w:spacing w:after="0" w:line="273" w:lineRule="auto"/>
        <w:tabs>
          <w:tab w:leader="none" w:pos="12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640" w:right="320" w:hanging="635"/>
        <w:spacing w:after="0" w:line="322"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260" w:right="20" w:hanging="626"/>
        <w:spacing w:after="0" w:line="289" w:lineRule="auto"/>
        <w:tabs>
          <w:tab w:leader="none" w:pos="125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1260" w:right="520" w:hanging="626"/>
        <w:spacing w:after="0" w:line="289" w:lineRule="auto"/>
        <w:tabs>
          <w:tab w:leader="none" w:pos="12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220" w:type="dxa"/>
            <w:vAlign w:val="bottom"/>
          </w:tcPr>
          <w:p>
            <w:pPr>
              <w:spacing w:after="0"/>
              <w:rPr>
                <w:sz w:val="20"/>
                <w:szCs w:val="20"/>
                <w:color w:val="auto"/>
              </w:rPr>
            </w:pPr>
            <w:r>
              <w:rPr>
                <w:rFonts w:ascii="Arial" w:cs="Arial" w:eastAsia="Arial" w:hAnsi="Arial"/>
                <w:sz w:val="17"/>
                <w:szCs w:val="17"/>
                <w:color w:val="auto"/>
              </w:rPr>
              <w:t>Date: November 9, 2023</w:t>
            </w:r>
          </w:p>
        </w:tc>
        <w:tc>
          <w:tcPr>
            <w:tcW w:w="2180" w:type="dxa"/>
            <w:vAlign w:val="bottom"/>
          </w:tcPr>
          <w:p>
            <w:pPr>
              <w:ind w:left="1500"/>
              <w:spacing w:after="0"/>
              <w:rPr>
                <w:sz w:val="20"/>
                <w:szCs w:val="20"/>
                <w:color w:val="auto"/>
              </w:rPr>
            </w:pPr>
            <w:r>
              <w:rPr>
                <w:rFonts w:ascii="Arial" w:cs="Arial" w:eastAsia="Arial" w:hAnsi="Arial"/>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P. Scott Stubbs</w:t>
            </w:r>
          </w:p>
        </w:tc>
      </w:tr>
      <w:tr>
        <w:trPr>
          <w:trHeight w:val="216"/>
        </w:trPr>
        <w:tc>
          <w:tcPr>
            <w:tcW w:w="3220" w:type="dxa"/>
            <w:vAlign w:val="bottom"/>
          </w:tcPr>
          <w:p>
            <w:pPr>
              <w:spacing w:after="0"/>
              <w:rPr>
                <w:sz w:val="18"/>
                <w:szCs w:val="18"/>
                <w:color w:val="auto"/>
              </w:rPr>
            </w:pPr>
          </w:p>
        </w:tc>
        <w:tc>
          <w:tcPr>
            <w:tcW w:w="2180" w:type="dxa"/>
            <w:vAlign w:val="bottom"/>
          </w:tcPr>
          <w:p>
            <w:pPr>
              <w:ind w:left="1500"/>
              <w:spacing w:after="0"/>
              <w:rPr>
                <w:sz w:val="20"/>
                <w:szCs w:val="20"/>
                <w:color w:val="auto"/>
              </w:rPr>
            </w:pPr>
            <w:r>
              <w:rPr>
                <w:rFonts w:ascii="Arial" w:cs="Arial" w:eastAsia="Arial" w:hAnsi="Arial"/>
                <w:sz w:val="17"/>
                <w:szCs w:val="17"/>
                <w:color w:val="auto"/>
              </w:rPr>
              <w:t>Name:</w:t>
            </w:r>
          </w:p>
        </w:tc>
        <w:tc>
          <w:tcPr>
            <w:tcW w:w="5160" w:type="dxa"/>
            <w:vAlign w:val="bottom"/>
          </w:tcPr>
          <w:p>
            <w:pPr>
              <w:ind w:left="20"/>
              <w:spacing w:after="0"/>
              <w:rPr>
                <w:sz w:val="20"/>
                <w:szCs w:val="20"/>
                <w:color w:val="auto"/>
              </w:rPr>
            </w:pPr>
            <w:r>
              <w:rPr>
                <w:rFonts w:ascii="Arial" w:cs="Arial" w:eastAsia="Arial" w:hAnsi="Arial"/>
                <w:sz w:val="17"/>
                <w:szCs w:val="17"/>
                <w:color w:val="auto"/>
              </w:rPr>
              <w:t>P. Scott Stubbs</w:t>
            </w:r>
          </w:p>
        </w:tc>
      </w:tr>
      <w:tr>
        <w:trPr>
          <w:trHeight w:val="223"/>
        </w:trPr>
        <w:tc>
          <w:tcPr>
            <w:tcW w:w="3220" w:type="dxa"/>
            <w:vAlign w:val="bottom"/>
          </w:tcPr>
          <w:p>
            <w:pPr>
              <w:spacing w:after="0"/>
              <w:rPr>
                <w:sz w:val="19"/>
                <w:szCs w:val="19"/>
                <w:color w:val="auto"/>
              </w:rPr>
            </w:pPr>
          </w:p>
        </w:tc>
        <w:tc>
          <w:tcPr>
            <w:tcW w:w="2180" w:type="dxa"/>
            <w:vAlign w:val="bottom"/>
          </w:tcPr>
          <w:p>
            <w:pPr>
              <w:ind w:left="1500"/>
              <w:spacing w:after="0"/>
              <w:rPr>
                <w:sz w:val="20"/>
                <w:szCs w:val="20"/>
                <w:color w:val="auto"/>
              </w:rPr>
            </w:pPr>
            <w:r>
              <w:rPr>
                <w:rFonts w:ascii="Arial" w:cs="Arial" w:eastAsia="Arial" w:hAnsi="Arial"/>
                <w:sz w:val="17"/>
                <w:szCs w:val="17"/>
                <w:color w:val="auto"/>
              </w:rPr>
              <w:t>Title:</w:t>
            </w:r>
          </w:p>
        </w:tc>
        <w:tc>
          <w:tcPr>
            <w:tcW w:w="516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bl>
    <w:p>
      <w:pPr>
        <w:sectPr>
          <w:pgSz w:w="11900" w:h="16838" w:orient="portrait"/>
          <w:cols w:equalWidth="0" w:num="1">
            <w:col w:w="11240"/>
          </w:cols>
          <w:pgMar w:left="320" w:top="86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9" w:lineRule="exact"/>
        <w:rPr>
          <w:sz w:val="20"/>
          <w:szCs w:val="20"/>
          <w:color w:val="auto"/>
        </w:rPr>
      </w:pPr>
    </w:p>
    <w:tbl>
      <w:tblPr>
        <w:tblLayout w:type="fixed"/>
        <w:tblInd w:w="504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Joseph D. Margolis</w:t>
            </w:r>
          </w:p>
        </w:tc>
      </w:tr>
      <w:tr>
        <w:trPr>
          <w:trHeight w:val="216"/>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5460" w:type="dxa"/>
            <w:vAlign w:val="bottom"/>
          </w:tcPr>
          <w:p>
            <w:pPr>
              <w:ind w:left="20"/>
              <w:spacing w:after="0"/>
              <w:rPr>
                <w:sz w:val="20"/>
                <w:szCs w:val="20"/>
                <w:color w:val="auto"/>
              </w:rPr>
            </w:pPr>
            <w:r>
              <w:rPr>
                <w:rFonts w:ascii="Arial" w:cs="Arial" w:eastAsia="Arial" w:hAnsi="Arial"/>
                <w:sz w:val="17"/>
                <w:szCs w:val="17"/>
                <w:color w:val="auto"/>
              </w:rPr>
              <w:t>Joseph D. Margolis</w:t>
            </w:r>
          </w:p>
        </w:tc>
      </w:tr>
      <w:tr>
        <w:trPr>
          <w:trHeight w:val="223"/>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46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3"/>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5460" w:type="dxa"/>
            <w:vAlign w:val="bottom"/>
          </w:tcPr>
          <w:p>
            <w:pPr>
              <w:ind w:left="20"/>
              <w:spacing w:after="0"/>
              <w:rPr>
                <w:sz w:val="20"/>
                <w:szCs w:val="20"/>
                <w:color w:val="auto"/>
              </w:rPr>
            </w:pPr>
            <w:r>
              <w:rPr>
                <w:rFonts w:ascii="Arial" w:cs="Arial" w:eastAsia="Arial" w:hAnsi="Arial"/>
                <w:sz w:val="17"/>
                <w:szCs w:val="17"/>
                <w:color w:val="auto"/>
              </w:rPr>
              <w:t>November 9, 2023</w:t>
            </w:r>
          </w:p>
        </w:tc>
      </w:tr>
    </w:tbl>
    <w:p>
      <w:pPr>
        <w:spacing w:after="0" w:line="290"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9" w:lineRule="exact"/>
        <w:rPr>
          <w:sz w:val="20"/>
          <w:szCs w:val="20"/>
          <w:color w:val="auto"/>
        </w:rPr>
      </w:pPr>
    </w:p>
    <w:tbl>
      <w:tblPr>
        <w:tblLayout w:type="fixed"/>
        <w:tblInd w:w="504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P. Scott Stubbs</w:t>
            </w:r>
          </w:p>
        </w:tc>
      </w:tr>
      <w:tr>
        <w:trPr>
          <w:trHeight w:val="216"/>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5460" w:type="dxa"/>
            <w:vAlign w:val="bottom"/>
          </w:tcPr>
          <w:p>
            <w:pPr>
              <w:ind w:left="20"/>
              <w:spacing w:after="0"/>
              <w:rPr>
                <w:sz w:val="20"/>
                <w:szCs w:val="20"/>
                <w:color w:val="auto"/>
              </w:rPr>
            </w:pPr>
            <w:r>
              <w:rPr>
                <w:rFonts w:ascii="Arial" w:cs="Arial" w:eastAsia="Arial" w:hAnsi="Arial"/>
                <w:sz w:val="17"/>
                <w:szCs w:val="17"/>
                <w:color w:val="auto"/>
              </w:rPr>
              <w:t>P. Scott Stubbs</w:t>
            </w:r>
          </w:p>
        </w:tc>
      </w:tr>
      <w:tr>
        <w:trPr>
          <w:trHeight w:val="223"/>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46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23"/>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5460" w:type="dxa"/>
            <w:vAlign w:val="bottom"/>
          </w:tcPr>
          <w:p>
            <w:pPr>
              <w:ind w:left="20"/>
              <w:spacing w:after="0"/>
              <w:rPr>
                <w:sz w:val="20"/>
                <w:szCs w:val="20"/>
                <w:color w:val="auto"/>
              </w:rPr>
            </w:pPr>
            <w:r>
              <w:rPr>
                <w:rFonts w:ascii="Arial" w:cs="Arial" w:eastAsia="Arial" w:hAnsi="Arial"/>
                <w:sz w:val="17"/>
                <w:szCs w:val="17"/>
                <w:color w:val="auto"/>
              </w:rPr>
              <w:t>November 9, 2023</w:t>
            </w:r>
          </w:p>
        </w:tc>
      </w:tr>
    </w:tbl>
    <w:p>
      <w:pPr>
        <w:spacing w:after="0" w:line="1" w:lineRule="exact"/>
        <w:rPr>
          <w:sz w:val="20"/>
          <w:szCs w:val="20"/>
          <w:color w:val="auto"/>
        </w:rPr>
      </w:pP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Letter"/>
      <w:start w:val="9"/>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2"/>
    </w:lvl>
  </w:abstractNum>
  <w:abstractNum w:abstractNumId="13">
    <w:nsid w:val="41A7C4C9"/>
    <w:multiLevelType w:val="hybridMultilevel"/>
    <w:lvl w:ilvl="0">
      <w:lvlJc w:val="left"/>
      <w:lvlText w:val="%1"/>
      <w:numFmt w:val="decimal"/>
      <w:start w:val="101"/>
    </w:lvl>
  </w:abstractNum>
  <w:abstractNum w:abstractNumId="14">
    <w:nsid w:val="6B68079A"/>
    <w:multiLevelType w:val="hybridMultilevel"/>
    <w:lvl w:ilvl="0">
      <w:lvlJc w:val="left"/>
      <w:lvlText w:val="%1"/>
      <w:numFmt w:val="decimal"/>
      <w:start w:val="104"/>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2" Type="http://schemas.openxmlformats.org/officeDocument/2006/relationships/image" Target="media/image59.png"/><Relationship Id="rId66" Type="http://schemas.openxmlformats.org/officeDocument/2006/relationships/hyperlink" Target="https://www.sec.gov/Archives/edgar/data/1289490/000119312523193502/d541032dex42.htm" TargetMode="External"/><Relationship Id="rId67" Type="http://schemas.openxmlformats.org/officeDocument/2006/relationships/hyperlink" Target="https://www.sec.gov/Archives/edgar/data/1289490/000119312523193502/d541032dex44.htm" TargetMode="External"/><Relationship Id="rId68" Type="http://schemas.openxmlformats.org/officeDocument/2006/relationships/hyperlink" Target="https://www.sec.gov/Archives/edgar/data/1289490/000119312523193502/d541032dex45.htm" TargetMode="External"/><Relationship Id="rId69" Type="http://schemas.openxmlformats.org/officeDocument/2006/relationships/hyperlink" Target="https://www.sec.gov/Archives/edgar/data/1289490/000119312523193502/d541032dex46.htm" TargetMode="External"/><Relationship Id="rId70" Type="http://schemas.openxmlformats.org/officeDocument/2006/relationships/hyperlink" Target="https://www.sec.gov/Archives/edgar/data/1289490/000119312523193502/d541032dex47.htm" TargetMode="External"/><Relationship Id="rId71" Type="http://schemas.openxmlformats.org/officeDocument/2006/relationships/hyperlink" Target="https://www.sec.gov/Archives/edgar/data/1289490/000119312523193502/d541032dex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2023-11-09T16:28:14Z</dcterms:created>
  <dcterms:modified xsi:type="dcterms:W3CDTF">2023-11-09T16:28:14Z</dcterms:modified>
</cp:coreProperties>
</file>