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1851660</wp:posOffset>
            </wp:positionH>
            <wp:positionV relativeFrom="paragraph">
              <wp:posOffset>85725</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86360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3" w:lineRule="exact"/>
        <w:rPr>
          <w:sz w:val="24"/>
          <w:szCs w:val="24"/>
          <w:color w:val="auto"/>
        </w:rPr>
      </w:pPr>
    </w:p>
    <w:p>
      <w:pPr>
        <w:ind w:left="680" w:right="380" w:hanging="658"/>
        <w:spacing w:after="0" w:line="245" w:lineRule="auto"/>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3" w:lineRule="exact"/>
        <w:rPr>
          <w:sz w:val="24"/>
          <w:szCs w:val="24"/>
          <w:color w:val="auto"/>
        </w:rPr>
      </w:pPr>
    </w:p>
    <w:p>
      <w:pPr>
        <w:ind w:left="700" w:right="340" w:hanging="665"/>
        <w:spacing w:after="0" w:line="245" w:lineRule="auto"/>
        <w:tabs>
          <w:tab w:leader="none" w:pos="7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2880" w:type="dxa"/>
        <w:tblCellMar>
          <w:top w:w="0" w:type="dxa"/>
          <w:left w:w="0" w:type="dxa"/>
          <w:bottom w:w="0" w:type="dxa"/>
          <w:right w:w="0" w:type="dxa"/>
        </w:tblCellMar>
      </w:tblPr>
      <w:tr>
        <w:trPr>
          <w:trHeight w:val="195"/>
        </w:trPr>
        <w:tc>
          <w:tcPr>
            <w:tcW w:w="28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8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Pr>
          <w:p>
            <w:pPr>
              <w:jc w:val="right"/>
              <w:ind w:right="525"/>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29"/>
        </w:trPr>
        <w:tc>
          <w:tcPr>
            <w:tcW w:w="4500" w:type="dxa"/>
            <w:vAlign w:val="bottom"/>
            <w:gridSpan w:val="4"/>
          </w:tcPr>
          <w:p>
            <w:pPr>
              <w:ind w:left="1360"/>
              <w:spacing w:after="0"/>
              <w:rPr>
                <w:sz w:val="20"/>
                <w:szCs w:val="20"/>
                <w:color w:val="auto"/>
              </w:rPr>
            </w:pPr>
            <w:r>
              <w:rPr>
                <w:rFonts w:ascii="Times New Roman" w:cs="Times New Roman" w:eastAsia="Times New Roman" w:hAnsi="Times New Roman"/>
                <w:sz w:val="17"/>
                <w:szCs w:val="17"/>
                <w:b w:val="1"/>
                <w:bCs w:val="1"/>
                <w:color w:val="auto"/>
              </w:rPr>
              <w:t>Commission File Number: 001-32269</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79"/>
        </w:trPr>
        <w:tc>
          <w:tcPr>
            <w:tcW w:w="28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bl>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EXTRA SPACE STORAGE INC.</w:t>
      </w:r>
    </w:p>
    <w:p>
      <w:pPr>
        <w:spacing w:after="0" w:line="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57785</wp:posOffset>
            </wp:positionV>
            <wp:extent cx="3472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p>
      <w:pPr>
        <w:spacing w:after="0" w:line="20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20-1076777</w:t>
      </w:r>
    </w:p>
    <w:p>
      <w:pPr>
        <w:spacing w:after="0" w:line="25" w:lineRule="exact"/>
        <w:rPr>
          <w:sz w:val="24"/>
          <w:szCs w:val="24"/>
          <w:color w:val="auto"/>
        </w:rPr>
      </w:pPr>
    </w:p>
    <w:p>
      <w:pPr>
        <w:sectPr>
          <w:pgSz w:w="11900" w:h="16838" w:orient="portrait"/>
          <w:cols w:equalWidth="0" w:num="2">
            <w:col w:w="7400" w:space="720"/>
            <w:col w:w="3120"/>
          </w:cols>
          <w:pgMar w:left="320" w:top="525" w:right="3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240"/>
          </w:cols>
          <w:pgMar w:left="320" w:top="525" w:right="339" w:bottom="1440" w:gutter="0" w:footer="0" w:header="0"/>
          <w:type w:val="continuous"/>
        </w:sectPr>
      </w:pP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2795 East Cottonwood Parkway, Suite 300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Salt Lake City, Utah 84121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240"/>
          </w:cols>
          <w:pgMar w:left="320" w:top="525" w:right="33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(801) 365-4600</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Securities Exchange Act of 1934</w:t>
      </w:r>
    </w:p>
    <w:p>
      <w:pPr>
        <w:spacing w:after="0" w:line="49" w:lineRule="exact"/>
        <w:rPr>
          <w:sz w:val="24"/>
          <w:szCs w:val="24"/>
          <w:color w:val="auto"/>
        </w:rPr>
      </w:pPr>
    </w:p>
    <w:tbl>
      <w:tblPr>
        <w:tblLayout w:type="fixed"/>
        <w:tblInd w:w="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4040" w:type="dxa"/>
            <w:vAlign w:val="bottom"/>
            <w:gridSpan w:val="2"/>
          </w:tcPr>
          <w:p>
            <w:pPr>
              <w:jc w:val="center"/>
              <w:ind w:left="713"/>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504"/>
        </w:trPr>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780" w:type="dxa"/>
            <w:vAlign w:val="bottom"/>
          </w:tcPr>
          <w:p>
            <w:pPr>
              <w:spacing w:after="0"/>
              <w:rPr>
                <w:sz w:val="24"/>
                <w:szCs w:val="24"/>
                <w:color w:val="auto"/>
              </w:rPr>
            </w:pPr>
          </w:p>
        </w:tc>
        <w:tc>
          <w:tcPr>
            <w:tcW w:w="20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9"/>
              </w:rPr>
              <w:t>EXR</w:t>
            </w:r>
          </w:p>
        </w:tc>
        <w:tc>
          <w:tcPr>
            <w:tcW w:w="8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00" w:lineRule="exact"/>
        <w:rPr>
          <w:sz w:val="24"/>
          <w:szCs w:val="24"/>
          <w:color w:val="auto"/>
        </w:rPr>
      </w:pPr>
    </w:p>
    <w:p>
      <w:pPr>
        <w:spacing w:after="0" w:line="320" w:lineRule="exact"/>
        <w:rPr>
          <w:sz w:val="24"/>
          <w:szCs w:val="24"/>
          <w:color w:val="auto"/>
        </w:rPr>
      </w:pPr>
    </w:p>
    <w:p>
      <w:pPr>
        <w:jc w:val="both"/>
        <w:ind w:right="8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1" w:lineRule="exact"/>
        <w:rPr>
          <w:sz w:val="24"/>
          <w:szCs w:val="24"/>
          <w:color w:val="auto"/>
        </w:rPr>
      </w:pPr>
    </w:p>
    <w:p>
      <w:pPr>
        <w:ind w:right="68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1"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23"/>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94"/>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601"/>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jc w:val="right"/>
              <w:ind w:right="4693"/>
              <w:spacing w:after="0"/>
              <w:rPr>
                <w:sz w:val="20"/>
                <w:szCs w:val="20"/>
                <w:color w:val="auto"/>
              </w:rPr>
            </w:pPr>
            <w:r>
              <w:rPr>
                <w:rFonts w:ascii="Times New Roman" w:cs="Times New Roman" w:eastAsia="Times New Roman" w:hAnsi="Times New Roman"/>
                <w:sz w:val="17"/>
                <w:szCs w:val="17"/>
                <w:color w:val="auto"/>
              </w:rPr>
              <w:t>1</w:t>
            </w:r>
          </w:p>
        </w:tc>
        <w:tc>
          <w:tcPr>
            <w:tcW w:w="800" w:type="dxa"/>
            <w:vAlign w:val="bottom"/>
          </w:tcPr>
          <w:p>
            <w:pPr>
              <w:spacing w:after="0"/>
              <w:rPr>
                <w:sz w:val="24"/>
                <w:szCs w:val="24"/>
                <w:color w:val="auto"/>
              </w:rPr>
            </w:pPr>
          </w:p>
        </w:tc>
      </w:tr>
      <w:tr>
        <w:trPr>
          <w:trHeight w:val="112"/>
        </w:trPr>
        <w:tc>
          <w:tcPr>
            <w:tcW w:w="20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6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type w:val="continuous"/>
        </w:sectPr>
      </w:pPr>
    </w:p>
    <w:bookmarkStart w:id="1" w:name="page2"/>
    <w:bookmarkEnd w:id="1"/>
    <w:p>
      <w:pPr>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3" w:lineRule="exact"/>
        <w:rPr>
          <w:sz w:val="20"/>
          <w:szCs w:val="20"/>
          <w:color w:val="auto"/>
        </w:rPr>
      </w:pPr>
    </w:p>
    <w:p>
      <w:pPr>
        <w:spacing w:after="0" w:line="196" w:lineRule="exact"/>
        <w:tabs>
          <w:tab w:leader="none" w:pos="8100" w:val="left"/>
          <w:tab w:leader="none" w:pos="8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Wingdings" w:cs="Wingdings" w:eastAsia="Wingdings" w:hAnsi="Wingdings"/>
          <w:sz w:val="15"/>
          <w:szCs w:val="15"/>
          <w:b w:val="1"/>
          <w:bCs w:val="1"/>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outstanding of the registrant’s common stock, par value $0.01 per share, as of October 30, 2024, was 211,983,569.</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436"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102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6"/>
          </w:tcPr>
          <w:p>
            <w:pPr>
              <w:jc w:val="center"/>
              <w:ind w:right="4060"/>
              <w:spacing w:after="0"/>
              <w:rPr>
                <w:sz w:val="20"/>
                <w:szCs w:val="20"/>
                <w:color w:val="auto"/>
              </w:rPr>
            </w:pPr>
            <w:r>
              <w:rPr>
                <w:rFonts w:ascii="Times New Roman" w:cs="Times New Roman" w:eastAsia="Times New Roman" w:hAnsi="Times New Roman"/>
                <w:sz w:val="17"/>
                <w:szCs w:val="17"/>
                <w:b w:val="1"/>
                <w:bCs w:val="1"/>
                <w:color w:val="auto"/>
              </w:rPr>
              <w:t>EXTRA SPACE STORAGE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gridSpan w:val="5"/>
          </w:tcPr>
          <w:p>
            <w:pPr>
              <w:jc w:val="center"/>
              <w:ind w:right="4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STATEMENT ON FORWARD-LOOKING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8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1580" w:type="dxa"/>
            <w:vAlign w:val="bottom"/>
            <w:gridSpan w:val="5"/>
          </w:tcPr>
          <w:p>
            <w:pPr>
              <w:spacing w:after="0"/>
              <w:rPr>
                <w:sz w:val="22"/>
                <w:szCs w:val="22"/>
                <w:color w:val="auto"/>
              </w:rPr>
            </w:pPr>
          </w:p>
        </w:tc>
        <w:tc>
          <w:tcPr>
            <w:tcW w:w="6440" w:type="dxa"/>
            <w:vAlign w:val="bottom"/>
            <w:gridSpan w:val="5"/>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1. FINANCIAL STATEMENTS (unaudited)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NOTES TO CONDENSED CONSOLIDATED FINANCIAL STATEMENTS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2. MANAGEMENT’S DISCUSSION AND ANALYSIS OF FINANCIAL CONDITION AND RESULTS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140" w:type="dxa"/>
            <w:vAlign w:val="bottom"/>
            <w:tcBorders>
              <w:top w:val="single" w:sz="8" w:color="0000FF"/>
              <w:bottom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7"/>
                <w:szCs w:val="17"/>
                <w:b w:val="1"/>
                <w:bCs w:val="1"/>
                <w:color w:val="0000FF"/>
                <w:w w:val="99"/>
              </w:rPr>
              <w:t>OPERATIONS</w:t>
            </w: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40" w:type="dxa"/>
            <w:vAlign w:val="bottom"/>
            <w:tcBorders>
              <w:top w:val="single" w:sz="8" w:color="0000FF"/>
              <w:bottom w:val="single" w:sz="8" w:color="0000FF"/>
            </w:tcBorders>
          </w:tcPr>
          <w:p>
            <w:pPr>
              <w:spacing w:after="0"/>
              <w:rPr>
                <w:sz w:val="16"/>
                <w:szCs w:val="16"/>
                <w:color w:val="auto"/>
              </w:rPr>
            </w:pPr>
          </w:p>
        </w:tc>
        <w:tc>
          <w:tcPr>
            <w:tcW w:w="500" w:type="dxa"/>
            <w:vAlign w:val="bottom"/>
            <w:tcBorders>
              <w:top w:val="single" w:sz="8" w:color="0000FF"/>
              <w:bottom w:val="single" w:sz="8" w:color="0000FF"/>
            </w:tcBorders>
          </w:tcPr>
          <w:p>
            <w:pPr>
              <w:spacing w:after="0"/>
              <w:rPr>
                <w:sz w:val="16"/>
                <w:szCs w:val="16"/>
                <w:color w:val="auto"/>
              </w:rPr>
            </w:pPr>
          </w:p>
        </w:tc>
        <w:tc>
          <w:tcPr>
            <w:tcW w:w="180" w:type="dxa"/>
            <w:vAlign w:val="bottom"/>
            <w:tcBorders>
              <w:top w:val="single" w:sz="8" w:color="0000FF"/>
              <w:bottom w:val="single" w:sz="8" w:color="0000FF"/>
            </w:tcBorders>
          </w:tcPr>
          <w:p>
            <w:pPr>
              <w:spacing w:after="0"/>
              <w:rPr>
                <w:sz w:val="16"/>
                <w:szCs w:val="16"/>
                <w:color w:val="auto"/>
              </w:rPr>
            </w:pPr>
          </w:p>
        </w:tc>
        <w:tc>
          <w:tcPr>
            <w:tcW w:w="600" w:type="dxa"/>
            <w:vAlign w:val="bottom"/>
            <w:tcBorders>
              <w:top w:val="single" w:sz="8" w:color="0000FF"/>
              <w:bottom w:val="single" w:sz="8" w:color="0000FF"/>
            </w:tcBorders>
            <w:gridSpan w:val="2"/>
          </w:tcPr>
          <w:p>
            <w:pPr>
              <w:spacing w:after="0"/>
              <w:rPr>
                <w:sz w:val="16"/>
                <w:szCs w:val="16"/>
                <w:color w:val="auto"/>
              </w:rPr>
            </w:pPr>
          </w:p>
        </w:tc>
        <w:tc>
          <w:tcPr>
            <w:tcW w:w="2940" w:type="dxa"/>
            <w:vAlign w:val="bottom"/>
            <w:tcBorders>
              <w:top w:val="single" w:sz="8" w:color="0000FF"/>
              <w:bottom w:val="single" w:sz="8" w:color="0000FF"/>
            </w:tcBorders>
            <w:gridSpan w:val="3"/>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1560" w:type="dxa"/>
            <w:vAlign w:val="bottom"/>
            <w:tcBorders>
              <w:top w:val="single" w:sz="8" w:color="0000FF"/>
              <w:bottom w:val="single" w:sz="8" w:color="0000FF"/>
            </w:tcBorders>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60" w:type="dxa"/>
            <w:vAlign w:val="bottom"/>
            <w:gridSpan w:val="17"/>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ITEM 3. QUANTITATIVE AND QUALITATIVE DISCLOSURES ABOUT MARKET RISK</w:t>
            </w:r>
          </w:p>
        </w:tc>
        <w:tc>
          <w:tcPr>
            <w:tcW w:w="372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60" w:type="dxa"/>
            <w:vAlign w:val="bottom"/>
            <w:tcBorders>
              <w:bottom w:val="single" w:sz="8" w:color="0000FF"/>
            </w:tcBorders>
            <w:gridSpan w:val="17"/>
            <w:vMerge w:val="continue"/>
          </w:tcPr>
          <w:p>
            <w:pPr>
              <w:spacing w:after="0"/>
              <w:rPr>
                <w:sz w:val="16"/>
                <w:szCs w:val="16"/>
                <w:color w:val="auto"/>
              </w:rPr>
            </w:pPr>
          </w:p>
        </w:tc>
        <w:tc>
          <w:tcPr>
            <w:tcW w:w="3720" w:type="dxa"/>
            <w:vAlign w:val="bottom"/>
            <w:gridSpan w:val="2"/>
            <w:vMerge w:val="continue"/>
          </w:tcPr>
          <w:p>
            <w:pPr>
              <w:spacing w:after="0"/>
              <w:rPr>
                <w:sz w:val="16"/>
                <w:szCs w:val="16"/>
                <w:color w:val="auto"/>
              </w:rPr>
            </w:pPr>
          </w:p>
        </w:tc>
        <w:tc>
          <w:tcPr>
            <w:tcW w:w="16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w w:val="82"/>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rPr>
              <w:t>ITEM 4. CONTROLS AND PROCEDURES</w:t>
            </w:r>
          </w:p>
        </w:tc>
        <w:tc>
          <w:tcPr>
            <w:tcW w:w="7340" w:type="dxa"/>
            <w:vAlign w:val="bottom"/>
            <w:gridSpan w:val="8"/>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b w:val="1"/>
                <w:bCs w:val="1"/>
                <w:color w:val="0000FF"/>
              </w:rPr>
              <w:t>ITEM 1. LEGAL PROCEEDINGS</w:t>
            </w:r>
          </w:p>
        </w:tc>
        <w:tc>
          <w:tcPr>
            <w:tcW w:w="8060" w:type="dxa"/>
            <w:vAlign w:val="bottom"/>
            <w:gridSpan w:val="11"/>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rPr>
              <w:t>ITEM 1A. RISK FACTORS</w:t>
            </w:r>
          </w:p>
        </w:tc>
        <w:tc>
          <w:tcPr>
            <w:tcW w:w="8580" w:type="dxa"/>
            <w:vAlign w:val="bottom"/>
            <w:gridSpan w:val="13"/>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2. UNREGISTERED SALES OF EQUITY SECURITIES AND USE OF PROCEEDS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b w:val="1"/>
                <w:bCs w:val="1"/>
                <w:color w:val="0000FF"/>
              </w:rPr>
              <w:t>ITEM 3. DEFAULTS UPON SENIOR SECURITIES</w:t>
            </w:r>
          </w:p>
        </w:tc>
        <w:tc>
          <w:tcPr>
            <w:tcW w:w="3800" w:type="dxa"/>
            <w:vAlign w:val="bottom"/>
            <w:gridSpan w:val="3"/>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b w:val="1"/>
                <w:bCs w:val="1"/>
                <w:color w:val="0000FF"/>
              </w:rPr>
              <w:t>ITEM 4. MINE SAFETY DISCLOSURES</w:t>
            </w:r>
          </w:p>
        </w:tc>
        <w:tc>
          <w:tcPr>
            <w:tcW w:w="6740" w:type="dxa"/>
            <w:vAlign w:val="bottom"/>
            <w:gridSpan w:val="6"/>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b w:val="1"/>
                <w:bCs w:val="1"/>
                <w:color w:val="0000FF"/>
              </w:rPr>
              <w:t>ITEM 5. OTHER INFORMATION</w:t>
            </w:r>
          </w:p>
        </w:tc>
        <w:tc>
          <w:tcPr>
            <w:tcW w:w="7520" w:type="dxa"/>
            <w:vAlign w:val="bottom"/>
            <w:gridSpan w:val="9"/>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b w:val="1"/>
                <w:bCs w:val="1"/>
                <w:color w:val="0000FF"/>
              </w:rPr>
              <w:t>ITEM 6. EXHIBITS</w:t>
            </w:r>
          </w:p>
        </w:tc>
        <w:tc>
          <w:tcPr>
            <w:tcW w:w="8020" w:type="dxa"/>
            <w:vAlign w:val="bottom"/>
            <w:gridSpan w:val="10"/>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9160" w:type="dxa"/>
            <w:vAlign w:val="bottom"/>
            <w:gridSpan w:val="15"/>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STATEMENT ON FORWARD-LOOKING INFORMATION</w:t>
      </w:r>
    </w:p>
    <w:p>
      <w:pPr>
        <w:spacing w:after="0" w:line="252"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00"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98"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57" w:lineRule="exact"/>
        <w:rPr>
          <w:sz w:val="20"/>
          <w:szCs w:val="20"/>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general economic conditions, the real estate industry and the markets in which we operate;</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realize the expected benefits of the acquisition of Life Storage, Inc. (“Life Storage”);</w:t>
      </w:r>
    </w:p>
    <w:p>
      <w:pPr>
        <w:spacing w:after="0" w:line="66" w:lineRule="exact"/>
        <w:rPr>
          <w:rFonts w:ascii="Times New Roman" w:cs="Times New Roman" w:eastAsia="Times New Roman" w:hAnsi="Times New Roman"/>
          <w:sz w:val="17"/>
          <w:szCs w:val="17"/>
          <w:color w:val="auto"/>
        </w:rPr>
      </w:pPr>
    </w:p>
    <w:p>
      <w:pPr>
        <w:ind w:left="560" w:right="30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Life Storage’s business will not be fully integrated successfully or that such integration may be more difficult, time-consuming or costly than expected;</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of expected future financial performance and results of the combined company following completion of the Life Storage merger;</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close pending acquisitions and developments on expected terms, or at all;</w:t>
      </w:r>
    </w:p>
    <w:p>
      <w:pPr>
        <w:spacing w:after="0" w:line="53" w:lineRule="exact"/>
        <w:rPr>
          <w:rFonts w:ascii="Times New Roman" w:cs="Times New Roman" w:eastAsia="Times New Roman" w:hAnsi="Times New Roman"/>
          <w:sz w:val="17"/>
          <w:szCs w:val="17"/>
          <w:color w:val="auto"/>
        </w:rPr>
      </w:pPr>
    </w:p>
    <w:p>
      <w:pPr>
        <w:ind w:left="560" w:right="100" w:hanging="319"/>
        <w:spacing w:after="0" w:line="281"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competition from new and existing stores or other storage alternatives, including increased or unanticipated competition for our properties, which could cause rents and occupancy rates to decline;</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for uninsured losses and environmental contamination;</w:t>
      </w:r>
    </w:p>
    <w:p>
      <w:pPr>
        <w:spacing w:after="0" w:line="66" w:lineRule="exact"/>
        <w:rPr>
          <w:rFonts w:ascii="Times New Roman" w:cs="Times New Roman" w:eastAsia="Times New Roman" w:hAnsi="Times New Roman"/>
          <w:sz w:val="17"/>
          <w:szCs w:val="17"/>
          <w:color w:val="auto"/>
        </w:rPr>
      </w:pPr>
    </w:p>
    <w:p>
      <w:pPr>
        <w:ind w:left="560" w:right="32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recover losses under our insurance policies;</w:t>
      </w:r>
    </w:p>
    <w:p>
      <w:pPr>
        <w:spacing w:after="0" w:line="66" w:lineRule="exact"/>
        <w:rPr>
          <w:rFonts w:ascii="Times New Roman" w:cs="Times New Roman" w:eastAsia="Times New Roman" w:hAnsi="Times New Roman"/>
          <w:sz w:val="17"/>
          <w:szCs w:val="17"/>
          <w:color w:val="auto"/>
        </w:rPr>
      </w:pPr>
    </w:p>
    <w:p>
      <w:pPr>
        <w:ind w:left="560" w:right="4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credit and financial markets and resulting difficulties in raising capital or obtaining credit at reasonable rates or at all, which could impede our ability to grow;</w:t>
      </w:r>
    </w:p>
    <w:p>
      <w:pPr>
        <w:spacing w:after="0" w:line="1" w:lineRule="exact"/>
        <w:rPr>
          <w:rFonts w:ascii="Times New Roman" w:cs="Times New Roman" w:eastAsia="Times New Roman" w:hAnsi="Times New Roman"/>
          <w:sz w:val="17"/>
          <w:szCs w:val="17"/>
          <w:color w:val="auto"/>
        </w:rPr>
      </w:pPr>
    </w:p>
    <w:p>
      <w:pPr>
        <w:ind w:left="56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global financial markets and increases in interest rates;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financing and capital, the levels of debt that we maintain and our credit ratings;</w:t>
      </w:r>
    </w:p>
    <w:p>
      <w:pPr>
        <w:spacing w:after="0" w:line="66" w:lineRule="exact"/>
        <w:rPr>
          <w:rFonts w:ascii="Times New Roman" w:cs="Times New Roman" w:eastAsia="Times New Roman" w:hAnsi="Times New Roman"/>
          <w:sz w:val="17"/>
          <w:szCs w:val="17"/>
          <w:color w:val="auto"/>
        </w:rPr>
      </w:pPr>
    </w:p>
    <w:p>
      <w:pPr>
        <w:ind w:left="560" w:right="50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acquisitions, dispositions and development of properties, including increased development costs due to additional regulatory requirements related to climate change and other factors;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asset valuations and related impairment charges;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sole decision-making authority with respect to our joint venture investments;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recent or future changes to U.S. tax laws;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maintain our REIT status for U.S. federal income tax purposes;</w:t>
      </w:r>
    </w:p>
    <w:p>
      <w:pPr>
        <w:spacing w:after="0" w:line="66" w:lineRule="exact"/>
        <w:rPr>
          <w:rFonts w:ascii="Times New Roman" w:cs="Times New Roman" w:eastAsia="Times New Roman" w:hAnsi="Times New Roman"/>
          <w:sz w:val="17"/>
          <w:szCs w:val="17"/>
          <w:color w:val="auto"/>
        </w:rPr>
      </w:pPr>
    </w:p>
    <w:p>
      <w:pPr>
        <w:ind w:left="560" w:right="220" w:hanging="319"/>
        <w:spacing w:after="0" w:line="277"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 and</w:t>
      </w:r>
    </w:p>
    <w:p>
      <w:pPr>
        <w:spacing w:after="0" w:line="5"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uncertainty due to the impact of natural disasters, war or terrorism, which could adversely affect our business plan.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 w:name="page5"/>
    <w:bookmarkEnd w:id="4"/>
    <w:p>
      <w:pPr>
        <w:ind w:firstLine="433"/>
        <w:spacing w:after="0" w:line="270" w:lineRule="auto"/>
        <w:rPr>
          <w:sz w:val="20"/>
          <w:szCs w:val="20"/>
          <w:color w:val="auto"/>
        </w:rPr>
      </w:pPr>
      <w:r>
        <w:rPr>
          <w:rFonts w:ascii="Times New Roman" w:cs="Times New Roman" w:eastAsia="Times New Roman" w:hAnsi="Times New Roman"/>
          <w:sz w:val="17"/>
          <w:szCs w:val="17"/>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96"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46"/>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1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6"/>
        </w:trPr>
        <w:tc>
          <w:tcPr>
            <w:tcW w:w="740" w:type="dxa"/>
            <w:vAlign w:val="bottom"/>
          </w:tcPr>
          <w:p>
            <w:pPr>
              <w:spacing w:after="0"/>
              <w:rPr>
                <w:sz w:val="24"/>
                <w:szCs w:val="24"/>
                <w:color w:val="auto"/>
              </w:rPr>
            </w:pPr>
          </w:p>
        </w:tc>
        <w:tc>
          <w:tcPr>
            <w:tcW w:w="7120" w:type="dxa"/>
            <w:vAlign w:val="bottom"/>
          </w:tcPr>
          <w:p>
            <w:pPr>
              <w:jc w:val="center"/>
              <w:ind w:left="2573"/>
              <w:spacing w:after="0"/>
              <w:rPr>
                <w:sz w:val="20"/>
                <w:szCs w:val="20"/>
                <w:color w:val="auto"/>
              </w:rPr>
            </w:pPr>
            <w:r>
              <w:rPr>
                <w:rFonts w:ascii="Times New Roman" w:cs="Times New Roman" w:eastAsia="Times New Roman" w:hAnsi="Times New Roman"/>
                <w:sz w:val="17"/>
                <w:szCs w:val="17"/>
                <w:b w:val="1"/>
                <w:bCs w:val="1"/>
                <w:color w:val="auto"/>
              </w:rPr>
              <w:t>Extra Space Storage Inc.</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2"/>
        </w:trPr>
        <w:tc>
          <w:tcPr>
            <w:tcW w:w="740" w:type="dxa"/>
            <w:vAlign w:val="bottom"/>
          </w:tcPr>
          <w:p>
            <w:pPr>
              <w:spacing w:after="0"/>
              <w:rPr>
                <w:sz w:val="18"/>
                <w:szCs w:val="18"/>
                <w:color w:val="auto"/>
              </w:rPr>
            </w:pPr>
          </w:p>
        </w:tc>
        <w:tc>
          <w:tcPr>
            <w:tcW w:w="7120" w:type="dxa"/>
            <w:vAlign w:val="bottom"/>
          </w:tcPr>
          <w:p>
            <w:pPr>
              <w:jc w:val="center"/>
              <w:ind w:left="2553"/>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8"/>
        </w:trPr>
        <w:tc>
          <w:tcPr>
            <w:tcW w:w="740" w:type="dxa"/>
            <w:vAlign w:val="bottom"/>
          </w:tcPr>
          <w:p>
            <w:pPr>
              <w:spacing w:after="0"/>
              <w:rPr>
                <w:sz w:val="19"/>
                <w:szCs w:val="19"/>
                <w:color w:val="auto"/>
              </w:rPr>
            </w:pPr>
          </w:p>
        </w:tc>
        <w:tc>
          <w:tcPr>
            <w:tcW w:w="7120" w:type="dxa"/>
            <w:vAlign w:val="bottom"/>
          </w:tcPr>
          <w:p>
            <w:pPr>
              <w:jc w:val="center"/>
              <w:ind w:left="2553"/>
              <w:spacing w:after="0"/>
              <w:rPr>
                <w:sz w:val="20"/>
                <w:szCs w:val="20"/>
                <w:color w:val="auto"/>
              </w:rPr>
            </w:pPr>
            <w:r>
              <w:rPr>
                <w:rFonts w:ascii="Times New Roman" w:cs="Times New Roman" w:eastAsia="Times New Roman" w:hAnsi="Times New Roman"/>
                <w:sz w:val="17"/>
                <w:szCs w:val="17"/>
                <w:color w:val="auto"/>
              </w:rPr>
              <w:t>(amounts in thousands, except share data)</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0"/>
        </w:trPr>
        <w:tc>
          <w:tcPr>
            <w:tcW w:w="7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24"/>
                <w:szCs w:val="24"/>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7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230"/>
        </w:trPr>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7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Real estate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24,385,492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24,555,873</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Real estate assets - operating lease right-of-use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227,241</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Investments in unconsolidated real estate entities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1,071,617</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Investments in debt securities and notes receivable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1,338,619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904,769</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99,062</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597,700</w:t>
            </w:r>
          </w:p>
        </w:tc>
      </w:tr>
      <w:tr>
        <w:trPr>
          <w:trHeight w:val="216"/>
        </w:trPr>
        <w:tc>
          <w:tcPr>
            <w:tcW w:w="74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28,063,117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27,456,262</w:t>
            </w: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9"/>
        </w:trPr>
        <w:tc>
          <w:tcPr>
            <w:tcW w:w="78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Liabilities, Noncontrolling Interests and Equity:</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Secured notes payable,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1,011,705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1,273,549</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Unsecured term loans,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2,650,581</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Unsecured senior notes,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7,437,231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6,410,618</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Revolving lines of credit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682,000</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236,515</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distributions in unconsolidated real estate ventures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71,069</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334,518</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407,183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383,463</w:t>
            </w:r>
          </w:p>
        </w:tc>
      </w:tr>
      <w:tr>
        <w:trPr>
          <w:trHeight w:val="216"/>
        </w:trPr>
        <w:tc>
          <w:tcPr>
            <w:tcW w:w="7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13,104,434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12,042,313</w:t>
            </w:r>
          </w:p>
        </w:tc>
      </w:tr>
      <w:tr>
        <w:trPr>
          <w:trHeight w:val="20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Interests and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Extra Space Storage Inc. stockholders'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78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Preferred stock, $0.01 par value, 50,000,000 shares authorized, no shares issued or outstanding</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0"/>
        </w:trPr>
        <w:tc>
          <w:tcPr>
            <w:tcW w:w="7860" w:type="dxa"/>
            <w:vAlign w:val="bottom"/>
            <w:gridSpan w:val="2"/>
            <w:shd w:val="clear" w:color="auto" w:fill="CCEEFF"/>
          </w:tcPr>
          <w:p>
            <w:pPr>
              <w:ind w:left="500"/>
              <w:spacing w:after="0" w:line="171" w:lineRule="exact"/>
              <w:rPr>
                <w:sz w:val="20"/>
                <w:szCs w:val="20"/>
                <w:color w:val="auto"/>
              </w:rPr>
            </w:pPr>
            <w:r>
              <w:rPr>
                <w:rFonts w:ascii="Times New Roman" w:cs="Times New Roman" w:eastAsia="Times New Roman" w:hAnsi="Times New Roman"/>
                <w:sz w:val="17"/>
                <w:szCs w:val="17"/>
                <w:color w:val="auto"/>
              </w:rPr>
              <w:t>Common stock, $0.01 par value, 500,000,000 shares authorized, 211,981,742 and 211,278,803 shares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6"/>
        </w:trPr>
        <w:tc>
          <w:tcPr>
            <w:tcW w:w="7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issued and outstanding at September 30, 2024 and December 31, 2023, respectively</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14,823,018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14,750,388</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17,435</w:t>
            </w: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(817,865)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(379,015)</w:t>
            </w:r>
          </w:p>
        </w:tc>
      </w:tr>
      <w:tr>
        <w:trPr>
          <w:trHeight w:val="216"/>
        </w:trPr>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Extra Space Storage Inc. stockholders' equity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14,010,613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14,390,921</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Noncontrolling interest represented by Preferred Operating Partnership units,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222,360</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Noncontrolling interests in Operating Partnership, net and other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756,764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800,668</w:t>
            </w:r>
          </w:p>
        </w:tc>
      </w:tr>
      <w:tr>
        <w:trPr>
          <w:trHeight w:val="216"/>
        </w:trPr>
        <w:tc>
          <w:tcPr>
            <w:tcW w:w="7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noncontrolling interests and equity</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14,958,683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15,413,949</w:t>
            </w:r>
          </w:p>
        </w:tc>
      </w:tr>
      <w:tr>
        <w:trPr>
          <w:trHeight w:val="241"/>
        </w:trPr>
        <w:tc>
          <w:tcPr>
            <w:tcW w:w="74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noncontrolling interests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28,063,117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27,456,262</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7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500" w:type="dxa"/>
            <w:vAlign w:val="bottom"/>
            <w:gridSpan w:val="6"/>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rental</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710,874</w:t>
            </w:r>
          </w:p>
        </w:tc>
        <w:tc>
          <w:tcPr>
            <w:tcW w:w="4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650,887</w:t>
            </w:r>
          </w:p>
        </w:tc>
        <w:tc>
          <w:tcPr>
            <w:tcW w:w="16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2,096,018</w:t>
            </w:r>
          </w:p>
        </w:tc>
        <w:tc>
          <w:tcPr>
            <w:tcW w:w="38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1,525,596</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Tenant reinsurance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165,265</w:t>
            </w: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29,882</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89,888</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71,609</w:t>
            </w:r>
          </w:p>
        </w:tc>
        <w:tc>
          <w:tcPr>
            <w:tcW w:w="0" w:type="dxa"/>
            <w:vAlign w:val="bottom"/>
          </w:tcPr>
          <w:p>
            <w:pPr>
              <w:spacing w:after="0"/>
              <w:rPr>
                <w:sz w:val="1"/>
                <w:szCs w:val="1"/>
                <w:color w:val="auto"/>
              </w:rPr>
            </w:pPr>
          </w:p>
        </w:tc>
      </w:tr>
      <w:tr>
        <w:trPr>
          <w:trHeight w:val="205"/>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824,804</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748,034</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2,435,006</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1,762,470</w:t>
            </w:r>
          </w:p>
        </w:tc>
        <w:tc>
          <w:tcPr>
            <w:tcW w:w="0" w:type="dxa"/>
            <w:vAlign w:val="bottom"/>
          </w:tcPr>
          <w:p>
            <w:pPr>
              <w:spacing w:after="0"/>
              <w:rPr>
                <w:sz w:val="1"/>
                <w:szCs w:val="1"/>
                <w:color w:val="auto"/>
              </w:rPr>
            </w:pPr>
          </w:p>
        </w:tc>
      </w:tr>
      <w:tr>
        <w:trPr>
          <w:trHeight w:val="18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operations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416,997</w:t>
            </w:r>
          </w:p>
        </w:tc>
        <w:tc>
          <w:tcPr>
            <w:tcW w:w="0" w:type="dxa"/>
            <w:vAlign w:val="bottom"/>
          </w:tcPr>
          <w:p>
            <w:pPr>
              <w:spacing w:after="0"/>
              <w:rPr>
                <w:sz w:val="1"/>
                <w:szCs w:val="1"/>
                <w:color w:val="auto"/>
              </w:rPr>
            </w:pPr>
          </w:p>
        </w:tc>
      </w:tr>
      <w:tr>
        <w:trPr>
          <w:trHeight w:val="208"/>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Tenant reinsurance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37,701</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Life Storage Merger transition costs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54,174</w:t>
            </w:r>
          </w:p>
        </w:tc>
        <w:tc>
          <w:tcPr>
            <w:tcW w:w="0" w:type="dxa"/>
            <w:vAlign w:val="bottom"/>
          </w:tcPr>
          <w:p>
            <w:pPr>
              <w:spacing w:after="0"/>
              <w:rPr>
                <w:sz w:val="1"/>
                <w:szCs w:val="1"/>
                <w:color w:val="auto"/>
              </w:rPr>
            </w:pPr>
          </w:p>
        </w:tc>
      </w:tr>
      <w:tr>
        <w:trPr>
          <w:trHeight w:val="208"/>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107,011</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195,046</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152,338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586,821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309,914</w:t>
            </w:r>
          </w:p>
        </w:tc>
        <w:tc>
          <w:tcPr>
            <w:tcW w:w="0" w:type="dxa"/>
            <w:vAlign w:val="bottom"/>
          </w:tcPr>
          <w:p>
            <w:pPr>
              <w:spacing w:after="0"/>
              <w:rPr>
                <w:sz w:val="1"/>
                <w:szCs w:val="1"/>
                <w:color w:val="auto"/>
              </w:rPr>
            </w:pPr>
          </w:p>
        </w:tc>
      </w:tr>
      <w:tr>
        <w:trPr>
          <w:trHeight w:val="201"/>
        </w:trPr>
        <w:tc>
          <w:tcPr>
            <w:tcW w:w="6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461,341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448,242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1,376,295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925,797</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real estate assets held for sale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Life Storage trade name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302,739</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299,792</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943,328</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836,673</w:t>
            </w:r>
          </w:p>
        </w:tc>
        <w:tc>
          <w:tcPr>
            <w:tcW w:w="0" w:type="dxa"/>
            <w:vAlign w:val="bottom"/>
          </w:tcPr>
          <w:p>
            <w:pPr>
              <w:spacing w:after="0"/>
              <w:rPr>
                <w:sz w:val="1"/>
                <w:szCs w:val="1"/>
                <w:color w:val="auto"/>
              </w:rPr>
            </w:pPr>
          </w:p>
        </w:tc>
      </w:tr>
      <w:tr>
        <w:trPr>
          <w:trHeight w:val="20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(289,370)</w:t>
            </w:r>
          </w:p>
        </w:tc>
        <w:tc>
          <w:tcPr>
            <w:tcW w:w="0" w:type="dxa"/>
            <w:vAlign w:val="bottom"/>
          </w:tcPr>
          <w:p>
            <w:pPr>
              <w:spacing w:after="0"/>
              <w:rPr>
                <w:sz w:val="1"/>
                <w:szCs w:val="1"/>
                <w:color w:val="auto"/>
              </w:rPr>
            </w:pPr>
          </w:p>
        </w:tc>
      </w:tr>
      <w:tr>
        <w:trPr>
          <w:trHeight w:val="159"/>
        </w:trPr>
        <w:tc>
          <w:tcPr>
            <w:tcW w:w="60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Non-cash interest expense related to amortization of discount on Life Storage unsecured</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34,947</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89,746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62,607</w:t>
            </w:r>
          </w:p>
        </w:tc>
        <w:tc>
          <w:tcPr>
            <w:tcW w:w="0" w:type="dxa"/>
            <w:vAlign w:val="bottom"/>
          </w:tcPr>
          <w:p>
            <w:pPr>
              <w:spacing w:after="0"/>
              <w:rPr>
                <w:sz w:val="1"/>
                <w:szCs w:val="1"/>
                <w:color w:val="auto"/>
              </w:rPr>
            </w:pPr>
          </w:p>
        </w:tc>
      </w:tr>
      <w:tr>
        <w:trPr>
          <w:trHeight w:val="139"/>
        </w:trPr>
        <w:tc>
          <w:tcPr>
            <w:tcW w:w="60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color w:val="auto"/>
                <w:w w:val="98"/>
              </w:rPr>
              <w:t>Income before equity in earnings and dividend income from unconsolidated real estate entities</w:t>
            </w: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183,826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190,757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587,636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601,682</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income tax expense</w:t>
            </w: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and dividend income from unconsolidated real estate entities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38,602</w:t>
            </w:r>
          </w:p>
        </w:tc>
        <w:tc>
          <w:tcPr>
            <w:tcW w:w="0" w:type="dxa"/>
            <w:vAlign w:val="bottom"/>
          </w:tcPr>
          <w:p>
            <w:pPr>
              <w:spacing w:after="0"/>
              <w:rPr>
                <w:sz w:val="1"/>
                <w:szCs w:val="1"/>
                <w:color w:val="auto"/>
              </w:rPr>
            </w:pPr>
          </w:p>
        </w:tc>
      </w:tr>
      <w:tr>
        <w:trPr>
          <w:trHeight w:val="159"/>
        </w:trPr>
        <w:tc>
          <w:tcPr>
            <w:tcW w:w="60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8"/>
              </w:rPr>
              <w:t>Equity in earnings of unconsolidated real estate ventures - gain on sale of real estate assets and</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a joint venture interest</w:t>
            </w: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(10,857)</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(17,238)</w:t>
            </w:r>
          </w:p>
        </w:tc>
        <w:tc>
          <w:tcPr>
            <w:tcW w:w="0" w:type="dxa"/>
            <w:vAlign w:val="bottom"/>
          </w:tcPr>
          <w:p>
            <w:pPr>
              <w:spacing w:after="0"/>
              <w:rPr>
                <w:sz w:val="1"/>
                <w:szCs w:val="1"/>
                <w:color w:val="auto"/>
              </w:rPr>
            </w:pPr>
          </w:p>
        </w:tc>
      </w:tr>
      <w:tr>
        <w:trPr>
          <w:trHeight w:val="20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202,945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198,856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622,431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623,046</w:t>
            </w:r>
          </w:p>
        </w:tc>
        <w:tc>
          <w:tcPr>
            <w:tcW w:w="0" w:type="dxa"/>
            <w:vAlign w:val="bottom"/>
          </w:tcPr>
          <w:p>
            <w:pPr>
              <w:spacing w:after="0"/>
              <w:rPr>
                <w:sz w:val="1"/>
                <w:szCs w:val="1"/>
                <w:color w:val="auto"/>
              </w:rPr>
            </w:pPr>
          </w:p>
        </w:tc>
      </w:tr>
      <w:tr>
        <w:trPr>
          <w:trHeight w:val="20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allocated to Preferred Operating Partnership noncontrolling interests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allocated to Operating Partnership and other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(29,221)</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193,210</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188,350</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592,194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587,064</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4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6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38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211,698,436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195,324,444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211,522,578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155,112,071</w:t>
            </w:r>
          </w:p>
        </w:tc>
        <w:tc>
          <w:tcPr>
            <w:tcW w:w="0" w:type="dxa"/>
            <w:vAlign w:val="bottom"/>
          </w:tcPr>
          <w:p>
            <w:pPr>
              <w:spacing w:after="0"/>
              <w:rPr>
                <w:sz w:val="1"/>
                <w:szCs w:val="1"/>
                <w:color w:val="auto"/>
              </w:rPr>
            </w:pPr>
          </w:p>
        </w:tc>
      </w:tr>
      <w:tr>
        <w:trPr>
          <w:trHeight w:val="208"/>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220,298,870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195,328,020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220,177,692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155,116,149</w:t>
            </w:r>
          </w:p>
        </w:tc>
        <w:tc>
          <w:tcPr>
            <w:tcW w:w="0" w:type="dxa"/>
            <w:vAlign w:val="bottom"/>
          </w:tcPr>
          <w:p>
            <w:pPr>
              <w:spacing w:after="0"/>
              <w:rPr>
                <w:sz w:val="1"/>
                <w:szCs w:val="1"/>
                <w:color w:val="auto"/>
              </w:rPr>
            </w:pPr>
          </w:p>
        </w:tc>
      </w:tr>
      <w:tr>
        <w:trPr>
          <w:trHeight w:val="23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3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94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500" w:type="dxa"/>
            <w:vAlign w:val="bottom"/>
            <w:gridSpan w:val="5"/>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294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202,945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198,856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622,431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623,046</w:t>
            </w:r>
          </w:p>
        </w:tc>
        <w:tc>
          <w:tcPr>
            <w:tcW w:w="0" w:type="dxa"/>
            <w:vAlign w:val="bottom"/>
          </w:tcPr>
          <w:p>
            <w:pPr>
              <w:spacing w:after="0"/>
              <w:rPr>
                <w:sz w:val="1"/>
                <w:szCs w:val="1"/>
                <w:color w:val="auto"/>
              </w:rPr>
            </w:pPr>
          </w:p>
        </w:tc>
      </w:tr>
      <w:tr>
        <w:trPr>
          <w:trHeight w:val="208"/>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 in fair value of interest rate swaps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(24,887)</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0" w:type="dxa"/>
            <w:vAlign w:val="bottom"/>
          </w:tcPr>
          <w:p>
            <w:pPr>
              <w:spacing w:after="0"/>
              <w:rPr>
                <w:sz w:val="1"/>
                <w:szCs w:val="1"/>
                <w:color w:val="auto"/>
              </w:rPr>
            </w:pPr>
          </w:p>
        </w:tc>
      </w:tr>
      <w:tr>
        <w:trPr>
          <w:trHeight w:val="20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178,058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196,592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607,740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618,871</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10,395</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29,641</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35,693</w:t>
            </w: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169,309</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186,197</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578,099</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583,178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 the three and nine months ended September 30, 2024</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 amounts in thousands, except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600" w:type="dxa"/>
            <w:vAlign w:val="bottom"/>
            <w:gridSpan w:val="10"/>
          </w:tcPr>
          <w:p>
            <w:pPr>
              <w:ind w:left="840"/>
              <w:spacing w:after="0"/>
              <w:rPr>
                <w:sz w:val="20"/>
                <w:szCs w:val="20"/>
                <w:color w:val="auto"/>
              </w:rPr>
            </w:pPr>
            <w:r>
              <w:rPr>
                <w:rFonts w:ascii="Times New Roman" w:cs="Times New Roman" w:eastAsia="Times New Roman" w:hAnsi="Times New Roman"/>
                <w:sz w:val="14"/>
                <w:szCs w:val="14"/>
                <w:b w:val="1"/>
                <w:bCs w:val="1"/>
                <w:color w:val="auto"/>
                <w:w w:val="98"/>
              </w:rPr>
              <w:t>Extra Space Storage Inc. Stockholders' Equity</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6"/>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4"/>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Par</w:t>
            </w: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vMerge w:val="continue"/>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Interests and</w:t>
            </w: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2024</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191,306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757,102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9,800</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211,927,348</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$2,120</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$14,810,938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27,241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(667,667)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15,130,840</w:t>
            </w: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for share based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 exercise of options and taxes paid</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10,515</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8,224</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upon net settlement</w:t>
            </w: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 costs associated with shelf registration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43,879</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202,945</w:t>
            </w:r>
          </w:p>
        </w:tc>
        <w:tc>
          <w:tcPr>
            <w:tcW w:w="0" w:type="dxa"/>
            <w:vAlign w:val="bottom"/>
          </w:tcPr>
          <w:p>
            <w:pPr>
              <w:spacing w:after="0"/>
              <w:rPr>
                <w:sz w:val="1"/>
                <w:szCs w:val="1"/>
                <w:color w:val="auto"/>
              </w:rPr>
            </w:pP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(24,887)</w:t>
            </w: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(13,896)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(15,828)</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Dividends paid on common stock at $1.62 per</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(343,408)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(343,408)</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2024</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191,306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746,136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10,628</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211,981,742</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2,120</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14,823,018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3,340</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(817,865)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14,958,683</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222,360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791,754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8,914</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211,278,803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$ 2,113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$14,750,388</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(379,015)</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15,413,949</w:t>
            </w:r>
          </w:p>
        </w:tc>
        <w:tc>
          <w:tcPr>
            <w:tcW w:w="0" w:type="dxa"/>
            <w:vAlign w:val="bottom"/>
          </w:tcPr>
          <w:p>
            <w:pPr>
              <w:spacing w:after="0"/>
              <w:rPr>
                <w:sz w:val="1"/>
                <w:szCs w:val="1"/>
                <w:color w:val="auto"/>
              </w:rPr>
            </w:pPr>
          </w:p>
        </w:tc>
      </w:tr>
      <w:tr>
        <w:trPr>
          <w:trHeight w:val="158"/>
        </w:trPr>
        <w:tc>
          <w:tcPr>
            <w:tcW w:w="332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for share based</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2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 exercise of options and taxes paid</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178,944</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14,419</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upon net settlement</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 costs associated with shelf registration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521,685</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58,370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1,687</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622,431</w:t>
            </w:r>
          </w:p>
        </w:tc>
        <w:tc>
          <w:tcPr>
            <w:tcW w:w="0" w:type="dxa"/>
            <w:vAlign w:val="bottom"/>
          </w:tcPr>
          <w:p>
            <w:pPr>
              <w:spacing w:after="0"/>
              <w:rPr>
                <w:sz w:val="1"/>
                <w:szCs w:val="1"/>
                <w:color w:val="auto"/>
              </w:rPr>
            </w:pP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(41,838)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(47,911)</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Dividends paid on common stock at $4.86 per</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(1,031,044)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(1,031,044)</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2024</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191,306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746,136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10,628</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211,981,742</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2,120</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14,823,018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3,340</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(817,865)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14,958,683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80" w:top="119" w:right="3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 the three and nine months ended September 30, 2023</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 amounts in thousands, except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600" w:type="dxa"/>
            <w:vAlign w:val="bottom"/>
            <w:gridSpan w:val="11"/>
          </w:tcPr>
          <w:p>
            <w:pPr>
              <w:ind w:left="820"/>
              <w:spacing w:after="0"/>
              <w:rPr>
                <w:sz w:val="20"/>
                <w:szCs w:val="20"/>
                <w:color w:val="auto"/>
              </w:rPr>
            </w:pPr>
            <w:r>
              <w:rPr>
                <w:rFonts w:ascii="Times New Roman" w:cs="Times New Roman" w:eastAsia="Times New Roman" w:hAnsi="Times New Roman"/>
                <w:sz w:val="14"/>
                <w:szCs w:val="14"/>
                <w:b w:val="1"/>
                <w:bCs w:val="1"/>
                <w:color w:val="auto"/>
                <w:w w:val="99"/>
              </w:rPr>
              <w:t>Extra Space Storage Inc. Stockholders'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6"/>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4"/>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vMerge w:val="continue"/>
          </w:tcPr>
          <w:p>
            <w:pPr>
              <w:spacing w:after="0"/>
              <w:rPr>
                <w:sz w:val="12"/>
                <w:szCs w:val="12"/>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vMerge w:val="continue"/>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Interests and</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6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8"/>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2023</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222,940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553,610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5"/>
              </w:rPr>
              <w:t>$3,079</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135,058,897</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3,383,303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47,065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(175,941)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4,035,407</w:t>
            </w:r>
          </w:p>
        </w:tc>
        <w:tc>
          <w:tcPr>
            <w:tcW w:w="0" w:type="dxa"/>
            <w:vAlign w:val="bottom"/>
          </w:tcPr>
          <w:p>
            <w:pPr>
              <w:spacing w:after="0"/>
              <w:rPr>
                <w:sz w:val="1"/>
                <w:szCs w:val="1"/>
                <w:color w:val="auto"/>
              </w:rPr>
            </w:pPr>
          </w:p>
        </w:tc>
      </w:tr>
      <w:tr>
        <w:trPr>
          <w:trHeight w:val="157"/>
        </w:trPr>
        <w:tc>
          <w:tcPr>
            <w:tcW w:w="32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1,253</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6,994</w:t>
            </w: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Taxes paid upon net settlement of share based</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2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2,119</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Life Storage Merger issuance of common stock</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249,470</w:t>
            </w:r>
          </w:p>
        </w:tc>
        <w:tc>
          <w:tcPr>
            <w:tcW w:w="80" w:type="dxa"/>
            <w:vAlign w:val="bottom"/>
          </w:tcPr>
          <w:p>
            <w:pPr>
              <w:spacing w:after="0"/>
              <w:rPr>
                <w:sz w:val="13"/>
                <w:szCs w:val="13"/>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76,217,359</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11,352,576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11,602,808</w:t>
            </w: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Operating Partnership units</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5,209</w:t>
            </w: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5,209</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8,284</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198,856</w:t>
            </w:r>
          </w:p>
        </w:tc>
        <w:tc>
          <w:tcPr>
            <w:tcW w:w="0" w:type="dxa"/>
            <w:vAlign w:val="bottom"/>
          </w:tcPr>
          <w:p>
            <w:pPr>
              <w:spacing w:after="0"/>
              <w:rPr>
                <w:sz w:val="1"/>
                <w:szCs w:val="1"/>
                <w:color w:val="auto"/>
              </w:rPr>
            </w:pPr>
          </w:p>
        </w:tc>
      </w:tr>
      <w:tr>
        <w:trPr>
          <w:trHeight w:val="212"/>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0" w:type="dxa"/>
            <w:vAlign w:val="bottom"/>
          </w:tcPr>
          <w:p>
            <w:pPr>
              <w:spacing w:after="0"/>
              <w:rPr>
                <w:sz w:val="1"/>
                <w:szCs w:val="1"/>
                <w:color w:val="auto"/>
              </w:rPr>
            </w:pPr>
          </w:p>
        </w:tc>
      </w:tr>
      <w:tr>
        <w:trPr>
          <w:trHeight w:val="157"/>
        </w:trPr>
        <w:tc>
          <w:tcPr>
            <w:tcW w:w="32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80" w:type="dxa"/>
            <w:vAlign w:val="bottom"/>
          </w:tcPr>
          <w:p>
            <w:pPr>
              <w:spacing w:after="0"/>
              <w:rPr>
                <w:sz w:val="13"/>
                <w:szCs w:val="13"/>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(14,960)</w:t>
            </w: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Dividends paid on common stock at $1.62 per</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(265,286)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(265,286)</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2023</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222,939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798,384</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8,257</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211,276,086</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1"/>
              </w:rPr>
              <w:t>$</w:t>
            </w:r>
            <w:r>
              <w:rPr>
                <w:rFonts w:ascii="Times New Roman" w:cs="Times New Roman" w:eastAsia="Times New Roman" w:hAnsi="Times New Roman"/>
                <w:sz w:val="16"/>
                <w:szCs w:val="16"/>
                <w:b w:val="1"/>
                <w:bCs w:val="1"/>
                <w:color w:val="auto"/>
                <w:w w:val="91"/>
              </w:rPr>
              <w:t xml:space="preserve"> 2,113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14,742,973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44,912</w:t>
            </w: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(252,877)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15,566,701</w:t>
            </w:r>
          </w:p>
        </w:tc>
        <w:tc>
          <w:tcPr>
            <w:tcW w:w="0" w:type="dxa"/>
            <w:vAlign w:val="bottom"/>
          </w:tcPr>
          <w:p>
            <w:pPr>
              <w:spacing w:after="0"/>
              <w:rPr>
                <w:sz w:val="1"/>
                <w:szCs w:val="1"/>
                <w:color w:val="auto"/>
              </w:rPr>
            </w:pPr>
          </w:p>
        </w:tc>
      </w:tr>
      <w:tr>
        <w:trPr>
          <w:trHeight w:val="84"/>
        </w:trPr>
        <w:tc>
          <w:tcPr>
            <w:tcW w:w="31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2022</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261,502</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556,095</w:t>
            </w: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5"/>
              </w:rPr>
              <w:t>$1,080</w:t>
            </w: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133,921,020</w:t>
            </w: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$1,339</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3,345,332</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48,798</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(135,872)</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4,078,274</w:t>
            </w:r>
          </w:p>
        </w:tc>
        <w:tc>
          <w:tcPr>
            <w:tcW w:w="0" w:type="dxa"/>
            <w:vAlign w:val="bottom"/>
          </w:tcPr>
          <w:p>
            <w:pPr>
              <w:spacing w:after="0"/>
              <w:rPr>
                <w:sz w:val="1"/>
                <w:szCs w:val="1"/>
                <w:color w:val="auto"/>
              </w:rPr>
            </w:pPr>
          </w:p>
        </w:tc>
      </w:tr>
      <w:tr>
        <w:trPr>
          <w:trHeight w:val="158"/>
        </w:trPr>
        <w:tc>
          <w:tcPr>
            <w:tcW w:w="324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144,640</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19,433</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Taxes paid upon net settlement of share based</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32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3"/>
                <w:szCs w:val="13"/>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2,119</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Redemption of Preferred A Units in the</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851,698</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Partnership for stock</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Preferred D Units in the</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(22,064)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154,307</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Partnership for stock</w:t>
            </w: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Life Storage Merger issuance of common stock</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249,470</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76,217,359</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11,352,576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11,602,808</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Operating Partnership units</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7,309</w:t>
            </w:r>
          </w:p>
        </w:tc>
        <w:tc>
          <w:tcPr>
            <w:tcW w:w="8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7,309</w:t>
            </w: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29,353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623,046</w:t>
            </w: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0" w:type="dxa"/>
            <w:vAlign w:val="bottom"/>
          </w:tcPr>
          <w:p>
            <w:pPr>
              <w:spacing w:after="0"/>
              <w:rPr>
                <w:sz w:val="1"/>
                <w:szCs w:val="1"/>
                <w:color w:val="auto"/>
              </w:rPr>
            </w:pPr>
          </w:p>
        </w:tc>
      </w:tr>
      <w:tr>
        <w:trPr>
          <w:trHeight w:val="159"/>
        </w:trPr>
        <w:tc>
          <w:tcPr>
            <w:tcW w:w="32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(36,082)</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(43,003)</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Dividends paid on common stock at $4.86 per</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(704,069)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(704,069)</w:t>
            </w: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2023</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222,939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798,384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8,257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211,276,086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1"/>
              </w:rPr>
              <w:t>$</w:t>
            </w:r>
            <w:r>
              <w:rPr>
                <w:rFonts w:ascii="Times New Roman" w:cs="Times New Roman" w:eastAsia="Times New Roman" w:hAnsi="Times New Roman"/>
                <w:sz w:val="16"/>
                <w:szCs w:val="16"/>
                <w:b w:val="1"/>
                <w:bCs w:val="1"/>
                <w:color w:val="auto"/>
                <w:w w:val="91"/>
              </w:rPr>
              <w:t xml:space="preserve"> 2,113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14,742,973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44,912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(252,877)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15,566,701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460" w:top="119" w:right="4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three and nine months ended September 30, 2023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amounts in thousands, except share data)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622,431</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623,046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309,914</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Life Storage unsecured senior notes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Compensation expense related to share-based awards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19,433</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Accrual of interest income added to principal of debt securities and notes receivable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(30,127)</w:t>
            </w:r>
          </w:p>
        </w:tc>
        <w:tc>
          <w:tcPr>
            <w:tcW w:w="0" w:type="dxa"/>
            <w:vAlign w:val="bottom"/>
          </w:tcPr>
          <w:p>
            <w:pPr>
              <w:spacing w:after="0"/>
              <w:rPr>
                <w:sz w:val="1"/>
                <w:szCs w:val="1"/>
                <w:color w:val="auto"/>
              </w:rPr>
            </w:pPr>
          </w:p>
        </w:tc>
      </w:tr>
      <w:tr>
        <w:trPr>
          <w:trHeight w:val="159"/>
        </w:trPr>
        <w:tc>
          <w:tcPr>
            <w:tcW w:w="7860" w:type="dxa"/>
            <w:vAlign w:val="bottom"/>
            <w:shd w:val="clear" w:color="auto" w:fill="CCEEFF"/>
          </w:tcPr>
          <w:p>
            <w:pPr>
              <w:ind w:left="660"/>
              <w:spacing w:after="0" w:line="159" w:lineRule="exact"/>
              <w:rPr>
                <w:sz w:val="20"/>
                <w:szCs w:val="20"/>
                <w:color w:val="auto"/>
              </w:rPr>
            </w:pPr>
            <w:r>
              <w:rPr>
                <w:rFonts w:ascii="Times New Roman" w:cs="Times New Roman" w:eastAsia="Times New Roman" w:hAnsi="Times New Roman"/>
                <w:sz w:val="16"/>
                <w:szCs w:val="16"/>
                <w:color w:val="auto"/>
              </w:rPr>
              <w:t>Equity in earnings of unconsolidated real estate ventures - gain on sale of real estate assets and sale of a joint</w:t>
            </w:r>
          </w:p>
        </w:tc>
        <w:tc>
          <w:tcPr>
            <w:tcW w:w="2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venture interest</w:t>
            </w:r>
          </w:p>
        </w:tc>
        <w:tc>
          <w:tcPr>
            <w:tcW w:w="2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Impairment of Life Storage trade name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Loss on real estate assets held for sale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Distributions from unconsolidated real estate ventures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(31,675)</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134,310</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1,479,151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1,037,959</w:t>
            </w:r>
          </w:p>
        </w:tc>
        <w:tc>
          <w:tcPr>
            <w:tcW w:w="0" w:type="dxa"/>
            <w:vAlign w:val="bottom"/>
          </w:tcPr>
          <w:p>
            <w:pPr>
              <w:spacing w:after="0"/>
              <w:rPr>
                <w:sz w:val="1"/>
                <w:szCs w:val="1"/>
                <w:color w:val="auto"/>
              </w:rPr>
            </w:pPr>
          </w:p>
        </w:tc>
      </w:tr>
      <w:tr>
        <w:trPr>
          <w:trHeight w:val="18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 and improvements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(197,333)</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Life Storage Merger, net of cash acquired</w:t>
            </w: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(1,182,411)</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Development and redevelopment of real estate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(66,533)</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real estate assets and investments in real estate ventures</w:t>
            </w:r>
          </w:p>
        </w:tc>
        <w:tc>
          <w:tcPr>
            <w:tcW w:w="26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4,415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 unconsolidated real estate entities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(179,258)</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Return of investment in unconsolidated real estate ventures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and purchase of notes receivable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(210,712)</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received from notes receivable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73,514</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notes receivable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134,064</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Purchase of equipment and fixtures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(9,515)</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(877,503)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(1,636,052)</w:t>
            </w:r>
          </w:p>
        </w:tc>
        <w:tc>
          <w:tcPr>
            <w:tcW w:w="0" w:type="dxa"/>
            <w:vAlign w:val="bottom"/>
          </w:tcPr>
          <w:p>
            <w:pPr>
              <w:spacing w:after="0"/>
              <w:rPr>
                <w:sz w:val="1"/>
                <w:szCs w:val="1"/>
                <w:color w:val="auto"/>
              </w:rPr>
            </w:pPr>
          </w:p>
        </w:tc>
      </w:tr>
      <w:tr>
        <w:trPr>
          <w:trHeight w:val="18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unsecured term loans and senior notes and revolving lines of credit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5,542,362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5,194,665</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on unsecured term loans and senior notes and revolving lines of credit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(6,062,896)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(4,617,755)</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public bonds,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950,000</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share issuances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Offering costs associated with shelf registration</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Redemption of Preferred A Units for cash</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(1,031,044)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(704,069)</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(48,053)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(43,003)</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(612,406)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723,479</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125,386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97,735</w:t>
            </w:r>
          </w:p>
        </w:tc>
        <w:tc>
          <w:tcPr>
            <w:tcW w:w="0" w:type="dxa"/>
            <w:vAlign w:val="bottom"/>
          </w:tcPr>
          <w:p>
            <w:pPr>
              <w:spacing w:after="0"/>
              <w:rPr>
                <w:sz w:val="1"/>
                <w:szCs w:val="1"/>
                <w:color w:val="auto"/>
              </w:rPr>
            </w:pPr>
          </w:p>
        </w:tc>
      </w:tr>
      <w:tr>
        <w:trPr>
          <w:trHeight w:val="871"/>
        </w:trPr>
        <w:tc>
          <w:tcPr>
            <w:tcW w:w="786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380" w:type="dxa"/>
            <w:vAlign w:val="bottom"/>
            <w:gridSpan w:val="5"/>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102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94,325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223,121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equivalents, including restricted cash at the beginning of the period:</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equivalents</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92,868</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Cash and equivalents, including restricted cash at the end of the period: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equivalents</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216,121</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94,325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223,121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207,569</w:t>
            </w: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20,222</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 for common stock</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116,336</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and paid-in capital</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 in Operating Partnership Note Receivable Payoff</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 Unit Redemption - Cash Proceeds</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construction costs and capital expenditures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9,094</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1.</w:t>
        <w:tab/>
        <w:t>ORGANIZATION</w:t>
      </w:r>
    </w:p>
    <w:p>
      <w:pPr>
        <w:spacing w:after="0" w:line="121"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Extra Space Storage Inc. (the “Company”) is a fully integrated, self-administered and self-managed REIT, formed as a Maryland corporation on April 30, 2004, to own, operate, manage, acquire, develop and redevelop professionally managed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which meets the definition of a variable interest entity and is consolidated. This structure is commonly referred to as an umbrella partnership REIT, or UPREIT.</w:t>
      </w:r>
    </w:p>
    <w:p>
      <w:pPr>
        <w:spacing w:after="0" w:line="200"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Company invests in stores by acquiring wholly-owned stores or by acquiring an equity interest in real estate entities. At September 30, 2024, the Company had direct and indirect equity interests in 2,401 stores. In addition, the Company managed 1,461 stores for third parties, bringing the total number of stores which it owns and/or manages to 3,862. These stores are located in 42 states and Washington, D.C. The Company offers tenant reinsurance at its owned and managed stores that insures the value of goods in the storage units and also offers bridge loan financing to certain of its third-party self-storage owners.</w:t>
      </w:r>
    </w:p>
    <w:p>
      <w:pPr>
        <w:spacing w:after="0" w:line="2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2.</w:t>
        <w:tab/>
        <w:t>BASIS OF PRESENTATION</w:t>
      </w:r>
    </w:p>
    <w:p>
      <w:pPr>
        <w:spacing w:after="0" w:line="252" w:lineRule="exact"/>
        <w:rPr>
          <w:sz w:val="20"/>
          <w:szCs w:val="20"/>
          <w:color w:val="auto"/>
        </w:rPr>
      </w:pPr>
    </w:p>
    <w:p>
      <w:pPr>
        <w:ind w:firstLine="433"/>
        <w:spacing w:after="0" w:line="262"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nine months ended September 30, 2024 are not necessarily indicative of results that may be expected for the year ending December 31, 2024. The condensed consolidated balance sheet as of December 31, 2023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2023, as filed with the Securities and Exchange Commission.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w:t>
      </w:r>
    </w:p>
    <w:p>
      <w:pPr>
        <w:spacing w:after="0" w:line="252" w:lineRule="exact"/>
        <w:rPr>
          <w:sz w:val="20"/>
          <w:szCs w:val="20"/>
          <w:color w:val="auto"/>
        </w:rPr>
      </w:pPr>
    </w:p>
    <w:p>
      <w:pPr>
        <w:ind w:right="20" w:firstLine="433"/>
        <w:spacing w:after="0" w:line="252"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No. 2023-07 – Segment Reporting (Topic 280): Improvements to Reportable Segment Disclosures. The amended guidance requires the disclosure of incremental segment information, including significant segment expenses that are regularly provided to the chief operating decision maker (“CODM”) and a reconciliation of segment profit or loss to net income. The title and position of the CODM must also be disclosed, along with how the CODM uses the reported measures to assess segment performance and to allocate resources. Pursuant to this ASU, the footnotes to the Company's consolidated financial statements may include incremental disclosures related to its two reportable segments: (1) self-storage operations and (2) tenant reinsurance. The compliance with this ASU will be required beginning with the Company's annual report on Form 10-K for the year ending December 31, 2024, followed by interim disclosures in quarterly reports on Form 10-Q thereafter, with early adoption permitted. The Company expects to adopt this ASU for its annual report on Form 10-K for the year ending December 31, 2024.</w:t>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3.</w:t>
        <w:tab/>
        <w:t>FAIR VALUE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 Financial Instruments</w:t>
      </w:r>
    </w:p>
    <w:p>
      <w:pPr>
        <w:spacing w:after="0" w:line="121" w:lineRule="exact"/>
        <w:rPr>
          <w:sz w:val="20"/>
          <w:szCs w:val="20"/>
          <w:color w:val="auto"/>
        </w:rPr>
      </w:pPr>
    </w:p>
    <w:p>
      <w:pPr>
        <w:jc w:val="both"/>
        <w:ind w:right="160" w:firstLine="433"/>
        <w:spacing w:after="0" w:line="270" w:lineRule="auto"/>
        <w:rPr>
          <w:sz w:val="20"/>
          <w:szCs w:val="20"/>
          <w:color w:val="auto"/>
        </w:rPr>
      </w:pPr>
      <w:r>
        <w:rPr>
          <w:rFonts w:ascii="Times New Roman" w:cs="Times New Roman" w:eastAsia="Times New Roman" w:hAnsi="Times New Roman"/>
          <w:sz w:val="17"/>
          <w:szCs w:val="17"/>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95"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7"/>
          <w:szCs w:val="17"/>
          <w:color w:val="auto"/>
        </w:rPr>
        <w:t>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72"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198"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2024, the Company has assessed the significance of the impact of the credit valuation adjustments on the overall valuation of its derivative positions and has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198" w:lineRule="exact"/>
        <w:rPr>
          <w:sz w:val="20"/>
          <w:szCs w:val="20"/>
          <w:color w:val="auto"/>
        </w:rPr>
      </w:pPr>
    </w:p>
    <w:p>
      <w:pPr>
        <w:ind w:right="360" w:firstLine="433"/>
        <w:spacing w:after="0" w:line="277" w:lineRule="auto"/>
        <w:rPr>
          <w:sz w:val="20"/>
          <w:szCs w:val="20"/>
          <w:color w:val="auto"/>
        </w:rPr>
      </w:pPr>
      <w:r>
        <w:rPr>
          <w:rFonts w:ascii="Times New Roman" w:cs="Times New Roman" w:eastAsia="Times New Roman" w:hAnsi="Times New Roman"/>
          <w:sz w:val="17"/>
          <w:szCs w:val="17"/>
          <w:color w:val="auto"/>
        </w:rPr>
        <w:t>The table below presents the Company’s assets and liabilities measured at fair value on a recurring basis as of September 30, 2024, aggregated by the level in the fair value hierarchy within which those measurements fall.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gridSpan w:val="6"/>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00" w:type="dxa"/>
            <w:vAlign w:val="bottom"/>
            <w:vMerge w:val="restart"/>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5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1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 Cash flow hedge swap agreements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 - Cash flow hedge swap agreements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6,093</w:t>
            </w:r>
          </w:p>
        </w:tc>
        <w:tc>
          <w:tcPr>
            <w:tcW w:w="12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580" w:firstLine="433"/>
        <w:spacing w:after="0" w:line="297" w:lineRule="auto"/>
        <w:rPr>
          <w:sz w:val="20"/>
          <w:szCs w:val="20"/>
          <w:color w:val="auto"/>
        </w:rPr>
      </w:pPr>
      <w:r>
        <w:rPr>
          <w:rFonts w:ascii="Times New Roman" w:cs="Times New Roman" w:eastAsia="Times New Roman" w:hAnsi="Times New Roman"/>
          <w:sz w:val="17"/>
          <w:szCs w:val="17"/>
          <w:color w:val="auto"/>
        </w:rPr>
        <w:t>The Company did not have any significant assets or liabilities that are re-measured on a recurring basis using significant unobservable inputs as of September 30, 2024 or December 31,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and Liabilities Measured at Fair Value on a Nonrecurring Basis</w:t>
      </w:r>
    </w:p>
    <w:p>
      <w:pPr>
        <w:spacing w:after="0" w:line="121" w:lineRule="exact"/>
        <w:rPr>
          <w:sz w:val="20"/>
          <w:szCs w:val="20"/>
          <w:color w:val="auto"/>
        </w:rPr>
      </w:pPr>
    </w:p>
    <w:p>
      <w:pPr>
        <w:ind w:right="80" w:firstLine="433"/>
        <w:spacing w:after="0" w:line="267" w:lineRule="auto"/>
        <w:rPr>
          <w:sz w:val="20"/>
          <w:szCs w:val="20"/>
          <w:color w:val="auto"/>
        </w:rPr>
      </w:pPr>
      <w:r>
        <w:rPr>
          <w:rFonts w:ascii="Times New Roman" w:cs="Times New Roman" w:eastAsia="Times New Roman" w:hAnsi="Times New Roman"/>
          <w:sz w:val="17"/>
          <w:szCs w:val="17"/>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72"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69"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When real estate assets are identified by management as held for sale, the Company discontinues depreciating the assets and estimates the fair value of the assets, net of selling costs. The Company compares the carrying value of the related long-lived assets to the discounted future net operating cash flows attributable to the assets (categorized within Level 3 of the fair value hierarchy).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are presented as part of normal operations. As of September 30, 2024, the Company had 17 stores classified as held for sale which are included in real estate assets, net. Of the 17 stores, nine had an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400"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7"/>
          <w:szCs w:val="17"/>
          <w:color w:val="auto"/>
        </w:rPr>
        <w:t>estimated fair value, net of selling costs, of $70,952. During the nine months ended September 30, 2024, the Company recorded a loss of $63,620 as the fair value of these nine stores was less than the net carrying value.</w:t>
      </w:r>
    </w:p>
    <w:p>
      <w:pPr>
        <w:spacing w:after="0" w:line="146" w:lineRule="exact"/>
        <w:rPr>
          <w:sz w:val="20"/>
          <w:szCs w:val="20"/>
          <w:color w:val="auto"/>
        </w:rPr>
      </w:pPr>
    </w:p>
    <w:p>
      <w:pPr>
        <w:jc w:val="both"/>
        <w:ind w:right="160" w:firstLine="433"/>
        <w:spacing w:after="0" w:line="270" w:lineRule="auto"/>
        <w:rPr>
          <w:sz w:val="20"/>
          <w:szCs w:val="20"/>
          <w:color w:val="auto"/>
        </w:rPr>
      </w:pPr>
      <w:r>
        <w:rPr>
          <w:rFonts w:ascii="Times New Roman" w:cs="Times New Roman" w:eastAsia="Times New Roman" w:hAnsi="Times New Roman"/>
          <w:sz w:val="17"/>
          <w:szCs w:val="17"/>
          <w:color w:val="auto"/>
        </w:rPr>
        <w:t>The Company assesses annually whether there are any indicators that the value of the Company’s investments in unconsolidated real estate entities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69"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The Company evaluates goodwill for impairment at least annually and whenever events, circumstances, and other related factors indicate that the fair value of the related reporting unit may be less than the carrying value. If the fair value of the reporting unit is determined to exceed the aggregate carrying amount, no impairment charge is recorded. Otherwise, an impairment charge is recorded for the amount in which the fair value of the reporting unit exceeds the carrying value. No impairments of goodwill were recorded for any period presented herein.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252" w:lineRule="exact"/>
        <w:rPr>
          <w:sz w:val="20"/>
          <w:szCs w:val="20"/>
          <w:color w:val="auto"/>
        </w:rPr>
      </w:pPr>
    </w:p>
    <w:p>
      <w:pPr>
        <w:ind w:right="140" w:firstLine="433"/>
        <w:spacing w:after="0" w:line="267" w:lineRule="auto"/>
        <w:rPr>
          <w:sz w:val="20"/>
          <w:szCs w:val="20"/>
          <w:color w:val="auto"/>
        </w:rPr>
      </w:pPr>
      <w:r>
        <w:rPr>
          <w:rFonts w:ascii="Times New Roman" w:cs="Times New Roman" w:eastAsia="Times New Roman" w:hAnsi="Times New Roman"/>
          <w:sz w:val="17"/>
          <w:szCs w:val="17"/>
          <w:color w:val="auto"/>
        </w:rPr>
        <w:t>The carrying values of cash and cash equivalents, restricted cash, receivables, other financial instruments included in other assets, net, accounts payable and accrued expenses, variable-rate notes payable, investments in debt securities and notes receivable, revolving lines of credit and other liabilities reflected in the condensed consolidated balance sheets at September 30, 2024 and December 31, 2023 approximate fair value. Restricted cash is comprised of funds deposited with financial institutions located throughout the United States primarily relating to operating cash reserve for the Company's captive insurance subsidiary and earnest money deposits on potential acquisitions.</w:t>
      </w:r>
    </w:p>
    <w:p>
      <w:pPr>
        <w:spacing w:after="0" w:line="198" w:lineRule="exact"/>
        <w:rPr>
          <w:sz w:val="20"/>
          <w:szCs w:val="20"/>
          <w:color w:val="auto"/>
        </w:rPr>
      </w:pPr>
    </w:p>
    <w:p>
      <w:pPr>
        <w:ind w:right="180" w:firstLine="433"/>
        <w:spacing w:after="0" w:line="277" w:lineRule="auto"/>
        <w:rPr>
          <w:sz w:val="20"/>
          <w:szCs w:val="20"/>
          <w:color w:val="auto"/>
        </w:rPr>
      </w:pPr>
      <w:r>
        <w:rPr>
          <w:rFonts w:ascii="Times New Roman" w:cs="Times New Roman" w:eastAsia="Times New Roman" w:hAnsi="Times New Roman"/>
          <w:sz w:val="17"/>
          <w:szCs w:val="17"/>
          <w:color w:val="auto"/>
        </w:rPr>
        <w:t>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fair values of the Company’s fixed-rate liabilities were as follows for the periods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Pr>
          <w:p>
            <w:pPr>
              <w:spacing w:after="0"/>
              <w:rPr>
                <w:sz w:val="18"/>
                <w:szCs w:val="18"/>
                <w:color w:val="auto"/>
              </w:rPr>
            </w:pPr>
          </w:p>
        </w:tc>
        <w:tc>
          <w:tcPr>
            <w:tcW w:w="2660" w:type="dxa"/>
            <w:vAlign w:val="bottom"/>
            <w:gridSpan w:val="4"/>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66"/>
        </w:trPr>
        <w:tc>
          <w:tcPr>
            <w:tcW w:w="5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20"/>
              <w:spacing w:after="0" w:line="166" w:lineRule="exact"/>
              <w:rPr>
                <w:sz w:val="20"/>
                <w:szCs w:val="20"/>
                <w:color w:val="auto"/>
              </w:rPr>
            </w:pPr>
            <w:r>
              <w:rPr>
                <w:rFonts w:ascii="Times New Roman" w:cs="Times New Roman" w:eastAsia="Times New Roman" w:hAnsi="Times New Roman"/>
                <w:sz w:val="17"/>
                <w:szCs w:val="17"/>
                <w:b w:val="1"/>
                <w:bCs w:val="1"/>
                <w:color w:val="auto"/>
              </w:rPr>
              <w:t>Fair</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13"/>
              <w:spacing w:after="0" w:line="166"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40"/>
              <w:spacing w:after="0" w:line="166" w:lineRule="exact"/>
              <w:rPr>
                <w:sz w:val="20"/>
                <w:szCs w:val="20"/>
                <w:color w:val="auto"/>
              </w:rPr>
            </w:pPr>
            <w:r>
              <w:rPr>
                <w:rFonts w:ascii="Times New Roman" w:cs="Times New Roman" w:eastAsia="Times New Roman" w:hAnsi="Times New Roman"/>
                <w:sz w:val="17"/>
                <w:szCs w:val="17"/>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3"/>
              <w:spacing w:after="0" w:line="166" w:lineRule="exact"/>
              <w:rPr>
                <w:sz w:val="20"/>
                <w:szCs w:val="20"/>
                <w:color w:val="auto"/>
              </w:rPr>
            </w:pPr>
            <w:r>
              <w:rPr>
                <w:rFonts w:ascii="Times New Roman" w:cs="Times New Roman" w:eastAsia="Times New Roman" w:hAnsi="Times New Roman"/>
                <w:sz w:val="17"/>
                <w:szCs w:val="17"/>
                <w:b w:val="1"/>
                <w:bCs w:val="1"/>
                <w:color w:val="auto"/>
              </w:rPr>
              <w:t>Carrying</w:t>
            </w:r>
          </w:p>
        </w:tc>
      </w:tr>
      <w:tr>
        <w:trPr>
          <w:trHeight w:val="233"/>
        </w:trPr>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20" w:type="dxa"/>
            <w:vAlign w:val="bottom"/>
          </w:tcPr>
          <w:p>
            <w:pPr>
              <w:spacing w:after="0"/>
              <w:rPr>
                <w:sz w:val="20"/>
                <w:szCs w:val="20"/>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1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rate debt</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8,761,624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9,014,590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7,482,054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8,048,605</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7940" w:firstLine="5"/>
        <w:spacing w:after="0" w:line="540" w:lineRule="auto"/>
        <w:tabs>
          <w:tab w:leader="none" w:pos="29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AND DISPOSITIONS The Life Storage Merger</w:t>
      </w:r>
    </w:p>
    <w:p>
      <w:pPr>
        <w:spacing w:after="0" w:line="1" w:lineRule="exact"/>
        <w:rPr>
          <w:sz w:val="20"/>
          <w:szCs w:val="20"/>
          <w:color w:val="auto"/>
        </w:rPr>
      </w:pPr>
    </w:p>
    <w:p>
      <w:pPr>
        <w:ind w:right="80" w:firstLine="433"/>
        <w:spacing w:after="0" w:line="262" w:lineRule="auto"/>
        <w:rPr>
          <w:sz w:val="20"/>
          <w:szCs w:val="20"/>
          <w:color w:val="auto"/>
        </w:rPr>
      </w:pPr>
      <w:r>
        <w:rPr>
          <w:rFonts w:ascii="Times New Roman" w:cs="Times New Roman" w:eastAsia="Times New Roman" w:hAnsi="Times New Roman"/>
          <w:sz w:val="17"/>
          <w:szCs w:val="17"/>
          <w:color w:val="auto"/>
        </w:rPr>
        <w:t>On July 20, 2023, the Company closed its merger with Life Storage (the “Life Storage Merger”), which included 757 wholly-owned stores and one consolidated joint venture store. Under the terms of the Life Storage Merger, Life Storage stockholders and holders of units of the Life Storage operating partnership received 0.895 of a share of common stock (or OP Unit, as applicable) of the Company for each issued and outstanding share (or operating partnership unit) of Life Storage they owned for total equity consideration of $11,602,808, based on the Company's closing share price on July 19, 2023. At closing, the Company retired $1,160,000 in balances on Life Storage's line of credit which included $375,000 that Life Storage used to pay off its private placement notes in connection with the closing of the Life Storage Merger. The Company also paid off $32,000 in secured loans. On July 25, 2023, the Company completed obligor exchange offers and consent solicitations (together the “Exchange Offers”) related to Life Storage's various senior notes. Upon the closing of the Exchange Offers, a total of $2,351,100 of Life Storage's senior notes were exchanged for senior notes of the same tenor of Extra Space Storage L.P. The remaining Life Storage senior note balances which were not exchanged total $48,900 and no longer have any financial reporting requirements or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Consideration and Purchase Price Allocation</w:t>
      </w:r>
    </w:p>
    <w:p>
      <w:pPr>
        <w:spacing w:after="0" w:line="305" w:lineRule="exact"/>
        <w:rPr>
          <w:sz w:val="20"/>
          <w:szCs w:val="20"/>
          <w:color w:val="auto"/>
        </w:rPr>
      </w:pPr>
    </w:p>
    <w:p>
      <w:pPr>
        <w:ind w:right="60" w:firstLine="629"/>
        <w:spacing w:after="0" w:line="277" w:lineRule="auto"/>
        <w:rPr>
          <w:sz w:val="20"/>
          <w:szCs w:val="20"/>
          <w:color w:val="auto"/>
        </w:rPr>
      </w:pPr>
      <w:r>
        <w:rPr>
          <w:rFonts w:ascii="Times New Roman" w:cs="Times New Roman" w:eastAsia="Times New Roman" w:hAnsi="Times New Roman"/>
          <w:sz w:val="17"/>
          <w:szCs w:val="17"/>
          <w:color w:val="auto"/>
        </w:rPr>
        <w:t>The Life Storage Merger was accounted for as an asset acquisition in accordance with ASC Topic 805 which requires that the cost of an acquisition be allocated on a relative fair value basis to the assets acquired and the liabilities assumed. The following table summarizes the fair value of total consideration transferred in the Life Storage Merger:</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Consideration Type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July 20, 2023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Common stock</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11,353,338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 units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for payoff of Life Storage credit facility and debt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Transaction Costs</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consideration</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12,850,127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The following table summarizes the estimated fair values assigned to the assets acquired and liabilities assumed:</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8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60" w:type="dxa"/>
            <w:vAlign w:val="bottom"/>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5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July 20, 2023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14,587,735</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investment in joint venture partnerships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325,250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other assets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107,423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 other</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82,000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Unsecured senior notes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(2,106,866)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(191,077)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(4,338)</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12,850,127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w:t>
      </w:r>
    </w:p>
    <w:p>
      <w:pPr>
        <w:spacing w:after="0" w:line="252" w:lineRule="exact"/>
        <w:rPr>
          <w:sz w:val="20"/>
          <w:szCs w:val="20"/>
          <w:color w:val="auto"/>
        </w:rPr>
      </w:pPr>
    </w:p>
    <w:p>
      <w:pPr>
        <w:ind w:right="240" w:firstLine="433"/>
        <w:spacing w:after="0" w:line="277" w:lineRule="auto"/>
        <w:rPr>
          <w:sz w:val="20"/>
          <w:szCs w:val="20"/>
          <w:color w:val="auto"/>
        </w:rPr>
      </w:pPr>
      <w:r>
        <w:rPr>
          <w:rFonts w:ascii="Times New Roman" w:cs="Times New Roman" w:eastAsia="Times New Roman" w:hAnsi="Times New Roman"/>
          <w:sz w:val="17"/>
          <w:szCs w:val="17"/>
          <w:color w:val="auto"/>
        </w:rPr>
        <w:t>The estimated fair values of assets acquired and liabilities assumed were primarily based on information that was available as of the closing date of the Life Storage Merger. The methodology used to estimate the fair values to apply purchase accounting and the ongoing financial statement impact, if any, are summarized below.</w:t>
      </w:r>
    </w:p>
    <w:p>
      <w:pPr>
        <w:spacing w:after="0" w:line="241" w:lineRule="exact"/>
        <w:rPr>
          <w:sz w:val="20"/>
          <w:szCs w:val="20"/>
          <w:color w:val="auto"/>
        </w:rPr>
      </w:pPr>
    </w:p>
    <w:p>
      <w:pPr>
        <w:ind w:left="480" w:right="20" w:hanging="318"/>
        <w:spacing w:after="0" w:line="270"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assets – Real estate assets acquired were recorded at fair value using standard valuation methodologies, including the cost and market approaches. The remaining useful lives for real estate assets, excluding land, were reset to 39 years. Tenant relationships for storage leases were recorded at fair value based on estimated costs the Company avoided to replace them. Tenant relationships are amortized to expense over 18 months, which is based on the Company’s historical experience with turnover in its stores.</w:t>
      </w:r>
    </w:p>
    <w:p>
      <w:pPr>
        <w:spacing w:after="0" w:line="12" w:lineRule="exact"/>
        <w:rPr>
          <w:rFonts w:ascii="Times New Roman" w:cs="Times New Roman" w:eastAsia="Times New Roman" w:hAnsi="Times New Roman"/>
          <w:sz w:val="17"/>
          <w:szCs w:val="17"/>
          <w:color w:val="auto"/>
        </w:rPr>
      </w:pPr>
    </w:p>
    <w:p>
      <w:pPr>
        <w:ind w:left="480" w:right="860" w:hanging="318"/>
        <w:spacing w:after="0" w:line="289"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investment in joint venture partnerships – Equity investment in joint venture partnerships were recorded at fair value based on a direct capitalization of net operating income.</w:t>
      </w:r>
    </w:p>
    <w:p>
      <w:pPr>
        <w:spacing w:after="0" w:line="1" w:lineRule="exact"/>
        <w:rPr>
          <w:rFonts w:ascii="Times New Roman" w:cs="Times New Roman" w:eastAsia="Times New Roman" w:hAnsi="Times New Roman"/>
          <w:sz w:val="17"/>
          <w:szCs w:val="17"/>
          <w:color w:val="auto"/>
        </w:rPr>
      </w:pPr>
    </w:p>
    <w:p>
      <w:pPr>
        <w:ind w:left="480" w:hanging="318"/>
        <w:spacing w:after="0" w:line="277"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Intangible assets - other – Customer relationships relating to tenant reinsurance contracts were recorded at fair value based on the income approach which estimates the potential revenue loss the Company avoided to replace them. These assets are amortized to expense over 36 months, which is based on the Company’s historical experience with average length of stay for tenants.</w:t>
      </w:r>
    </w:p>
    <w:p>
      <w:pPr>
        <w:spacing w:after="0" w:line="5" w:lineRule="exact"/>
        <w:rPr>
          <w:rFonts w:ascii="Times New Roman" w:cs="Times New Roman" w:eastAsia="Times New Roman" w:hAnsi="Times New Roman"/>
          <w:sz w:val="17"/>
          <w:szCs w:val="17"/>
          <w:color w:val="auto"/>
        </w:rPr>
      </w:pPr>
    </w:p>
    <w:p>
      <w:pPr>
        <w:ind w:left="480" w:right="200" w:hanging="318"/>
        <w:spacing w:after="0" w:line="270"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name – Trade names were recorded at fair value based on royalty payments avoided had the trade name been owned by a third party. This is determined using market royalty rates and a discounted cash flow analysis under the relief-from-royalty method. This method incorporates various assumptions, including projected revenue growth rates, the terminal growth rate, the royalty rate to be applied, and the discount rate utilized. The trade name is an indefinite lived asset and as such is not amortized. During the three months ended September 30, 2024, the Company decided to operate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42" w:lineRule="exact"/>
        <w:rPr>
          <w:sz w:val="20"/>
          <w:szCs w:val="20"/>
          <w:color w:val="auto"/>
        </w:rPr>
      </w:pPr>
    </w:p>
    <w:p>
      <w:pPr>
        <w:ind w:left="480" w:right="740"/>
        <w:spacing w:after="0" w:line="289" w:lineRule="auto"/>
        <w:rPr>
          <w:sz w:val="20"/>
          <w:szCs w:val="20"/>
          <w:color w:val="auto"/>
        </w:rPr>
      </w:pPr>
      <w:r>
        <w:rPr>
          <w:rFonts w:ascii="Times New Roman" w:cs="Times New Roman" w:eastAsia="Times New Roman" w:hAnsi="Times New Roman"/>
          <w:sz w:val="17"/>
          <w:szCs w:val="17"/>
          <w:color w:val="auto"/>
        </w:rPr>
        <w:t>all stores under a single brand. As a result of that decision, the Company deemed the Life Storage trade name intangible asset to be impaired and recognized a loss for the full value of the asset.</w:t>
      </w:r>
    </w:p>
    <w:p>
      <w:pPr>
        <w:spacing w:after="0" w:line="1" w:lineRule="exact"/>
        <w:rPr>
          <w:sz w:val="20"/>
          <w:szCs w:val="20"/>
          <w:color w:val="auto"/>
        </w:rPr>
      </w:pPr>
    </w:p>
    <w:p>
      <w:pPr>
        <w:ind w:left="480" w:right="480" w:hanging="318"/>
        <w:spacing w:after="0" w:line="277" w:lineRule="auto"/>
        <w:tabs>
          <w:tab w:leader="none" w:pos="4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senior notes – Unsecured senior notes were recorded at fair value using readily available market data. The below-market value of debt is recorded as a debt discount and reported as a reduction of the unsecured senior notes, net balance on the condensed consolidated balance sheets. The discount is amortized using the effective interest method as an increase to interest expense over the remaining terms of the unsecured senior notes.</w:t>
      </w:r>
    </w:p>
    <w:p>
      <w:pPr>
        <w:spacing w:after="0" w:line="5" w:lineRule="exact"/>
        <w:rPr>
          <w:rFonts w:ascii="Times New Roman" w:cs="Times New Roman" w:eastAsia="Times New Roman" w:hAnsi="Times New Roman"/>
          <w:sz w:val="17"/>
          <w:szCs w:val="17"/>
          <w:color w:val="auto"/>
        </w:rPr>
      </w:pPr>
    </w:p>
    <w:p>
      <w:pPr>
        <w:ind w:left="480" w:right="340" w:hanging="318"/>
        <w:spacing w:after="0" w:line="297" w:lineRule="auto"/>
        <w:tabs>
          <w:tab w:leader="none" w:pos="4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assets and liabilities – The carrying values of cash, accounts receivable, prepaids and other assets, accounts payable, accrued expenses and other liabilities represented the fair values.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Store Acquisitions</w:t>
      </w:r>
    </w:p>
    <w:p>
      <w:pPr>
        <w:spacing w:after="0" w:line="252" w:lineRule="exact"/>
        <w:rPr>
          <w:sz w:val="20"/>
          <w:szCs w:val="20"/>
          <w:color w:val="auto"/>
        </w:rPr>
      </w:pPr>
    </w:p>
    <w:p>
      <w:pPr>
        <w:ind w:right="340" w:firstLine="433"/>
        <w:spacing w:after="0" w:line="271" w:lineRule="auto"/>
        <w:rPr>
          <w:sz w:val="20"/>
          <w:szCs w:val="20"/>
          <w:color w:val="auto"/>
        </w:rPr>
      </w:pPr>
      <w:r>
        <w:rPr>
          <w:rFonts w:ascii="Times New Roman" w:cs="Times New Roman" w:eastAsia="Times New Roman" w:hAnsi="Times New Roman"/>
          <w:sz w:val="17"/>
          <w:szCs w:val="17"/>
          <w:color w:val="auto"/>
        </w:rPr>
        <w:t>The following table shows the Company’s acquisitions of stores for the three and nine months ended September 30, 2024 and 2023. The table excludes purchases of raw land and improvements made to existing assets. All store acquisitions are considered asset acquisitions under ASU 2017-01,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Combinations (Topic 805): Clarifying the Definition of a Business</w:t>
      </w:r>
      <w:r>
        <w:rPr>
          <w:rFonts w:ascii="Times New Roman" w:cs="Times New Roman" w:eastAsia="Times New Roman" w:hAnsi="Times New Roman"/>
          <w:sz w:val="17"/>
          <w:szCs w:val="17"/>
          <w:color w:val="auto"/>
        </w:rPr>
        <w:t>.”</w:t>
      </w:r>
    </w:p>
    <w:tbl>
      <w:tblPr>
        <w:tblLayout w:type="fixed"/>
        <w:tblInd w:w="440" w:type="dxa"/>
        <w:tblCellMar>
          <w:top w:w="0" w:type="dxa"/>
          <w:left w:w="0" w:type="dxa"/>
          <w:bottom w:w="0" w:type="dxa"/>
          <w:right w:w="0" w:type="dxa"/>
        </w:tblCellMar>
      </w:tblPr>
      <w:tr>
        <w:trPr>
          <w:trHeight w:val="185"/>
        </w:trPr>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1260" w:type="dxa"/>
            <w:vAlign w:val="bottom"/>
          </w:tcPr>
          <w:p>
            <w:pPr>
              <w:spacing w:after="0"/>
              <w:rPr>
                <w:sz w:val="2"/>
                <w:szCs w:val="2"/>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120" w:type="dxa"/>
            <w:vAlign w:val="bottom"/>
          </w:tcPr>
          <w:p>
            <w:pPr>
              <w:spacing w:after="0"/>
              <w:rPr>
                <w:sz w:val="10"/>
                <w:szCs w:val="10"/>
                <w:color w:val="auto"/>
              </w:rPr>
            </w:pPr>
          </w:p>
        </w:tc>
        <w:tc>
          <w:tcPr>
            <w:tcW w:w="480" w:type="dxa"/>
            <w:vAlign w:val="bottom"/>
          </w:tcPr>
          <w:p>
            <w:pPr>
              <w:jc w:val="center"/>
              <w:ind w:left="50"/>
              <w:spacing w:after="0" w:line="126" w:lineRule="exact"/>
              <w:rPr>
                <w:sz w:val="20"/>
                <w:szCs w:val="20"/>
                <w:color w:val="auto"/>
              </w:rPr>
            </w:pPr>
            <w:r>
              <w:rPr>
                <w:rFonts w:ascii="Times New Roman" w:cs="Times New Roman" w:eastAsia="Times New Roman" w:hAnsi="Times New Roman"/>
                <w:sz w:val="14"/>
                <w:szCs w:val="14"/>
                <w:b w:val="1"/>
                <w:bCs w:val="1"/>
                <w:color w:val="auto"/>
              </w:rPr>
              <w:t>Loan</w:t>
            </w:r>
          </w:p>
        </w:tc>
        <w:tc>
          <w:tcPr>
            <w:tcW w:w="1340" w:type="dxa"/>
            <w:vAlign w:val="bottom"/>
            <w:gridSpan w:val="2"/>
          </w:tcPr>
          <w:p>
            <w:pPr>
              <w:ind w:left="320"/>
              <w:spacing w:after="0" w:line="126" w:lineRule="exact"/>
              <w:rPr>
                <w:sz w:val="20"/>
                <w:szCs w:val="20"/>
                <w:color w:val="auto"/>
              </w:rPr>
            </w:pPr>
            <w:r>
              <w:rPr>
                <w:rFonts w:ascii="Times New Roman" w:cs="Times New Roman" w:eastAsia="Times New Roman" w:hAnsi="Times New Roman"/>
                <w:sz w:val="14"/>
                <w:szCs w:val="14"/>
                <w:b w:val="1"/>
                <w:bCs w:val="1"/>
                <w:color w:val="auto"/>
              </w:rPr>
              <w:t>Finance Lease</w:t>
            </w:r>
          </w:p>
        </w:tc>
        <w:tc>
          <w:tcPr>
            <w:tcW w:w="27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Investments in Real  Net Liabilities/ (Assets)</w:t>
            </w:r>
          </w:p>
        </w:tc>
        <w:tc>
          <w:tcPr>
            <w:tcW w:w="2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Equity Issued Real estate a</w:t>
            </w:r>
          </w:p>
        </w:tc>
        <w:tc>
          <w:tcPr>
            <w:tcW w:w="0" w:type="dxa"/>
            <w:vAlign w:val="bottom"/>
          </w:tcPr>
          <w:p>
            <w:pPr>
              <w:spacing w:after="0"/>
              <w:rPr>
                <w:sz w:val="1"/>
                <w:szCs w:val="1"/>
                <w:color w:val="auto"/>
              </w:rPr>
            </w:pPr>
          </w:p>
        </w:tc>
      </w:tr>
      <w:tr>
        <w:trPr>
          <w:trHeight w:val="190"/>
        </w:trPr>
        <w:tc>
          <w:tcPr>
            <w:tcW w:w="126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9"/>
              </w:rPr>
              <w:t>Assumed</w:t>
            </w: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Estate Ventures</w:t>
            </w:r>
          </w:p>
        </w:tc>
        <w:tc>
          <w:tcPr>
            <w:tcW w:w="11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2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Q3 2024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66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8"/>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Q2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27,644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Q1 2024</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5"/>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2024</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221,924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 $</w:t>
            </w:r>
          </w:p>
        </w:tc>
        <w:tc>
          <w:tcPr>
            <w:tcW w:w="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 $</w:t>
            </w:r>
          </w:p>
        </w:tc>
        <w:tc>
          <w:tcPr>
            <w:tcW w:w="16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1,699</w:t>
            </w:r>
          </w:p>
        </w:tc>
        <w:tc>
          <w:tcPr>
            <w:tcW w:w="6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Q3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18,578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Q2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8"/>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Q1 2023</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13,111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4"/>
        </w:trPr>
        <w:tc>
          <w:tcPr>
            <w:tcW w:w="126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Total 2023</w:t>
            </w:r>
          </w:p>
        </w:tc>
        <w:tc>
          <w:tcPr>
            <w:tcW w:w="1060" w:type="dxa"/>
            <w:vAlign w:val="bottom"/>
            <w:tcBorders>
              <w:bottom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ind w:right="2"/>
              <w:spacing w:after="0" w:line="178" w:lineRule="exact"/>
              <w:rPr>
                <w:sz w:val="20"/>
                <w:szCs w:val="20"/>
                <w:color w:val="auto"/>
              </w:rPr>
            </w:pPr>
            <w:r>
              <w:rPr>
                <w:rFonts w:ascii="Times New Roman" w:cs="Times New Roman" w:eastAsia="Times New Roman" w:hAnsi="Times New Roman"/>
                <w:sz w:val="16"/>
                <w:szCs w:val="16"/>
                <w:b w:val="1"/>
                <w:bCs w:val="1"/>
                <w:color w:val="auto"/>
              </w:rPr>
              <w:t>64,577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 $</w:t>
            </w:r>
          </w:p>
        </w:tc>
        <w:tc>
          <w:tcPr>
            <w:tcW w:w="920" w:type="dxa"/>
            <w:vAlign w:val="bottom"/>
            <w:tcBorders>
              <w:bottom w:val="single" w:sz="8" w:color="auto"/>
            </w:tcBorders>
            <w:shd w:val="clear" w:color="auto" w:fill="CCEEFF"/>
          </w:tcPr>
          <w:p>
            <w:pPr>
              <w:ind w:left="600"/>
              <w:spacing w:after="0" w:line="178" w:lineRule="exact"/>
              <w:rPr>
                <w:sz w:val="20"/>
                <w:szCs w:val="20"/>
                <w:color w:val="auto"/>
              </w:rPr>
            </w:pPr>
            <w:r>
              <w:rPr>
                <w:rFonts w:ascii="Times New Roman" w:cs="Times New Roman" w:eastAsia="Times New Roman" w:hAnsi="Times New Roman"/>
                <w:sz w:val="16"/>
                <w:szCs w:val="16"/>
                <w:b w:val="1"/>
                <w:bCs w:val="1"/>
                <w:color w:val="auto"/>
              </w:rPr>
              <w:t>— $</w:t>
            </w:r>
          </w:p>
        </w:tc>
        <w:tc>
          <w:tcPr>
            <w:tcW w:w="1600" w:type="dxa"/>
            <w:vAlign w:val="bottom"/>
            <w:tcBorders>
              <w:bottom w:val="single" w:sz="8" w:color="auto"/>
            </w:tcBorders>
            <w:shd w:val="clear" w:color="auto" w:fill="CCEEFF"/>
          </w:tcPr>
          <w:p>
            <w:pPr>
              <w:ind w:left="1120"/>
              <w:spacing w:after="0" w:line="178" w:lineRule="exact"/>
              <w:rPr>
                <w:sz w:val="20"/>
                <w:szCs w:val="20"/>
                <w:color w:val="auto"/>
              </w:rPr>
            </w:pPr>
            <w:r>
              <w:rPr>
                <w:rFonts w:ascii="Times New Roman" w:cs="Times New Roman" w:eastAsia="Times New Roman" w:hAnsi="Times New Roman"/>
                <w:sz w:val="16"/>
                <w:szCs w:val="16"/>
                <w:b w:val="1"/>
                <w:bCs w:val="1"/>
                <w:color w:val="auto"/>
              </w:rPr>
              <w:t>— $</w:t>
            </w:r>
          </w:p>
        </w:tc>
        <w:tc>
          <w:tcPr>
            <w:tcW w:w="11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118</w:t>
            </w:r>
          </w:p>
        </w:tc>
        <w:tc>
          <w:tcPr>
            <w:tcW w:w="660" w:type="dxa"/>
            <w:vAlign w:val="bottom"/>
            <w:tcBorders>
              <w:bottom w:val="single" w:sz="8" w:color="auto"/>
            </w:tcBorders>
            <w:shd w:val="clear" w:color="auto" w:fill="CCEEFF"/>
          </w:tcPr>
          <w:p>
            <w:pPr>
              <w:jc w:val="right"/>
              <w:ind w:right="483"/>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ind w:left="560"/>
              <w:spacing w:after="0" w:line="178" w:lineRule="exact"/>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64</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5.</w:t>
        <w:tab/>
        <w:t>REAL ESTATE ASSETS</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real estate assets are summarized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4,923,702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4,904,705</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improvements and other intangibles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22,032,745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21,664,224</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asset - finance lease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143,842</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 tenant relationships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321,019</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lease rights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w:t>
            </w:r>
          </w:p>
        </w:tc>
      </w:tr>
      <w:tr>
        <w:trPr>
          <w:trHeight w:val="216"/>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27,450,247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27,061,533</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(3,168,088)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(2,624,405)</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operating real estate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24,282,159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24,437,128</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under development/redevelopment</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118,745</w:t>
            </w:r>
          </w:p>
        </w:tc>
      </w:tr>
      <w:tr>
        <w:trPr>
          <w:trHeight w:val="216"/>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Real estate assets,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24,385,492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24,555,873</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assets held for sale included in real estate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3" w:lineRule="exact"/>
        <w:rPr>
          <w:sz w:val="20"/>
          <w:szCs w:val="20"/>
          <w:color w:val="auto"/>
        </w:rPr>
      </w:pPr>
    </w:p>
    <w:p>
      <w:pPr>
        <w:ind w:right="240" w:firstLine="629"/>
        <w:spacing w:after="0" w:line="270" w:lineRule="auto"/>
        <w:rPr>
          <w:sz w:val="20"/>
          <w:szCs w:val="20"/>
          <w:color w:val="auto"/>
        </w:rPr>
      </w:pPr>
      <w:r>
        <w:rPr>
          <w:rFonts w:ascii="Times New Roman" w:cs="Times New Roman" w:eastAsia="Times New Roman" w:hAnsi="Times New Roman"/>
          <w:sz w:val="17"/>
          <w:szCs w:val="17"/>
          <w:color w:val="auto"/>
        </w:rPr>
        <w:t>In September 2024, the Company amended existing triple-net lease agreements for land and buildings related to 27 stores that had initially been entered into in June and August 2019. The Company also entered into new triple-net lease agreements for land and buildings related to 12 additional stores. Both the initial 27 stores and the additional 12 stores added to the triple net lease structure are categorized as operating leases and have been presented in real estate assets - operating lease right-of-use assets and operating lease liabilities on the Company's condensed consolidated balance sheets.</w:t>
      </w:r>
    </w:p>
    <w:p>
      <w:pPr>
        <w:spacing w:after="0" w:line="169"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As of September 30, 2024, the Company had 17 stores classified as held for sale which are included in real estate assets, net. Of the 17 stores, nine had an estimated fair value, net of selling costs, less than the carrying value of the assets. During the three and nine months ended September 30, 2024, the Company recorded estimated losses of $8,961 and $63,620, respectively, in loss on real estate assets held for sale on the Company's condensed consolidated statements of operations. Assets held for sale are included in the self-storage operations segment of the Company’s segment information.</w:t>
      </w:r>
    </w:p>
    <w:p>
      <w:pPr>
        <w:spacing w:after="0" w:line="2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6.</w:t>
        <w:tab/>
        <w:t>OTHER ASSETS</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other assets are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170,811</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134,716</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deposits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85,153</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66,332</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interest rate swaps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26,183</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and fixtures,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48,697</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line of credit financing costs,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9,787</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w:t>
            </w:r>
          </w:p>
        </w:tc>
      </w:tr>
      <w:tr>
        <w:trPr>
          <w:trHeight w:val="216"/>
        </w:trPr>
        <w:tc>
          <w:tcPr>
            <w:tcW w:w="76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495,861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597,700</w:t>
            </w: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both"/>
        <w:ind w:right="380" w:firstLine="433"/>
        <w:spacing w:after="0" w:line="277" w:lineRule="auto"/>
        <w:rPr>
          <w:sz w:val="20"/>
          <w:szCs w:val="20"/>
          <w:color w:val="auto"/>
        </w:rPr>
      </w:pPr>
      <w:r>
        <w:rPr>
          <w:rFonts w:ascii="Times New Roman" w:cs="Times New Roman" w:eastAsia="Times New Roman" w:hAnsi="Times New Roman"/>
          <w:sz w:val="17"/>
          <w:szCs w:val="17"/>
          <w:color w:val="auto"/>
        </w:rPr>
        <w:t>During the three months ended September 30, 2024, the Company decided to operate all stores under a single brand. As a result of that decision, the Company deemed the Life Storage trade name intangible asset to be impaired and recognized a loss for the full value of the asset. A loss of $51,763 for the write-off of the asset and related costs has been recorded in impairment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9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of Life Storage trade name on the Company's condensed consolidated statements of operations for the three months ended September 30, 2024. The trade name was originally recorded at fair value based on royalty payments avoided had the trade name been owned by a third party. This was determined using market royalty rates and a discounted cash flow analysis under the relief-from-royalty method. Intangible assets are included in the self-storage operations segment of the Company’s segment information.</w:t>
      </w:r>
    </w:p>
    <w:p>
      <w:pPr>
        <w:spacing w:after="0" w:line="2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7.</w:t>
        <w:tab/>
        <w:t>EARNINGS PER COMMON SHARE</w:t>
      </w:r>
    </w:p>
    <w:p>
      <w:pPr>
        <w:spacing w:after="0" w:line="252" w:lineRule="exact"/>
        <w:rPr>
          <w:sz w:val="20"/>
          <w:szCs w:val="20"/>
          <w:color w:val="auto"/>
        </w:rPr>
      </w:pPr>
    </w:p>
    <w:p>
      <w:pPr>
        <w:ind w:right="100" w:firstLine="433"/>
        <w:spacing w:after="0" w:line="261" w:lineRule="auto"/>
        <w:rPr>
          <w:sz w:val="20"/>
          <w:szCs w:val="20"/>
          <w:color w:val="auto"/>
        </w:rPr>
      </w:pPr>
      <w:r>
        <w:rPr>
          <w:rFonts w:ascii="Times New Roman" w:cs="Times New Roman" w:eastAsia="Times New Roman" w:hAnsi="Times New Roman"/>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the two-class, treasury stock or if-converted method, whichever is most dilutive. Potential common shares are securities (such as options,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08"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w:t>
      </w:r>
    </w:p>
    <w:p>
      <w:pPr>
        <w:spacing w:after="0" w:line="196" w:lineRule="exact"/>
        <w:rPr>
          <w:sz w:val="20"/>
          <w:szCs w:val="20"/>
          <w:color w:val="auto"/>
        </w:rPr>
      </w:pPr>
    </w:p>
    <w:p>
      <w:pPr>
        <w:ind w:right="140" w:firstLine="433"/>
        <w:spacing w:after="0" w:line="270" w:lineRule="auto"/>
        <w:rPr>
          <w:sz w:val="20"/>
          <w:szCs w:val="20"/>
          <w:color w:val="auto"/>
        </w:rPr>
      </w:pPr>
      <w:r>
        <w:rPr>
          <w:rFonts w:ascii="Times New Roman" w:cs="Times New Roman" w:eastAsia="Times New Roman" w:hAnsi="Times New Roman"/>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September 30, 2024 and 2023 was $168.78 and $134.24, respectively.</w:t>
      </w:r>
    </w:p>
    <w:p>
      <w:pPr>
        <w:spacing w:after="0" w:line="196" w:lineRule="exact"/>
        <w:rPr>
          <w:sz w:val="20"/>
          <w:szCs w:val="20"/>
          <w:color w:val="auto"/>
        </w:rPr>
      </w:pPr>
    </w:p>
    <w:p>
      <w:pPr>
        <w:ind w:right="26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presents the number of Common and Preferred Operating Partnership units as if converted into potential common shares that were excluded from the computation of earnings per share as their effect would have been anti-dilutive.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6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480" w:type="dxa"/>
            <w:vAlign w:val="bottom"/>
            <w:gridSpan w:val="3"/>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41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4"/>
        </w:trPr>
        <w:tc>
          <w:tcPr>
            <w:tcW w:w="41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32"/>
        </w:trPr>
        <w:tc>
          <w:tcPr>
            <w:tcW w:w="4140" w:type="dxa"/>
            <w:vAlign w:val="bottom"/>
          </w:tcPr>
          <w:p>
            <w:pPr>
              <w:spacing w:after="0"/>
              <w:rPr>
                <w:sz w:val="11"/>
                <w:szCs w:val="11"/>
                <w:color w:val="auto"/>
              </w:rPr>
            </w:pPr>
          </w:p>
        </w:tc>
        <w:tc>
          <w:tcPr>
            <w:tcW w:w="162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c>
          <w:tcPr>
            <w:tcW w:w="100" w:type="dxa"/>
            <w:vAlign w:val="bottom"/>
          </w:tcPr>
          <w:p>
            <w:pPr>
              <w:spacing w:after="0"/>
              <w:rPr>
                <w:sz w:val="11"/>
                <w:szCs w:val="11"/>
                <w:color w:val="auto"/>
              </w:rPr>
            </w:pPr>
          </w:p>
        </w:tc>
        <w:tc>
          <w:tcPr>
            <w:tcW w:w="172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c>
          <w:tcPr>
            <w:tcW w:w="180" w:type="dxa"/>
            <w:vAlign w:val="bottom"/>
          </w:tcPr>
          <w:p>
            <w:pPr>
              <w:spacing w:after="0"/>
              <w:rPr>
                <w:sz w:val="11"/>
                <w:szCs w:val="11"/>
                <w:color w:val="auto"/>
              </w:rPr>
            </w:pPr>
          </w:p>
        </w:tc>
        <w:tc>
          <w:tcPr>
            <w:tcW w:w="16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8"/>
              </w:rPr>
              <w:t>Equivalent Shares (if</w:t>
            </w:r>
          </w:p>
        </w:tc>
        <w:tc>
          <w:tcPr>
            <w:tcW w:w="120" w:type="dxa"/>
            <w:vAlign w:val="bottom"/>
          </w:tcPr>
          <w:p>
            <w:pPr>
              <w:spacing w:after="0"/>
              <w:rPr>
                <w:sz w:val="11"/>
                <w:szCs w:val="11"/>
                <w:color w:val="auto"/>
              </w:rPr>
            </w:pPr>
          </w:p>
        </w:tc>
        <w:tc>
          <w:tcPr>
            <w:tcW w:w="16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r>
      <w:tr>
        <w:trPr>
          <w:trHeight w:val="190"/>
        </w:trPr>
        <w:tc>
          <w:tcPr>
            <w:tcW w:w="4140" w:type="dxa"/>
            <w:vAlign w:val="bottom"/>
          </w:tcPr>
          <w:p>
            <w:pPr>
              <w:spacing w:after="0"/>
              <w:rPr>
                <w:sz w:val="16"/>
                <w:szCs w:val="16"/>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w:t>
            </w:r>
          </w:p>
        </w:tc>
      </w:tr>
      <w:tr>
        <w:trPr>
          <w:trHeight w:val="21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OP Units</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8,541,775</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7,661,885</w:t>
            </w:r>
          </w:p>
        </w:tc>
      </w:tr>
      <w:tr>
        <w:trPr>
          <w:trHeight w:val="208"/>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B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198,887</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250,061</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218,529</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228,029</w:t>
            </w:r>
          </w:p>
        </w:tc>
      </w:tr>
      <w:tr>
        <w:trPr>
          <w:trHeight w:val="21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D Units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934,585</w:t>
            </w:r>
          </w:p>
        </w:tc>
        <w:tc>
          <w:tcPr>
            <w:tcW w:w="10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1,409,198</w:t>
            </w:r>
          </w:p>
        </w:tc>
        <w:tc>
          <w:tcPr>
            <w:tcW w:w="1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1,111,927</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1,287,256</w:t>
            </w:r>
          </w:p>
        </w:tc>
      </w:tr>
      <w:tr>
        <w:trPr>
          <w:trHeight w:val="203"/>
        </w:trPr>
        <w:tc>
          <w:tcPr>
            <w:tcW w:w="414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1,133,472</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10,201,034</w:t>
            </w:r>
          </w:p>
        </w:tc>
        <w:tc>
          <w:tcPr>
            <w:tcW w:w="18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1,330,456</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9,177,170</w:t>
            </w:r>
          </w:p>
        </w:tc>
      </w:tr>
      <w:tr>
        <w:trPr>
          <w:trHeight w:val="21"/>
        </w:trPr>
        <w:tc>
          <w:tcPr>
            <w:tcW w:w="4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computation of earnings per common share is as follows for the periods presented:</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7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4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592,194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587,064</w:t>
            </w:r>
          </w:p>
        </w:tc>
        <w:tc>
          <w:tcPr>
            <w:tcW w:w="0" w:type="dxa"/>
            <w:vAlign w:val="bottom"/>
          </w:tcPr>
          <w:p>
            <w:pPr>
              <w:spacing w:after="0"/>
              <w:rPr>
                <w:sz w:val="1"/>
                <w:szCs w:val="1"/>
                <w:color w:val="auto"/>
              </w:rPr>
            </w:pPr>
          </w:p>
        </w:tc>
      </w:tr>
      <w:tr>
        <w:trPr>
          <w:trHeight w:val="208"/>
        </w:trPr>
        <w:tc>
          <w:tcPr>
            <w:tcW w:w="6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Earnings and dividends allocated to participating securities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0" w:type="dxa"/>
            <w:vAlign w:val="bottom"/>
          </w:tcPr>
          <w:p>
            <w:pPr>
              <w:spacing w:after="0"/>
              <w:rPr>
                <w:sz w:val="1"/>
                <w:szCs w:val="1"/>
                <w:color w:val="auto"/>
              </w:rPr>
            </w:pPr>
          </w:p>
        </w:tc>
      </w:tr>
      <w:tr>
        <w:trPr>
          <w:trHeight w:val="20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for basic computations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192,818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188,046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591,053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586,133</w:t>
            </w:r>
          </w:p>
        </w:tc>
        <w:tc>
          <w:tcPr>
            <w:tcW w:w="0" w:type="dxa"/>
            <w:vAlign w:val="bottom"/>
          </w:tcPr>
          <w:p>
            <w:pPr>
              <w:spacing w:after="0"/>
              <w:rPr>
                <w:sz w:val="1"/>
                <w:szCs w:val="1"/>
                <w:color w:val="auto"/>
              </w:rPr>
            </w:pPr>
          </w:p>
        </w:tc>
      </w:tr>
      <w:tr>
        <w:trPr>
          <w:trHeight w:val="157"/>
        </w:trPr>
        <w:tc>
          <w:tcPr>
            <w:tcW w:w="6000" w:type="dxa"/>
            <w:vAlign w:val="bottom"/>
          </w:tcPr>
          <w:p>
            <w:pPr>
              <w:ind w:left="480"/>
              <w:spacing w:after="0" w:line="158" w:lineRule="exact"/>
              <w:rPr>
                <w:sz w:val="20"/>
                <w:szCs w:val="20"/>
                <w:color w:val="auto"/>
              </w:rPr>
            </w:pPr>
            <w:r>
              <w:rPr>
                <w:rFonts w:ascii="Times New Roman" w:cs="Times New Roman" w:eastAsia="Times New Roman" w:hAnsi="Times New Roman"/>
                <w:sz w:val="16"/>
                <w:szCs w:val="16"/>
                <w:color w:val="auto"/>
                <w:w w:val="98"/>
              </w:rPr>
              <w:t>Income allocated to noncontrolling interest - Preferred Operating Partnership Units and</w:t>
            </w:r>
          </w:p>
        </w:tc>
        <w:tc>
          <w:tcPr>
            <w:tcW w:w="2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24,136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Partnership Units</w:t>
            </w: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for diluted computations</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615,189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586,133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number of common shares outstanding - basic</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211,698,436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195,324,444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211,522,578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155,112,071</w:t>
            </w:r>
          </w:p>
        </w:tc>
        <w:tc>
          <w:tcPr>
            <w:tcW w:w="0" w:type="dxa"/>
            <w:vAlign w:val="bottom"/>
          </w:tcPr>
          <w:p>
            <w:pPr>
              <w:spacing w:after="0"/>
              <w:rPr>
                <w:sz w:val="1"/>
                <w:szCs w:val="1"/>
                <w:color w:val="auto"/>
              </w:rPr>
            </w:pPr>
          </w:p>
        </w:tc>
      </w:tr>
      <w:tr>
        <w:trPr>
          <w:trHeight w:val="212"/>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 Units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8,597,656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8,651,915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Shares related to dilutive stock options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4,078</w:t>
            </w:r>
          </w:p>
        </w:tc>
        <w:tc>
          <w:tcPr>
            <w:tcW w:w="0" w:type="dxa"/>
            <w:vAlign w:val="bottom"/>
          </w:tcPr>
          <w:p>
            <w:pPr>
              <w:spacing w:after="0"/>
              <w:rPr>
                <w:sz w:val="1"/>
                <w:szCs w:val="1"/>
                <w:color w:val="auto"/>
              </w:rPr>
            </w:pPr>
          </w:p>
        </w:tc>
      </w:tr>
      <w:tr>
        <w:trPr>
          <w:trHeight w:val="22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number of common shares outstanding - diluted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220,298,870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195,328,020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220,177,692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155,116,149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48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3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06"/>
        </w:trPr>
        <w:tc>
          <w:tcPr>
            <w:tcW w:w="6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22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36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8.</w:t>
        <w:tab/>
        <w:t>INVESTMENTS IN UNCONSOLIDATED REAL ESTATE ENTITIES</w:t>
      </w:r>
    </w:p>
    <w:p>
      <w:pPr>
        <w:spacing w:after="0" w:line="226"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Investments in unconsolidated real estate entities and cash distributions in unconsolidated real estate ventures represent the Company's interest in preferred stock of SmartStop Self Storage REIT, Inc. (“SmartStop”) and Strategic Storage Trust VI, Inc. (“Strategic Storage”), an affiliate of SmartStop, and the Company's noncontrolling interest in real estate joint ventures. The Company accounts for its investments in SmartStop and Strategic Storage preferred stock, which do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4"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spacing w:after="0" w:line="189"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investments in unconsolidated real estate entities and cash distributions in unconsolidated real estate ventures consist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 xml:space="preserve">Excess Profit % </w:t>
            </w:r>
            <w:r>
              <w:rPr>
                <w:rFonts w:ascii="Times New Roman" w:cs="Times New Roman" w:eastAsia="Times New Roman" w:hAnsi="Times New Roman"/>
                <w:sz w:val="18"/>
                <w:szCs w:val="18"/>
                <w:b w:val="1"/>
                <w:bCs w:val="1"/>
                <w:color w:val="auto"/>
                <w:w w:val="95"/>
                <w:vertAlign w:val="superscript"/>
              </w:rPr>
              <w:t>(1)</w:t>
            </w:r>
          </w:p>
        </w:tc>
        <w:tc>
          <w:tcPr>
            <w:tcW w:w="160" w:type="dxa"/>
            <w:vAlign w:val="bottom"/>
          </w:tcPr>
          <w:p>
            <w:pPr>
              <w:spacing w:after="0"/>
              <w:rPr>
                <w:sz w:val="3"/>
                <w:szCs w:val="3"/>
                <w:color w:val="auto"/>
              </w:rPr>
            </w:pPr>
          </w:p>
        </w:tc>
        <w:tc>
          <w:tcPr>
            <w:tcW w:w="11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95"/>
        </w:trPr>
        <w:tc>
          <w:tcPr>
            <w:tcW w:w="50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Ownership %</w:t>
            </w: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PRISA Self Storage LLC</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9,435</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HF1 Sovran HHF Storage Holdings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105,339</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Storage Portfolio II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Storage Portfolio IV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48,184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Storage Portfolio I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(42,487)</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 II EXR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108,160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HF2 Sovran HHF Storage Holdings II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41,613</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HF5 Life Storage-HIERS Storage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26,051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HF6 191 V Life Storage Holdings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ESS-CA TIVS JV LP</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VRS Self Storage,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(16,386)</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HF10 Life Storage HHF Wasatch Holdings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20,019</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Other unconsolidated real estate ventures </w:t>
            </w:r>
            <w:r>
              <w:rPr>
                <w:rFonts w:ascii="Times New Roman" w:cs="Times New Roman" w:eastAsia="Times New Roman" w:hAnsi="Times New Roman"/>
                <w:sz w:val="22"/>
                <w:szCs w:val="22"/>
                <w:color w:val="auto"/>
                <w:vertAlign w:val="superscript"/>
              </w:rPr>
              <w:t>(2) (3)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119</w:t>
            </w:r>
          </w:p>
        </w:tc>
        <w:tc>
          <w:tcPr>
            <w:tcW w:w="11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10%-50%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317,104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SmartStop Self Storage REIT, Inc. Preferred Stock </w:t>
            </w:r>
            <w:r>
              <w:rPr>
                <w:rFonts w:ascii="Times New Roman" w:cs="Times New Roman" w:eastAsia="Times New Roman" w:hAnsi="Times New Roman"/>
                <w:sz w:val="22"/>
                <w:szCs w:val="22"/>
                <w:color w:val="auto"/>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n/a</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Strategic Storage Trust VI, Inc. Preferred Stock </w:t>
            </w:r>
            <w:r>
              <w:rPr>
                <w:rFonts w:ascii="Times New Roman" w:cs="Times New Roman" w:eastAsia="Times New Roman" w:hAnsi="Times New Roman"/>
                <w:sz w:val="22"/>
                <w:szCs w:val="22"/>
                <w:color w:val="auto"/>
                <w:vertAlign w:val="superscript"/>
              </w:rPr>
              <w:t>(5)</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6"/>
              </w:rPr>
              <w:t>n/a</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150"/>
        </w:trPr>
        <w:tc>
          <w:tcPr>
            <w:tcW w:w="50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Net Investments in and Cash distributions in unconsolidated real estate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460</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986,040</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1,000,548</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entities</w:t>
            </w: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80" w:hanging="375"/>
        <w:spacing w:after="0"/>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pro-rata equity ownership share and promoted interest.</w:t>
      </w:r>
    </w:p>
    <w:p>
      <w:pPr>
        <w:spacing w:after="0" w:line="119" w:lineRule="exact"/>
        <w:rPr>
          <w:rFonts w:ascii="Times New Roman" w:cs="Times New Roman" w:eastAsia="Times New Roman" w:hAnsi="Times New Roman"/>
          <w:sz w:val="17"/>
          <w:szCs w:val="17"/>
          <w:color w:val="auto"/>
        </w:rPr>
      </w:pPr>
    </w:p>
    <w:p>
      <w:pPr>
        <w:ind w:left="320" w:right="40" w:hanging="315"/>
        <w:spacing w:after="0" w:line="270" w:lineRule="auto"/>
        <w:tabs>
          <w:tab w:leader="none" w:pos="3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2024, the ESS Bristol Investments LLC unconsolidated joint venture sold five of its eight stores to another of the Company's unconsolidated joint ventures, and the Company recognized a gain of $10,324 for its pro rata share of the transaction. The Company then acquired its partner's membership interest in the remaining three stores held by ESS Bristol Investments LLC, which is now presented under real estate assets, net on the Company's condensed consolidated balance sheets.</w:t>
      </w:r>
    </w:p>
    <w:p>
      <w:pPr>
        <w:spacing w:after="0" w:line="64" w:lineRule="exact"/>
        <w:rPr>
          <w:rFonts w:ascii="Times New Roman" w:cs="Times New Roman" w:eastAsia="Times New Roman" w:hAnsi="Times New Roman"/>
          <w:sz w:val="17"/>
          <w:szCs w:val="17"/>
          <w:color w:val="auto"/>
        </w:rPr>
      </w:pPr>
    </w:p>
    <w:p>
      <w:pPr>
        <w:ind w:left="320" w:right="160" w:hanging="315"/>
        <w:spacing w:after="0" w:line="270" w:lineRule="auto"/>
        <w:tabs>
          <w:tab w:leader="none" w:pos="3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2024, the Company sold its membership interest in the Alan Jathoo JV LLC unconsolidated joint venture, which held nine stores, to its partner in such joint venture and recognized a gain of $3,406 on the transaction. This gain and the gain from the ESS Bristol Investments LLC transaction are presented in equity in earnings of unconsolidated real estate ventures - gain on sale of real estate assets and sale of a joint venture interest on the Company's condensed consolidated statements of operations for the three months ended September 30, 2024.</w:t>
      </w:r>
    </w:p>
    <w:p>
      <w:pPr>
        <w:spacing w:after="0" w:line="64" w:lineRule="exact"/>
        <w:rPr>
          <w:rFonts w:ascii="Times New Roman" w:cs="Times New Roman" w:eastAsia="Times New Roman" w:hAnsi="Times New Roman"/>
          <w:sz w:val="17"/>
          <w:szCs w:val="17"/>
          <w:color w:val="auto"/>
        </w:rPr>
      </w:pPr>
    </w:p>
    <w:p>
      <w:pPr>
        <w:ind w:left="320" w:hanging="315"/>
        <w:spacing w:after="0" w:line="270" w:lineRule="auto"/>
        <w:tabs>
          <w:tab w:leader="none" w:pos="3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2019, the Company invested $200,000 in shares of convertible preferred stock of SmartStop with a dividend rate of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64" w:lineRule="exact"/>
        <w:rPr>
          <w:rFonts w:ascii="Times New Roman" w:cs="Times New Roman" w:eastAsia="Times New Roman" w:hAnsi="Times New Roman"/>
          <w:sz w:val="17"/>
          <w:szCs w:val="17"/>
          <w:color w:val="auto"/>
        </w:rPr>
      </w:pPr>
    </w:p>
    <w:p>
      <w:pPr>
        <w:ind w:left="320" w:right="360" w:hanging="315"/>
        <w:spacing w:after="0" w:line="270" w:lineRule="auto"/>
        <w:tabs>
          <w:tab w:leader="none" w:pos="3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2023, the Company invested $150,000 in shares of convertible preferred stock of Strategic Storage with a dividend rate of 8.35% per annum, subject to increase after five years. The preferred shares are generally not redeemable for three years, except in the case of a change of control or initial listing of Strategic Storage. Dividend income from this investment is included on the equity in earnings and dividend income from unconsolidated real estate entities on the Company's condensed consolidated statements of operations.</w:t>
      </w:r>
    </w:p>
    <w:p>
      <w:pPr>
        <w:spacing w:after="0" w:line="2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9.</w:t>
        <w:tab/>
        <w:t>INVESTMENTS IN DEBT SECURITIES AND NOTES RECEIVABLE</w:t>
      </w:r>
    </w:p>
    <w:p>
      <w:pPr>
        <w:spacing w:after="0" w:line="226" w:lineRule="exact"/>
        <w:rPr>
          <w:sz w:val="20"/>
          <w:szCs w:val="20"/>
          <w:color w:val="auto"/>
        </w:rPr>
      </w:pPr>
    </w:p>
    <w:p>
      <w:pPr>
        <w:ind w:right="40" w:firstLine="433"/>
        <w:spacing w:after="0" w:line="277" w:lineRule="auto"/>
        <w:rPr>
          <w:sz w:val="20"/>
          <w:szCs w:val="20"/>
          <w:color w:val="auto"/>
        </w:rPr>
      </w:pPr>
      <w:r>
        <w:rPr>
          <w:rFonts w:ascii="Times New Roman" w:cs="Times New Roman" w:eastAsia="Times New Roman" w:hAnsi="Times New Roman"/>
          <w:sz w:val="17"/>
          <w:szCs w:val="17"/>
          <w:color w:val="auto"/>
        </w:rPr>
        <w:t>Investments in debt securities and notes receivable consists of the Company's investment in mandatorily redeemable preferred stock of Jernigan Capital, Inc. (“JCAP”) in connection with JCAP's acquisition by affiliates of NexPoint Advisors, L.P. (“NexPoint”) and receivables due to the Company under its bridge loan program. Information about these balances is as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securities - Preferred Stock</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 - Bridge Loans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1,032,244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594,727</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and Interest Receivable</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10,042</w:t>
            </w:r>
          </w:p>
        </w:tc>
      </w:tr>
      <w:tr>
        <w:trPr>
          <w:trHeight w:val="216"/>
        </w:trPr>
        <w:tc>
          <w:tcPr>
            <w:tcW w:w="75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1,338,619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904,769</w:t>
            </w: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right="20" w:firstLine="433"/>
        <w:spacing w:after="0" w:line="264" w:lineRule="auto"/>
        <w:rPr>
          <w:sz w:val="20"/>
          <w:szCs w:val="20"/>
          <w:color w:val="auto"/>
        </w:rPr>
      </w:pPr>
      <w:r>
        <w:rPr>
          <w:rFonts w:ascii="Times New Roman" w:cs="Times New Roman" w:eastAsia="Times New Roman" w:hAnsi="Times New Roman"/>
          <w:sz w:val="17"/>
          <w:szCs w:val="17"/>
          <w:color w:val="auto"/>
        </w:rPr>
        <w:t>In November 2020, the Company invested $300,000 in the preferred stock of JCAP in connection with the acquisition of JCAP by NexPoint. This investment consisted of 200,000 Series A Preferred Shares valued at a total of $200,000, and 100,000 Series B Preferred Shares valued at a total of $100,000. In December 2022, the Company completed a modification with NexPoint Storage Partners (as successor in interest to JCAP) that exchanged the Series A and Series B Preferred Shares for 300,000 Series D Preferred Shares, valued at a total of $300,000. The Series D Preferred Shares are mandatorily redeemable after six years from the modification in December 2022, with two one-year extension options. NexPoint may redeem the Series D Preferred Shares at any time, subject to certain prepayment penalties. The Company accounts for the Series D Preferred Shares as a held to maturity debt security at amortized cost. The Series D Preferred Shares have an initial dividend rate of 8.5%. If the investment is not retired after six years, the preferred dividends increase annually.</w:t>
      </w:r>
    </w:p>
    <w:p>
      <w:pPr>
        <w:spacing w:after="0" w:line="200"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The Company offers bridge loan financing to certain of its third-party self-storage owners. These notes receivable consist of mortgage loans receivable, which are collateralized by self-storage properties that the Company manages, and mezzanine loans receivable, which are secured by equity interest pledges. As of September 30, 2024, 71% of the notes held are mortgage receivables. The Company intends to sell a portion of the mortgage receivables. These notes receivable typically have a term of three years with two one-year extensions and have variable interest rates. During the nine months ended September 30, 2024, the Company sold a total principal amount of $175,335 of its mortgage bridge loans receivable to third parties for a total of $175,335 in cash, closed on $636,215 in initial loan draws and recorded $39,709 of draws for interest payments.</w:t>
      </w:r>
    </w:p>
    <w:p>
      <w:pPr>
        <w:spacing w:after="0" w:line="200" w:lineRule="exact"/>
        <w:rPr>
          <w:sz w:val="20"/>
          <w:szCs w:val="20"/>
          <w:color w:val="auto"/>
        </w:rPr>
      </w:pPr>
    </w:p>
    <w:p>
      <w:pPr>
        <w:jc w:val="both"/>
        <w:ind w:right="620" w:firstLine="433"/>
        <w:spacing w:after="0" w:line="277" w:lineRule="auto"/>
        <w:rPr>
          <w:sz w:val="20"/>
          <w:szCs w:val="20"/>
          <w:color w:val="auto"/>
        </w:rPr>
      </w:pPr>
      <w:r>
        <w:rPr>
          <w:rFonts w:ascii="Times New Roman" w:cs="Times New Roman" w:eastAsia="Times New Roman" w:hAnsi="Times New Roman"/>
          <w:sz w:val="17"/>
          <w:szCs w:val="17"/>
          <w:color w:val="auto"/>
        </w:rPr>
        <w:t>The bridge loans typically have a loan to value ratio between 70% and 80%. During the three months ended September 30, 2024, one of the notes receivable entered nonaccrual status. None of the other notes receivable are in past-due or nonaccrual status. The allowance for potential credit losses is immaterial.</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DEBT</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15"/>
        </w:trPr>
        <w:tc>
          <w:tcPr>
            <w:tcW w:w="7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components of term debt are summarized as follows:</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54"/>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Term Debt</w:t>
            </w:r>
          </w:p>
        </w:tc>
        <w:tc>
          <w:tcPr>
            <w:tcW w:w="18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40" w:type="dxa"/>
            <w:vAlign w:val="bottom"/>
          </w:tcPr>
          <w:p>
            <w:pPr>
              <w:spacing w:after="0"/>
              <w:rPr>
                <w:sz w:val="24"/>
                <w:szCs w:val="24"/>
                <w:color w:val="auto"/>
              </w:rPr>
            </w:pPr>
          </w:p>
        </w:tc>
        <w:tc>
          <w:tcPr>
            <w:tcW w:w="192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6"/>
        </w:trPr>
        <w:tc>
          <w:tcPr>
            <w:tcW w:w="7000" w:type="dxa"/>
            <w:vAlign w:val="bottom"/>
            <w:tcBorders>
              <w:top w:val="single" w:sz="8" w:color="auto"/>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7"/>
                <w:szCs w:val="17"/>
                <w:color w:val="auto"/>
              </w:rPr>
              <w:t xml:space="preserve">Secured notes payable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1,018,209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1,279,105</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Unsecured term loans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2,660,000</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senior notes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7,725,000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6,725,000</w:t>
            </w:r>
          </w:p>
        </w:tc>
      </w:tr>
      <w:tr>
        <w:trPr>
          <w:trHeight w:val="216"/>
        </w:trPr>
        <w:tc>
          <w:tcPr>
            <w:tcW w:w="70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10,943,209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10,664,105</w:t>
            </w:r>
          </w:p>
        </w:tc>
      </w:tr>
      <w:tr>
        <w:trPr>
          <w:trHeight w:val="223"/>
        </w:trPr>
        <w:tc>
          <w:tcPr>
            <w:tcW w:w="70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Less: Discount on unsecured senior notes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(274,350)</w:t>
            </w:r>
          </w:p>
        </w:tc>
      </w:tr>
      <w:tr>
        <w:trPr>
          <w:trHeight w:val="22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(55,007)</w:t>
            </w:r>
          </w:p>
        </w:tc>
      </w:tr>
      <w:tr>
        <w:trPr>
          <w:trHeight w:val="241"/>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10,643,830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10,334,748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60" w:hanging="238"/>
        <w:spacing w:after="0"/>
        <w:tabs>
          <w:tab w:leader="none" w:pos="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loans are collateralized by mortgages on real estate assets and the assignment of rents.</w:t>
      </w:r>
    </w:p>
    <w:p>
      <w:pPr>
        <w:spacing w:after="0" w:line="32" w:lineRule="exact"/>
        <w:rPr>
          <w:rFonts w:ascii="Times New Roman" w:cs="Times New Roman" w:eastAsia="Times New Roman" w:hAnsi="Times New Roman"/>
          <w:sz w:val="17"/>
          <w:szCs w:val="17"/>
          <w:color w:val="auto"/>
        </w:rPr>
      </w:pPr>
    </w:p>
    <w:p>
      <w:pPr>
        <w:ind w:left="260" w:hanging="238"/>
        <w:spacing w:after="0"/>
        <w:tabs>
          <w:tab w:leader="none" w:pos="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senior notes from the Life Storage Merger were recorded at fair value, resulting in a discount to be amortized over the term of the debt.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scheduled maturities of term debt, excluding available extensions, at September 30, 2024:</w:t>
      </w:r>
    </w:p>
    <w:p>
      <w:pPr>
        <w:spacing w:after="0" w:line="196"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782,722</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1,409,525</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1,312,689</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1,328,100</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1,516,807</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1,343,366</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1,650,000</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1,000,000</w:t>
            </w:r>
          </w:p>
        </w:tc>
      </w:tr>
      <w:tr>
        <w:trPr>
          <w:trHeight w:val="241"/>
        </w:trPr>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10,943,209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00" w:firstLine="393"/>
        <w:spacing w:after="0" w:line="280" w:lineRule="auto"/>
        <w:rPr>
          <w:sz w:val="20"/>
          <w:szCs w:val="20"/>
          <w:color w:val="auto"/>
        </w:rPr>
      </w:pPr>
      <w:r>
        <w:rPr>
          <w:rFonts w:ascii="Times New Roman" w:cs="Times New Roman" w:eastAsia="Times New Roman" w:hAnsi="Times New Roman"/>
          <w:sz w:val="17"/>
          <w:szCs w:val="17"/>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60" w:type="dxa"/>
            <w:vAlign w:val="bottom"/>
            <w:gridSpan w:val="7"/>
          </w:tcPr>
          <w:p>
            <w:pPr>
              <w:ind w:left="660"/>
              <w:spacing w:after="0"/>
              <w:rPr>
                <w:sz w:val="20"/>
                <w:szCs w:val="20"/>
                <w:color w:val="auto"/>
              </w:rPr>
            </w:pPr>
            <w:r>
              <w:rPr>
                <w:rFonts w:ascii="Times New Roman" w:cs="Times New Roman" w:eastAsia="Times New Roman" w:hAnsi="Times New Roman"/>
                <w:sz w:val="17"/>
                <w:szCs w:val="17"/>
                <w:b w:val="1"/>
                <w:bCs w:val="1"/>
                <w:color w:val="auto"/>
              </w:rPr>
              <w:t>As of September 30, 2024</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Revolving Lines of Credit</w:t>
            </w:r>
          </w:p>
        </w:tc>
        <w:tc>
          <w:tcPr>
            <w:tcW w:w="1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Amount Drawn</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Capacity</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10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980" w:type="dxa"/>
            <w:vAlign w:val="bottom"/>
          </w:tcPr>
          <w:p>
            <w:pPr>
              <w:jc w:val="center"/>
              <w:spacing w:after="0" w:line="217" w:lineRule="exact"/>
              <w:rPr>
                <w:sz w:val="20"/>
                <w:szCs w:val="20"/>
                <w:color w:val="auto"/>
              </w:rPr>
            </w:pPr>
            <w:r>
              <w:rPr>
                <w:rFonts w:ascii="Times New Roman" w:cs="Times New Roman" w:eastAsia="Times New Roman" w:hAnsi="Times New Roman"/>
                <w:sz w:val="17"/>
                <w:szCs w:val="17"/>
                <w:b w:val="1"/>
                <w:bCs w:val="1"/>
                <w:color w:val="auto"/>
                <w:w w:val="98"/>
              </w:rPr>
              <w:t xml:space="preserve">Basis Rate </w:t>
            </w:r>
            <w:r>
              <w:rPr>
                <w:rFonts w:ascii="Times New Roman" w:cs="Times New Roman" w:eastAsia="Times New Roman" w:hAnsi="Times New Roman"/>
                <w:sz w:val="22"/>
                <w:szCs w:val="22"/>
                <w:b w:val="1"/>
                <w:bCs w:val="1"/>
                <w:color w:val="auto"/>
                <w:w w:val="98"/>
                <w:vertAlign w:val="superscript"/>
              </w:rPr>
              <w:t>(1)</w:t>
            </w:r>
          </w:p>
        </w:tc>
      </w:tr>
      <w:tr>
        <w:trPr>
          <w:trHeight w:val="216"/>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Credit Line 1</w:t>
            </w:r>
          </w:p>
        </w:tc>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7/1/2026</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SOFR plus 1.35%</w:t>
            </w:r>
          </w:p>
        </w:tc>
      </w:tr>
      <w:tr>
        <w:trPr>
          <w:trHeight w:val="223"/>
        </w:trPr>
        <w:tc>
          <w:tcPr>
            <w:tcW w:w="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Credit Line 2</w:t>
            </w:r>
          </w:p>
        </w:tc>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(3)(4)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320" w:type="dxa"/>
            <w:vAlign w:val="bottom"/>
            <w:tcBorders>
              <w:bottom w:val="single" w:sz="8" w:color="CCEEFF"/>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17"/>
                <w:szCs w:val="17"/>
                <w:color w:val="auto"/>
              </w:rPr>
              <w:t>6/22/2027</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SOFR plus 0.875%</w:t>
            </w:r>
          </w:p>
        </w:tc>
      </w:tr>
      <w:tr>
        <w:trPr>
          <w:trHeight w:val="222"/>
        </w:trPr>
        <w:tc>
          <w:tcPr>
            <w:tcW w:w="98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2,140,000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r>
    </w:tbl>
    <w:p>
      <w:pPr>
        <w:ind w:left="240" w:hanging="218"/>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Simple Secured Overnight Financing Rate (“SOFR”)</w:t>
      </w:r>
    </w:p>
    <w:p>
      <w:pPr>
        <w:spacing w:after="0" w:line="24" w:lineRule="exact"/>
        <w:rPr>
          <w:rFonts w:ascii="Times New Roman" w:cs="Times New Roman" w:eastAsia="Times New Roman" w:hAnsi="Times New Roman"/>
          <w:sz w:val="16"/>
          <w:szCs w:val="16"/>
          <w:color w:val="auto"/>
        </w:rPr>
      </w:pPr>
    </w:p>
    <w:p>
      <w:pPr>
        <w:ind w:left="240" w:hanging="218"/>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Secured by mortgages on certain real estate assets. On January 13, 2023, the maturity date was extended to July 1, 2026 with one extension of one year available.</w:t>
      </w:r>
    </w:p>
    <w:p>
      <w:pPr>
        <w:spacing w:after="0" w:line="25" w:lineRule="exact"/>
        <w:rPr>
          <w:rFonts w:ascii="Times New Roman" w:cs="Times New Roman" w:eastAsia="Times New Roman" w:hAnsi="Times New Roman"/>
          <w:sz w:val="16"/>
          <w:szCs w:val="16"/>
          <w:color w:val="auto"/>
        </w:rPr>
      </w:pPr>
    </w:p>
    <w:p>
      <w:pPr>
        <w:ind w:left="20" w:right="140" w:firstLine="2"/>
        <w:spacing w:after="0" w:line="237" w:lineRule="auto"/>
        <w:tabs>
          <w:tab w:leader="none" w:pos="24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On June 22, 2023, the maturity date was extended to June 22, 2027 with two six-month extensions available. On August 11, 2023, the capacity was increased by $60.0 million.</w:t>
      </w:r>
    </w:p>
    <w:p>
      <w:pPr>
        <w:spacing w:after="0" w:line="3" w:lineRule="exact"/>
        <w:rPr>
          <w:rFonts w:ascii="Times New Roman" w:cs="Times New Roman" w:eastAsia="Times New Roman" w:hAnsi="Times New Roman"/>
          <w:sz w:val="16"/>
          <w:szCs w:val="16"/>
          <w:color w:val="auto"/>
        </w:rPr>
      </w:pPr>
    </w:p>
    <w:p>
      <w:pPr>
        <w:ind w:left="240" w:hanging="218"/>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Rate as of September 30, 2024. Rate is subject to change based on the Company's investment grade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-607060</wp:posOffset>
            </wp:positionV>
            <wp:extent cx="1648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48460" cy="8255"/>
                    </a:xfrm>
                    <a:prstGeom prst="rect">
                      <a:avLst/>
                    </a:prstGeom>
                    <a:noFill/>
                  </pic:spPr>
                </pic:pic>
              </a:graphicData>
            </a:graphic>
          </wp:anchor>
        </w:drawing>
      </w:r>
    </w:p>
    <w:p>
      <w:pPr>
        <w:spacing w:after="0" w:line="303" w:lineRule="exact"/>
        <w:rPr>
          <w:sz w:val="20"/>
          <w:szCs w:val="20"/>
          <w:color w:val="auto"/>
        </w:rPr>
      </w:pPr>
    </w:p>
    <w:p>
      <w:pPr>
        <w:jc w:val="both"/>
        <w:ind w:right="160" w:firstLine="393"/>
        <w:spacing w:after="0" w:line="261" w:lineRule="auto"/>
        <w:rPr>
          <w:sz w:val="20"/>
          <w:szCs w:val="20"/>
          <w:color w:val="auto"/>
        </w:rPr>
      </w:pPr>
      <w:r>
        <w:rPr>
          <w:rFonts w:ascii="Times New Roman" w:cs="Times New Roman" w:eastAsia="Times New Roman" w:hAnsi="Times New Roman"/>
          <w:sz w:val="17"/>
          <w:szCs w:val="17"/>
          <w:color w:val="auto"/>
        </w:rPr>
        <w:t>On June 22, 2023, the Company entered into the Third Amended and Restated Credit Agreement (the “Credit Agreement”). Pursuant to the terms of the Credit Agreement, the Company may request an extension of the term of the revolving credit facility for up to two additional periods of six months each, after satisfying certain conditions.</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September 30, 2024, amounts outstanding under the revolving credit facility bore interest at floating rates, at the Company’s option, equal to either</w:t>
      </w:r>
    </w:p>
    <w:p>
      <w:pPr>
        <w:spacing w:after="0" w:line="21" w:lineRule="exact"/>
        <w:rPr>
          <w:sz w:val="20"/>
          <w:szCs w:val="20"/>
          <w:color w:val="auto"/>
        </w:rPr>
      </w:pPr>
    </w:p>
    <w:p>
      <w:pPr>
        <w:ind w:left="220" w:hanging="215"/>
        <w:spacing w:after="0"/>
        <w:tabs>
          <w:tab w:leader="none" w:pos="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Term or Daily Simple SOFR plus the applicable margin or (ii) the applicable base rate which is the applicable margin plus the highest of (a) 0.0%,</w:t>
      </w:r>
    </w:p>
    <w:p>
      <w:pPr>
        <w:spacing w:after="0" w:line="1" w:lineRule="exact"/>
        <w:rPr>
          <w:rFonts w:ascii="Times New Roman" w:cs="Times New Roman" w:eastAsia="Times New Roman" w:hAnsi="Times New Roman"/>
          <w:sz w:val="17"/>
          <w:szCs w:val="17"/>
          <w:color w:val="auto"/>
        </w:rPr>
      </w:pPr>
    </w:p>
    <w:p>
      <w:pPr>
        <w:ind w:right="180" w:firstLine="5"/>
        <w:spacing w:after="0" w:line="257" w:lineRule="auto"/>
        <w:tabs>
          <w:tab w:leader="none" w:pos="24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plus 0.50%, (c) U.S. Bank’s prime rate or (d) the SOFR rate plus 1.00%. Per the Credit Agreement, the applicable SOFR rate margin and applicable base rate margin are based on the Company’s achieved debt rating, with the SOFR rate margin ranging from 0.7% to 2.2% per annum and the applicable base rate margin ranging from 0.00% to 1.20% per annum.</w:t>
      </w:r>
    </w:p>
    <w:p>
      <w:pPr>
        <w:spacing w:after="0" w:line="19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Credit Agreement is guaranteed by the Company and is not secured by any assets of the Company. The Company's unsecured debt is subject to certain financial covenants. As of September 30, 2024, the Company was in compliance with all of its financial covenants.</w:t>
      </w:r>
    </w:p>
    <w:p>
      <w:pPr>
        <w:spacing w:after="0" w:line="172" w:lineRule="exact"/>
        <w:rPr>
          <w:sz w:val="20"/>
          <w:szCs w:val="20"/>
          <w:color w:val="auto"/>
        </w:rPr>
      </w:pPr>
    </w:p>
    <w:p>
      <w:pPr>
        <w:ind w:right="280" w:firstLine="393"/>
        <w:spacing w:after="0" w:line="297" w:lineRule="auto"/>
        <w:rPr>
          <w:sz w:val="20"/>
          <w:szCs w:val="20"/>
          <w:color w:val="auto"/>
        </w:rPr>
      </w:pPr>
      <w:r>
        <w:rPr>
          <w:rFonts w:ascii="Times New Roman" w:cs="Times New Roman" w:eastAsia="Times New Roman" w:hAnsi="Times New Roman"/>
          <w:sz w:val="17"/>
          <w:szCs w:val="17"/>
          <w:color w:val="auto"/>
        </w:rPr>
        <w:t>As of September 30, 2024, the Company’s percentage of fixed-rate debt to total debt was 78.3%. The weighted average interest rates of the Company’s fixed and variable-rate debt were 4.0% and 6.0%, respectively. The combined weighted average interest rate was 4.5%.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DERIVATIVES</w:t>
      </w:r>
    </w:p>
    <w:p>
      <w:pPr>
        <w:spacing w:after="0" w:line="252" w:lineRule="exact"/>
        <w:rPr>
          <w:sz w:val="20"/>
          <w:szCs w:val="20"/>
          <w:color w:val="auto"/>
        </w:rPr>
      </w:pPr>
    </w:p>
    <w:p>
      <w:pPr>
        <w:ind w:right="200" w:firstLine="433"/>
        <w:spacing w:after="0" w:line="264" w:lineRule="auto"/>
        <w:rPr>
          <w:sz w:val="20"/>
          <w:szCs w:val="20"/>
          <w:color w:val="auto"/>
        </w:rPr>
      </w:pPr>
      <w:r>
        <w:rPr>
          <w:rFonts w:ascii="Times New Roman" w:cs="Times New Roman" w:eastAsia="Times New Roman" w:hAnsi="Times New Roman"/>
          <w:sz w:val="17"/>
          <w:szCs w:val="17"/>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payments principally related to the Company’s borrowings.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 Hedges of Interest Rate Risk</w:t>
      </w:r>
    </w:p>
    <w:p>
      <w:pPr>
        <w:spacing w:after="0" w:line="121"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96"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nine months ended September 30, 2024 and 2023, such derivatives were used to hedge the variable cash flows associated with existing variable-rate debt. In the coming 12 months, the Company estimates that $7,681 will be reclassified as an increase to interest income.</w:t>
      </w:r>
    </w:p>
    <w:p>
      <w:pPr>
        <w:spacing w:after="0" w:line="198"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The Company held 14 active derivative financial instruments, which had a total current notional amount of $1,382,568 as of September 30, 2024 and two forward-starting derivative financial instruments with effective dates of October 31, 2024 and July 14,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Values of Derivative Instruments</w:t>
      </w:r>
    </w:p>
    <w:p>
      <w:pPr>
        <w:spacing w:after="0" w:line="121" w:lineRule="exact"/>
        <w:rPr>
          <w:sz w:val="20"/>
          <w:szCs w:val="20"/>
          <w:color w:val="auto"/>
        </w:rPr>
      </w:pPr>
    </w:p>
    <w:p>
      <w:pPr>
        <w:ind w:right="240" w:firstLine="433"/>
        <w:spacing w:after="0" w:line="277" w:lineRule="auto"/>
        <w:rPr>
          <w:sz w:val="20"/>
          <w:szCs w:val="20"/>
          <w:color w:val="auto"/>
        </w:rPr>
      </w:pPr>
      <w:r>
        <w:rPr>
          <w:rFonts w:ascii="Times New Roman" w:cs="Times New Roman" w:eastAsia="Times New Roman" w:hAnsi="Times New Roman"/>
          <w:sz w:val="17"/>
          <w:szCs w:val="17"/>
          <w:color w:val="auto"/>
        </w:rPr>
        <w:t>The table below presents the fair values of the Company’s derivative financial instruments as well as their classification on the 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Asset / Liability Derivatives</w:t>
            </w:r>
          </w:p>
        </w:tc>
        <w:tc>
          <w:tcPr>
            <w:tcW w:w="0" w:type="dxa"/>
            <w:vAlign w:val="bottom"/>
          </w:tcPr>
          <w:p>
            <w:pPr>
              <w:spacing w:after="0"/>
              <w:rPr>
                <w:sz w:val="1"/>
                <w:szCs w:val="1"/>
                <w:color w:val="auto"/>
              </w:rPr>
            </w:pPr>
          </w:p>
        </w:tc>
      </w:tr>
      <w:tr>
        <w:trPr>
          <w:trHeight w:val="24"/>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11,716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26,183</w:t>
            </w:r>
          </w:p>
        </w:tc>
        <w:tc>
          <w:tcPr>
            <w:tcW w:w="0" w:type="dxa"/>
            <w:vAlign w:val="bottom"/>
          </w:tcPr>
          <w:p>
            <w:pPr>
              <w:spacing w:after="0"/>
              <w:rPr>
                <w:sz w:val="1"/>
                <w:szCs w:val="1"/>
                <w:color w:val="auto"/>
              </w:rPr>
            </w:pP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6,093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5,030</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Derivative Instruments</w:t>
      </w:r>
    </w:p>
    <w:p>
      <w:pPr>
        <w:spacing w:after="0" w:line="121" w:lineRule="exact"/>
        <w:rPr>
          <w:sz w:val="20"/>
          <w:szCs w:val="20"/>
          <w:color w:val="auto"/>
        </w:rPr>
      </w:pPr>
    </w:p>
    <w:p>
      <w:pPr>
        <w:ind w:right="380" w:firstLine="433"/>
        <w:spacing w:after="0" w:line="297" w:lineRule="auto"/>
        <w:rPr>
          <w:sz w:val="20"/>
          <w:szCs w:val="20"/>
          <w:color w:val="auto"/>
        </w:rPr>
      </w:pPr>
      <w:r>
        <w:rPr>
          <w:rFonts w:ascii="Times New Roman" w:cs="Times New Roman" w:eastAsia="Times New Roman" w:hAnsi="Times New Roman"/>
          <w:sz w:val="17"/>
          <w:szCs w:val="17"/>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40" w:type="dxa"/>
            <w:vAlign w:val="bottom"/>
            <w:gridSpan w:val="5"/>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Gain (loss) recognized in OCI for the Three Months</w:t>
            </w:r>
          </w:p>
        </w:tc>
        <w:tc>
          <w:tcPr>
            <w:tcW w:w="10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 amounts</w:t>
            </w:r>
          </w:p>
        </w:tc>
        <w:tc>
          <w:tcPr>
            <w:tcW w:w="160" w:type="dxa"/>
            <w:vAlign w:val="bottom"/>
          </w:tcPr>
          <w:p>
            <w:pPr>
              <w:spacing w:after="0"/>
              <w:rPr>
                <w:sz w:val="13"/>
                <w:szCs w:val="13"/>
                <w:color w:val="auto"/>
              </w:rPr>
            </w:pPr>
          </w:p>
        </w:tc>
        <w:tc>
          <w:tcPr>
            <w:tcW w:w="3140" w:type="dxa"/>
            <w:vAlign w:val="bottom"/>
            <w:gridSpan w:val="5"/>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Gain (loss) reclassified from OCI for the Three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3"/>
          </w:tcPr>
          <w:p>
            <w:pPr>
              <w:jc w:val="center"/>
              <w:ind w:left="745"/>
              <w:spacing w:after="0" w:line="131"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gridSpan w:val="5"/>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Months Ended September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72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reclassified from OCI into</w:t>
            </w:r>
          </w:p>
        </w:tc>
        <w:tc>
          <w:tcPr>
            <w:tcW w:w="1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line="20" w:lineRule="exact"/>
              <w:rPr>
                <w:sz w:val="1"/>
                <w:szCs w:val="1"/>
                <w:color w:val="auto"/>
              </w:rPr>
            </w:pPr>
          </w:p>
        </w:tc>
        <w:tc>
          <w:tcPr>
            <w:tcW w:w="1500" w:type="dxa"/>
            <w:vAlign w:val="bottom"/>
            <w:vMerge w:val="restart"/>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vMerge w:val="restart"/>
          </w:tcPr>
          <w:p>
            <w:pPr>
              <w:jc w:val="right"/>
              <w:ind w:right="6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Swap Agreements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9,146</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6,965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Gain (loss) recognized in OCI for the Nine Months</w:t>
            </w:r>
          </w:p>
        </w:tc>
        <w:tc>
          <w:tcPr>
            <w:tcW w:w="100" w:type="dxa"/>
            <w:vAlign w:val="bottom"/>
          </w:tcPr>
          <w:p>
            <w:pPr>
              <w:spacing w:after="0"/>
              <w:rPr>
                <w:sz w:val="24"/>
                <w:szCs w:val="24"/>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 amounts</w:t>
            </w:r>
          </w:p>
        </w:tc>
        <w:tc>
          <w:tcPr>
            <w:tcW w:w="160" w:type="dxa"/>
            <w:vAlign w:val="bottom"/>
          </w:tcPr>
          <w:p>
            <w:pPr>
              <w:spacing w:after="0"/>
              <w:rPr>
                <w:sz w:val="24"/>
                <w:szCs w:val="24"/>
                <w:color w:val="auto"/>
              </w:rPr>
            </w:pPr>
          </w:p>
        </w:tc>
        <w:tc>
          <w:tcPr>
            <w:tcW w:w="31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Gain (loss) reclassified from OCI for the Nine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tcPr>
          <w:p>
            <w:pPr>
              <w:jc w:val="center"/>
              <w:ind w:left="745"/>
              <w:spacing w:after="0" w:line="143"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Months Ended September 30,</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reclassified from OCI into</w:t>
            </w: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2"/>
                <w:szCs w:val="2"/>
                <w:color w:val="auto"/>
              </w:rPr>
            </w:pPr>
          </w:p>
        </w:tc>
        <w:tc>
          <w:tcPr>
            <w:tcW w:w="1500" w:type="dxa"/>
            <w:vAlign w:val="bottom"/>
            <w:vMerge w:val="restart"/>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vMerge w:val="restart"/>
          </w:tcPr>
          <w:p>
            <w:pPr>
              <w:jc w:val="right"/>
              <w:ind w:right="6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Swap Agreements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22,042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31,398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Credit-Risk-Related Contingent Features</w:t>
      </w:r>
    </w:p>
    <w:p>
      <w:pPr>
        <w:spacing w:after="0" w:line="121" w:lineRule="exact"/>
        <w:rPr>
          <w:sz w:val="20"/>
          <w:szCs w:val="20"/>
          <w:color w:val="auto"/>
        </w:rPr>
      </w:pPr>
    </w:p>
    <w:p>
      <w:pPr>
        <w:jc w:val="both"/>
        <w:ind w:right="280" w:firstLine="433"/>
        <w:spacing w:after="0" w:line="277" w:lineRule="auto"/>
        <w:rPr>
          <w:sz w:val="20"/>
          <w:szCs w:val="20"/>
          <w:color w:val="auto"/>
        </w:rPr>
      </w:pPr>
      <w:r>
        <w:rPr>
          <w:rFonts w:ascii="Times New Roman" w:cs="Times New Roman" w:eastAsia="Times New Roman" w:hAnsi="Times New Roman"/>
          <w:sz w:val="17"/>
          <w:szCs w:val="17"/>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9" w:lineRule="exact"/>
        <w:rPr>
          <w:sz w:val="20"/>
          <w:szCs w:val="20"/>
          <w:color w:val="auto"/>
        </w:rPr>
      </w:pPr>
    </w:p>
    <w:p>
      <w:pPr>
        <w:ind w:right="200" w:firstLine="433"/>
        <w:spacing w:after="0" w:line="277" w:lineRule="auto"/>
        <w:rPr>
          <w:sz w:val="20"/>
          <w:szCs w:val="20"/>
          <w:color w:val="auto"/>
        </w:rPr>
      </w:pPr>
      <w:r>
        <w:rPr>
          <w:rFonts w:ascii="Times New Roman" w:cs="Times New Roman" w:eastAsia="Times New Roman" w:hAnsi="Times New Roman"/>
          <w:sz w:val="17"/>
          <w:szCs w:val="17"/>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89" w:lineRule="exact"/>
        <w:rPr>
          <w:sz w:val="20"/>
          <w:szCs w:val="20"/>
          <w:color w:val="auto"/>
        </w:rPr>
      </w:pPr>
    </w:p>
    <w:p>
      <w:pPr>
        <w:ind w:right="320" w:firstLine="433"/>
        <w:spacing w:after="0" w:line="270" w:lineRule="auto"/>
        <w:rPr>
          <w:sz w:val="20"/>
          <w:szCs w:val="20"/>
          <w:color w:val="auto"/>
        </w:rPr>
      </w:pPr>
      <w:r>
        <w:rPr>
          <w:rFonts w:ascii="Times New Roman" w:cs="Times New Roman" w:eastAsia="Times New Roman" w:hAnsi="Times New Roman"/>
          <w:sz w:val="17"/>
          <w:szCs w:val="17"/>
          <w:color w:val="auto"/>
        </w:rPr>
        <w:t>As of September 30, 2024, the fair value of derivatives in a net liability position, which includes accrued interest but excludes any adjustment for nonperformance risk related to these agreements, was $5,423. As of September 30, 2024, the Company had not posted any collateral related to these agreements. If the Company had breached any of these provisions as of September 30, 2024, it could have been required to cash settle its obligations under these agreements at their termination value of $5,423.</w:t>
      </w:r>
    </w:p>
    <w:p>
      <w:pPr>
        <w:spacing w:after="0" w:line="2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tab/>
        <w:t>STOCKHOLDERS’ EQUITY</w:t>
      </w:r>
    </w:p>
    <w:p>
      <w:pPr>
        <w:spacing w:after="0" w:line="252" w:lineRule="exact"/>
        <w:rPr>
          <w:sz w:val="20"/>
          <w:szCs w:val="20"/>
          <w:color w:val="auto"/>
        </w:rPr>
      </w:pPr>
    </w:p>
    <w:p>
      <w:pPr>
        <w:ind w:right="20" w:firstLine="433"/>
        <w:spacing w:after="0" w:line="274" w:lineRule="auto"/>
        <w:rPr>
          <w:sz w:val="20"/>
          <w:szCs w:val="20"/>
          <w:color w:val="auto"/>
        </w:rPr>
      </w:pPr>
      <w:r>
        <w:rPr>
          <w:rFonts w:ascii="Times New Roman" w:cs="Times New Roman" w:eastAsia="Times New Roman" w:hAnsi="Times New Roman"/>
          <w:sz w:val="17"/>
          <w:szCs w:val="17"/>
          <w:color w:val="auto"/>
        </w:rPr>
        <w:t>On April 15, 2024, the Company filed its $800,000 “at the market” equity program with the Securities and Exchange Commission using a shelf registration statement on Form S-3, and entered into an equity distribution agreement with nine sales agents. No shares have been sold under the current “at the market” equity program, and no shares were sold under the previous “at the market” equity program, which spanned from August 9, 2021 through April 14, 2024.</w:t>
      </w:r>
    </w:p>
    <w:p>
      <w:pPr>
        <w:spacing w:after="0" w:line="200" w:lineRule="exact"/>
        <w:rPr>
          <w:sz w:val="20"/>
          <w:szCs w:val="20"/>
          <w:color w:val="auto"/>
        </w:rPr>
      </w:pPr>
    </w:p>
    <w:p>
      <w:pPr>
        <w:spacing w:after="0" w:line="206"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On November 13, 2023, the Company's board of directors authorized a share repurchase program allowing for the repurchase of shares with an aggregate value up to $500,000. During the year ended December 31, 2023 and the nine months ended September 30, 2024, no shares were repurchased. As of September 30, 2024, the Company had remaining authorization to repurchase shares with an aggregate value up to $500,000.</w:t>
      </w:r>
    </w:p>
    <w:p>
      <w:pPr>
        <w:spacing w:after="0" w:line="189" w:lineRule="exact"/>
        <w:rPr>
          <w:sz w:val="20"/>
          <w:szCs w:val="20"/>
          <w:color w:val="auto"/>
        </w:rPr>
      </w:pPr>
    </w:p>
    <w:p>
      <w:pPr>
        <w:ind w:right="340" w:firstLine="433"/>
        <w:spacing w:after="0" w:line="297" w:lineRule="auto"/>
        <w:rPr>
          <w:sz w:val="20"/>
          <w:szCs w:val="20"/>
          <w:color w:val="auto"/>
        </w:rPr>
      </w:pPr>
      <w:r>
        <w:rPr>
          <w:rFonts w:ascii="Times New Roman" w:cs="Times New Roman" w:eastAsia="Times New Roman" w:hAnsi="Times New Roman"/>
          <w:sz w:val="17"/>
          <w:szCs w:val="17"/>
          <w:color w:val="auto"/>
        </w:rPr>
        <w:t>On July 20, 2023, the Company issued 76,217,359 shares of its common stock at $148.96 for a total value of $11,353,338 as part of the Life Storage Merger. See Acquisitions and Dispositions note above.</w:t>
      </w:r>
    </w:p>
    <w:p>
      <w:pPr>
        <w:spacing w:after="0" w:line="24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tab/>
        <w:t>NONCONTROLLING INTEREST REPRESENTED BY PREFERRED OPERATING PARTNERSHIP UNITS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Classification of Noncontrolling Interests</w:t>
      </w:r>
    </w:p>
    <w:p>
      <w:pPr>
        <w:spacing w:after="0" w:line="121"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8" w:lineRule="exact"/>
        <w:rPr>
          <w:sz w:val="20"/>
          <w:szCs w:val="20"/>
          <w:color w:val="auto"/>
        </w:rPr>
      </w:pPr>
    </w:p>
    <w:p>
      <w:pPr>
        <w:ind w:right="200" w:firstLine="433"/>
        <w:spacing w:after="0" w:line="267" w:lineRule="auto"/>
        <w:rPr>
          <w:sz w:val="20"/>
          <w:szCs w:val="20"/>
          <w:color w:val="auto"/>
        </w:rPr>
      </w:pPr>
      <w:r>
        <w:rPr>
          <w:rFonts w:ascii="Times New Roman" w:cs="Times New Roman" w:eastAsia="Times New Roman" w:hAnsi="Times New Roman"/>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355"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90" w:lineRule="exact"/>
        <w:rPr>
          <w:sz w:val="20"/>
          <w:szCs w:val="20"/>
          <w:color w:val="auto"/>
        </w:rPr>
      </w:pPr>
    </w:p>
    <w:p>
      <w:pPr>
        <w:ind w:right="220" w:firstLine="433"/>
        <w:spacing w:after="0" w:line="270" w:lineRule="auto"/>
        <w:rPr>
          <w:sz w:val="20"/>
          <w:szCs w:val="20"/>
          <w:color w:val="auto"/>
        </w:rPr>
      </w:pPr>
      <w:r>
        <w:rPr>
          <w:rFonts w:ascii="Times New Roman" w:cs="Times New Roman" w:eastAsia="Times New Roman" w:hAnsi="Times New Roman"/>
          <w:sz w:val="17"/>
          <w:szCs w:val="17"/>
          <w:color w:val="auto"/>
        </w:rPr>
        <w:t>At September 30, 2024 and December 31, 2023,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The balances for each of the specific Preferred OP Units as presented in the Statement of Noncontrolling Interests and Equity as of the periods indicated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Pr>
          <w:p>
            <w:pPr>
              <w:spacing w:after="0"/>
              <w:rPr>
                <w:sz w:val="18"/>
                <w:szCs w:val="18"/>
                <w:color w:val="auto"/>
              </w:rPr>
            </w:pPr>
          </w:p>
        </w:tc>
        <w:tc>
          <w:tcPr>
            <w:tcW w:w="19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Units</w:t>
            </w: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33,567</w:t>
            </w:r>
          </w:p>
        </w:tc>
        <w:tc>
          <w:tcPr>
            <w:tcW w:w="18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33,567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D Units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157,739</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188,793</w:t>
            </w:r>
          </w:p>
        </w:tc>
      </w:tr>
      <w:tr>
        <w:trPr>
          <w:trHeight w:val="216"/>
        </w:trPr>
        <w:tc>
          <w:tcPr>
            <w:tcW w:w="67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191,306</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222,360</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Participating Redeemable Preferred Units</w:t>
      </w:r>
    </w:p>
    <w:p>
      <w:pPr>
        <w:spacing w:after="0" w:line="252"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A Units. The Series A Units have priority over all other partnership interests of the Operating Partnership with respect to distributions and liquidation. As of September 30, 2024 and December 31, 2023, there were no outstanding Series A Units.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B Redeemable Preferred Units</w:t>
      </w:r>
    </w:p>
    <w:p>
      <w:pPr>
        <w:spacing w:after="0" w:line="25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72"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Series B Units were issued in 2013 and 2014. The Series B Units have a liquidation value of $25.00 per unit for a fixed liquidation value of $33,567 which represents 1,342,727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C Redeemable Preferred Units</w:t>
      </w:r>
    </w:p>
    <w:p>
      <w:pPr>
        <w:spacing w:after="0" w:line="239" w:lineRule="exact"/>
        <w:rPr>
          <w:sz w:val="20"/>
          <w:szCs w:val="20"/>
          <w:color w:val="auto"/>
        </w:rPr>
      </w:pPr>
    </w:p>
    <w:p>
      <w:pPr>
        <w:ind w:right="280" w:firstLine="433"/>
        <w:spacing w:after="0" w:line="261"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 As of September 30, 2024 and December 31, 2023, there were no outstanding Series C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D Redeemable Preferred Units</w:t>
      </w:r>
    </w:p>
    <w:p>
      <w:pPr>
        <w:spacing w:after="0" w:line="252" w:lineRule="exact"/>
        <w:rPr>
          <w:sz w:val="20"/>
          <w:szCs w:val="20"/>
          <w:color w:val="auto"/>
        </w:rPr>
      </w:pPr>
    </w:p>
    <w:p>
      <w:pPr>
        <w:jc w:val="both"/>
        <w:ind w:right="420" w:firstLine="433"/>
        <w:spacing w:after="0" w:line="27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57" w:lineRule="exact"/>
        <w:rPr>
          <w:sz w:val="20"/>
          <w:szCs w:val="20"/>
          <w:color w:val="auto"/>
        </w:rPr>
      </w:pPr>
    </w:p>
    <w:p>
      <w:pPr>
        <w:ind w:right="80" w:firstLine="433"/>
        <w:spacing w:after="0" w:line="266" w:lineRule="auto"/>
        <w:rPr>
          <w:sz w:val="20"/>
          <w:szCs w:val="20"/>
          <w:color w:val="auto"/>
        </w:rPr>
      </w:pPr>
      <w:r>
        <w:rPr>
          <w:rFonts w:ascii="Times New Roman" w:cs="Times New Roman" w:eastAsia="Times New Roman" w:hAnsi="Times New Roman"/>
          <w:sz w:val="17"/>
          <w:szCs w:val="17"/>
          <w:color w:val="auto"/>
        </w:rPr>
        <w:t>The Series D Units have a liquidation value of $25.00 per unit, for a fixed liquidation value of $157,739, which represents 6,309,567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nine months ended September 30, 2024, 1,242,168 Series D Units were redeemed for 213,661 shares of common stock.</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14.</w:t>
        <w:tab/>
        <w:t>NONCONTROLLING INTEREST IN OPERATING PARTNERSHIP AND OTHER NONCONTROLLING INTERESTS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 in Operating Partnership</w:t>
      </w:r>
    </w:p>
    <w:p>
      <w:pPr>
        <w:spacing w:after="0" w:line="252" w:lineRule="exact"/>
        <w:rPr>
          <w:sz w:val="20"/>
          <w:szCs w:val="20"/>
          <w:color w:val="auto"/>
        </w:rPr>
      </w:pPr>
    </w:p>
    <w:p>
      <w:pPr>
        <w:ind w:right="340" w:firstLine="433"/>
        <w:spacing w:after="0" w:line="265" w:lineRule="auto"/>
        <w:rPr>
          <w:sz w:val="20"/>
          <w:szCs w:val="20"/>
          <w:color w:val="auto"/>
        </w:rPr>
      </w:pPr>
      <w:r>
        <w:rPr>
          <w:rFonts w:ascii="Times New Roman" w:cs="Times New Roman" w:eastAsia="Times New Roman" w:hAnsi="Times New Roman"/>
          <w:sz w:val="17"/>
          <w:szCs w:val="17"/>
          <w:color w:val="auto"/>
        </w:rPr>
        <w:t>The Company’s interest in its stores is held through the Operating Partnership. Between its general partner and limited partner interests, the Company held a 95.6% ownership interest in the Operating Partnership as of September 30, 2024. The remaining ownership interests in the Operating Partnership (including Preferred OP Units) of 4.4% are held by certain former owners of assets acquired by the Operating Partnership. As of September 30, 2024 and December 31, 2023, the noncontrolling interests in the Operating Partnership are shown on the balance sheet net of a note receivable of $1,900 because a borrower under the note receivable is also a holder of OP Units. This note receivable originated in December 2014, bears interest at 5.0% per annum and matures on December 15, 2024.</w:t>
      </w:r>
    </w:p>
    <w:p>
      <w:pPr>
        <w:spacing w:after="0" w:line="200" w:lineRule="exact"/>
        <w:rPr>
          <w:sz w:val="20"/>
          <w:szCs w:val="20"/>
          <w:color w:val="auto"/>
        </w:rPr>
      </w:pPr>
    </w:p>
    <w:p>
      <w:pPr>
        <w:ind w:right="160" w:firstLine="433"/>
        <w:spacing w:after="0" w:line="264" w:lineRule="auto"/>
        <w:rPr>
          <w:sz w:val="20"/>
          <w:szCs w:val="20"/>
          <w:color w:val="auto"/>
        </w:rPr>
      </w:pPr>
      <w:r>
        <w:rPr>
          <w:rFonts w:ascii="Times New Roman" w:cs="Times New Roman" w:eastAsia="Times New Roman" w:hAnsi="Times New Roman"/>
          <w:sz w:val="17"/>
          <w:szCs w:val="17"/>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September 30, 2024, the ten-day average closing price of the Company's common stock was $180.16 and there were 8,577,570 OP Units outstanding. Assuming that all of the OP Unit holders exercised their right to redeem all of their OP Units on September 30, 2024 and the Company elected to pay the OP Unit holders cash, the Company would have paid $1,545,335 in cash consideration to redeem the units.</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OP Unit activity is summarized as follows for the periods presented: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382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04"/>
        </w:trPr>
        <w:tc>
          <w:tcPr>
            <w:tcW w:w="74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 Units redeemed for common stock</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rPr>
              <w:t>308,024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 Units issued in conjunction with business combination and acquisitions</w:t>
            </w:r>
          </w:p>
        </w:tc>
        <w:tc>
          <w:tcPr>
            <w:tcW w:w="1160" w:type="dxa"/>
            <w:vAlign w:val="bottom"/>
          </w:tcPr>
          <w:p>
            <w:pPr>
              <w:spacing w:after="0"/>
              <w:rPr>
                <w:sz w:val="19"/>
                <w:szCs w:val="19"/>
                <w:color w:val="auto"/>
              </w:rPr>
            </w:pPr>
          </w:p>
        </w:tc>
        <w:tc>
          <w:tcPr>
            <w:tcW w:w="124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1,674,748</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Value of OP Units issued in conjunction with business combination and acquisitions</w:t>
            </w: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249,470</w:t>
            </w:r>
          </w:p>
        </w:tc>
      </w:tr>
    </w:tbl>
    <w:p>
      <w:pPr>
        <w:spacing w:after="0" w:line="309"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8"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Noncontrolling Interests</w:t>
      </w:r>
    </w:p>
    <w:p>
      <w:pPr>
        <w:spacing w:after="0" w:line="252" w:lineRule="exact"/>
        <w:rPr>
          <w:sz w:val="20"/>
          <w:szCs w:val="20"/>
          <w:color w:val="auto"/>
        </w:rPr>
      </w:pPr>
    </w:p>
    <w:p>
      <w:pPr>
        <w:jc w:val="both"/>
        <w:ind w:right="140" w:firstLine="433"/>
        <w:spacing w:after="0" w:line="277" w:lineRule="auto"/>
        <w:rPr>
          <w:sz w:val="20"/>
          <w:szCs w:val="20"/>
          <w:color w:val="auto"/>
        </w:rPr>
      </w:pPr>
      <w:r>
        <w:rPr>
          <w:rFonts w:ascii="Times New Roman" w:cs="Times New Roman" w:eastAsia="Times New Roman" w:hAnsi="Times New Roman"/>
          <w:sz w:val="17"/>
          <w:szCs w:val="17"/>
          <w:color w:val="auto"/>
        </w:rPr>
        <w:t>Other noncontrolling interests represent the ownership interest of partners in nine consolidated joint ventures as of September 30, 2024. There are a total of 13 stores in consolidated joint ventures, seven of which are operating and the other six of which are under development. The voting interests of the partners are 17.0% or less.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Based on the facts and circumstances of each of the Company’s joint ventures, the Company has determined that one of the joint ventures 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was a variable interest entity (“VIE”) in accordance with ASC 810, “Consolidation.” The Company has consolidated that joint venture as 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 determined that the Company has the power to direct the activities of the joint venture and is the primary beneficiary of the joint venture.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15.</w:t>
        <w:tab/>
        <w:t>SEGMENT INFORMATION</w:t>
      </w:r>
    </w:p>
    <w:p>
      <w:pPr>
        <w:spacing w:after="0" w:line="252"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The Company’s segments are comprised of two reportable segments: (1) self-storage operations and (2) tenant reinsurance. NOI for the Company's self-storage operations represents total property revenue less direct property operating expenses. NOI for the Company's tenant reinsurance segment represents tenant reinsurance revenues less tenant reinsurance expense.</w:t>
      </w:r>
    </w:p>
    <w:p>
      <w:pPr>
        <w:spacing w:after="0" w:line="198"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self-storage operations activities include rental operations of wholly-owned stores and self-storage units acquired in the Bargold transaction on June 1, 2022.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6" w:lineRule="exact"/>
        <w:rPr>
          <w:sz w:val="20"/>
          <w:szCs w:val="20"/>
          <w:color w:val="auto"/>
        </w:rPr>
      </w:pPr>
    </w:p>
    <w:p>
      <w:pPr>
        <w:ind w:right="680" w:firstLine="433"/>
        <w:spacing w:after="0" w:line="283" w:lineRule="auto"/>
        <w:rPr>
          <w:sz w:val="20"/>
          <w:szCs w:val="20"/>
          <w:color w:val="auto"/>
        </w:rPr>
      </w:pPr>
      <w:r>
        <w:rPr>
          <w:rFonts w:ascii="Times New Roman" w:cs="Times New Roman" w:eastAsia="Times New Roman" w:hAnsi="Times New Roman"/>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20"/>
          </w:cols>
          <w:pgMar w:left="320" w:top="355" w:right="359" w:bottom="1440" w:gutter="0" w:footer="0" w:header="0"/>
        </w:sectPr>
      </w:pPr>
    </w:p>
    <w:p>
      <w:pPr>
        <w:jc w:val="center"/>
        <w:ind w:left="4340"/>
        <w:spacing w:after="0"/>
        <w:rPr>
          <w:sz w:val="20"/>
          <w:szCs w:val="20"/>
          <w:color w:val="auto"/>
        </w:rPr>
      </w:pPr>
      <w:r>
        <w:rPr>
          <w:rFonts w:ascii="Times New Roman" w:cs="Times New Roman" w:eastAsia="Times New Roman" w:hAnsi="Times New Roman"/>
          <w:sz w:val="15"/>
          <w:szCs w:val="15"/>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25400</wp:posOffset>
            </wp:positionV>
            <wp:extent cx="2248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30" w:lineRule="exact"/>
        <w:rPr>
          <w:sz w:val="20"/>
          <w:szCs w:val="20"/>
          <w:color w:val="auto"/>
        </w:rPr>
      </w:pPr>
    </w:p>
    <w:p>
      <w:pPr>
        <w:ind w:left="4820"/>
        <w:spacing w:after="0"/>
        <w:tabs>
          <w:tab w:leader="none" w:pos="656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25400</wp:posOffset>
            </wp:positionV>
            <wp:extent cx="2148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spacing w:after="0" w:line="30" w:lineRule="exact"/>
        <w:rPr>
          <w:sz w:val="20"/>
          <w:szCs w:val="20"/>
          <w:color w:val="auto"/>
        </w:rPr>
      </w:pPr>
    </w:p>
    <w:p>
      <w:pPr>
        <w:ind w:left="420"/>
        <w:spacing w:after="0"/>
        <w:tabs>
          <w:tab w:leader="none" w:pos="210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4" w:lineRule="exact"/>
        <w:rPr>
          <w:sz w:val="20"/>
          <w:szCs w:val="20"/>
          <w:color w:val="auto"/>
        </w:rPr>
      </w:pPr>
    </w:p>
    <w:p>
      <w:pPr>
        <w:sectPr>
          <w:pgSz w:w="11900" w:h="16838" w:orient="portrait"/>
          <w:cols w:equalWidth="0" w:num="2">
            <w:col w:w="7380" w:space="720"/>
            <w:col w:w="3120"/>
          </w:cols>
          <w:pgMar w:left="320" w:top="355" w:right="359" w:bottom="1440" w:gutter="0" w:footer="0" w:header="0"/>
          <w:type w:val="continuous"/>
        </w:sectPr>
      </w:pPr>
    </w:p>
    <w:tbl>
      <w:tblPr>
        <w:tblLayout w:type="fixed"/>
        <w:tblInd w:w="40" w:type="dxa"/>
        <w:tblCellMar>
          <w:top w:w="0" w:type="dxa"/>
          <w:left w:w="0" w:type="dxa"/>
          <w:bottom w:w="0" w:type="dxa"/>
          <w:right w:w="0" w:type="dxa"/>
        </w:tblCellMar>
      </w:tblPr>
      <w:tr>
        <w:trPr>
          <w:trHeight w:val="19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5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Self-Storage Operations</w:t>
            </w: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710,874</w:t>
            </w: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650,887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2,096,018</w:t>
            </w: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1,525,596</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Tenant Reinsurance</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84,048</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69,128</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249,100</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165,265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segment revenues</w:t>
            </w: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794,922</w:t>
            </w: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720,015</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2,345,118</w:t>
            </w: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1,690,861</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Self-Storage Operations</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209,035</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185,194</w:t>
            </w:r>
          </w:p>
        </w:tc>
        <w:tc>
          <w:tcPr>
            <w:tcW w:w="20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610,455</w:t>
            </w: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416,997</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Tenant Reinsurance</w:t>
            </w: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17,510</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19,130</w:t>
            </w:r>
          </w:p>
        </w:tc>
        <w:tc>
          <w:tcPr>
            <w:tcW w:w="2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55,646</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37,701</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segment operating expenses</w:t>
            </w:r>
          </w:p>
        </w:tc>
        <w:tc>
          <w:tcPr>
            <w:tcW w:w="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226,545</w:t>
            </w:r>
          </w:p>
        </w:tc>
        <w:tc>
          <w:tcPr>
            <w:tcW w:w="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204,324</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666,101</w:t>
            </w:r>
          </w:p>
        </w:tc>
        <w:tc>
          <w:tcPr>
            <w:tcW w:w="5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454,698</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income:</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Self-Storage Operations</w:t>
            </w: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501,839</w:t>
            </w: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465,693</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1,485,563</w:t>
            </w: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1,108,599</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Tenant Reinsurance</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66,538</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49,998</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193,454</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127,564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segment net operating income:</w:t>
            </w: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568,377</w:t>
            </w: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515,691</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1,679,017</w:t>
            </w: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1,236,163</w:t>
            </w: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components of net income:</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29,882</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28,019</w:t>
            </w:r>
          </w:p>
        </w:tc>
        <w:tc>
          <w:tcPr>
            <w:tcW w:w="20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89,888</w:t>
            </w: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71,609</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Life Storage Merger transition costs</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(54,174)</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(54,174)</w:t>
            </w:r>
          </w:p>
        </w:tc>
        <w:tc>
          <w:tcPr>
            <w:tcW w:w="0" w:type="dxa"/>
            <w:vAlign w:val="bottom"/>
          </w:tcPr>
          <w:p>
            <w:pPr>
              <w:spacing w:after="0"/>
              <w:rPr>
                <w:sz w:val="1"/>
                <w:szCs w:val="1"/>
                <w:color w:val="auto"/>
              </w:rPr>
            </w:pPr>
          </w:p>
        </w:tc>
      </w:tr>
      <w:tr>
        <w:trPr>
          <w:trHeight w:val="223"/>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(39,750)</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(123,373)</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(107,011)</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(195,046)</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(152,338)</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(586,821)</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(309,914)</w:t>
            </w:r>
          </w:p>
        </w:tc>
        <w:tc>
          <w:tcPr>
            <w:tcW w:w="0" w:type="dxa"/>
            <w:vAlign w:val="bottom"/>
          </w:tcPr>
          <w:p>
            <w:pPr>
              <w:spacing w:after="0"/>
              <w:rPr>
                <w:sz w:val="1"/>
                <w:szCs w:val="1"/>
                <w:color w:val="auto"/>
              </w:rPr>
            </w:pPr>
          </w:p>
        </w:tc>
      </w:tr>
      <w:tr>
        <w:trPr>
          <w:trHeight w:val="223"/>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real estate assets held for sale</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(8,961)</w:t>
            </w:r>
          </w:p>
        </w:tc>
        <w:tc>
          <w:tcPr>
            <w:tcW w:w="5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(63,620)</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(142,855)</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(122,899)</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(412,875)</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(289,370)</w:t>
            </w:r>
          </w:p>
        </w:tc>
        <w:tc>
          <w:tcPr>
            <w:tcW w:w="0" w:type="dxa"/>
            <w:vAlign w:val="bottom"/>
          </w:tcPr>
          <w:p>
            <w:pPr>
              <w:spacing w:after="0"/>
              <w:rPr>
                <w:sz w:val="1"/>
                <w:szCs w:val="1"/>
                <w:color w:val="auto"/>
              </w:rPr>
            </w:pPr>
          </w:p>
        </w:tc>
      </w:tr>
      <w:tr>
        <w:trPr>
          <w:trHeight w:val="157"/>
        </w:trPr>
        <w:tc>
          <w:tcPr>
            <w:tcW w:w="406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Non-cash interest expense related to amortization of</w:t>
            </w:r>
          </w:p>
        </w:tc>
        <w:tc>
          <w:tcPr>
            <w:tcW w:w="5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(11,005)</w:t>
            </w:r>
          </w:p>
        </w:tc>
        <w:tc>
          <w:tcPr>
            <w:tcW w:w="5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(8,228)</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(32,563)</w:t>
            </w:r>
          </w:p>
        </w:tc>
        <w:tc>
          <w:tcPr>
            <w:tcW w:w="5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(8,228)</w:t>
            </w:r>
          </w:p>
        </w:tc>
        <w:tc>
          <w:tcPr>
            <w:tcW w:w="0" w:type="dxa"/>
            <w:vAlign w:val="bottom"/>
          </w:tcPr>
          <w:p>
            <w:pPr>
              <w:spacing w:after="0"/>
              <w:rPr>
                <w:sz w:val="1"/>
                <w:szCs w:val="1"/>
                <w:color w:val="auto"/>
              </w:rPr>
            </w:pPr>
          </w:p>
        </w:tc>
      </w:tr>
      <w:tr>
        <w:trPr>
          <w:trHeight w:val="210"/>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discount on Life Storage unsecured senior notes</w:t>
            </w:r>
          </w:p>
        </w:tc>
        <w:tc>
          <w:tcPr>
            <w:tcW w:w="5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34,947</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89,746</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62,607</w:t>
            </w:r>
          </w:p>
        </w:tc>
        <w:tc>
          <w:tcPr>
            <w:tcW w:w="0" w:type="dxa"/>
            <w:vAlign w:val="bottom"/>
          </w:tcPr>
          <w:p>
            <w:pPr>
              <w:spacing w:after="0"/>
              <w:rPr>
                <w:sz w:val="1"/>
                <w:szCs w:val="1"/>
                <w:color w:val="auto"/>
              </w:rPr>
            </w:pPr>
          </w:p>
        </w:tc>
      </w:tr>
      <w:tr>
        <w:trPr>
          <w:trHeight w:val="157"/>
        </w:trPr>
        <w:tc>
          <w:tcPr>
            <w:tcW w:w="406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Equity in earnings and dividend income from</w:t>
            </w:r>
          </w:p>
        </w:tc>
        <w:tc>
          <w:tcPr>
            <w:tcW w:w="5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16,246</w:t>
            </w:r>
          </w:p>
        </w:tc>
        <w:tc>
          <w:tcPr>
            <w:tcW w:w="5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48,508</w:t>
            </w:r>
          </w:p>
        </w:tc>
        <w:tc>
          <w:tcPr>
            <w:tcW w:w="5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38,602</w:t>
            </w:r>
          </w:p>
        </w:tc>
        <w:tc>
          <w:tcPr>
            <w:tcW w:w="0" w:type="dxa"/>
            <w:vAlign w:val="bottom"/>
          </w:tcPr>
          <w:p>
            <w:pPr>
              <w:spacing w:after="0"/>
              <w:rPr>
                <w:sz w:val="1"/>
                <w:szCs w:val="1"/>
                <w:color w:val="auto"/>
              </w:rPr>
            </w:pPr>
          </w:p>
        </w:tc>
      </w:tr>
      <w:tr>
        <w:trPr>
          <w:trHeight w:val="210"/>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unconsolidated real estate entities</w:t>
            </w:r>
          </w:p>
        </w:tc>
        <w:tc>
          <w:tcPr>
            <w:tcW w:w="5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Equity in earnings of unconsolidated real estate ventures -</w:t>
            </w:r>
          </w:p>
        </w:tc>
        <w:tc>
          <w:tcPr>
            <w:tcW w:w="5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13,730</w:t>
            </w:r>
          </w:p>
        </w:tc>
        <w:tc>
          <w:tcPr>
            <w:tcW w:w="58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13,730</w:t>
            </w:r>
          </w:p>
        </w:tc>
        <w:tc>
          <w:tcPr>
            <w:tcW w:w="5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sale of real estate assets</w:t>
            </w:r>
          </w:p>
        </w:tc>
        <w:tc>
          <w:tcPr>
            <w:tcW w:w="5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trade name</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(51,763)</w:t>
            </w:r>
          </w:p>
        </w:tc>
        <w:tc>
          <w:tcPr>
            <w:tcW w:w="5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(51,763)</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(10,857)</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w:t>
            </w:r>
          </w:p>
        </w:tc>
        <w:tc>
          <w:tcPr>
            <w:tcW w:w="2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(27,443)</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(17,238)</w:t>
            </w:r>
          </w:p>
        </w:tc>
        <w:tc>
          <w:tcPr>
            <w:tcW w:w="0" w:type="dxa"/>
            <w:vAlign w:val="bottom"/>
          </w:tcPr>
          <w:p>
            <w:pPr>
              <w:spacing w:after="0"/>
              <w:rPr>
                <w:sz w:val="1"/>
                <w:szCs w:val="1"/>
                <w:color w:val="auto"/>
              </w:rPr>
            </w:pPr>
          </w:p>
        </w:tc>
      </w:tr>
      <w:tr>
        <w:trPr>
          <w:trHeight w:val="216"/>
        </w:trPr>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202,945</w:t>
            </w:r>
          </w:p>
        </w:tc>
        <w:tc>
          <w:tcPr>
            <w:tcW w:w="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198,856</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622,431</w:t>
            </w:r>
          </w:p>
        </w:tc>
        <w:tc>
          <w:tcPr>
            <w:tcW w:w="5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623,046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16.</w:t>
        <w:tab/>
        <w:t>COMMITMENTS AND CONTINGENCIES</w:t>
      </w:r>
    </w:p>
    <w:p>
      <w:pPr>
        <w:spacing w:after="0" w:line="25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September 30, 2024, the Company was under agreement to acquire seven stores at a total purchase price of $74,300. Acquisitions of all seven stores are scheduled to close in 2024.</w:t>
      </w:r>
    </w:p>
    <w:p>
      <w:pPr>
        <w:sectPr>
          <w:pgSz w:w="11900" w:h="16838" w:orient="portrait"/>
          <w:cols w:equalWidth="0" w:num="1">
            <w:col w:w="11220"/>
          </w:cols>
          <w:pgMar w:left="320" w:top="35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90"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As of September 30, 2024,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200"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30" w:name="page31"/>
    <w:bookmarkEnd w:id="30"/>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LANGUAGE</w:t>
      </w:r>
    </w:p>
    <w:p>
      <w:pPr>
        <w:spacing w:after="0" w:line="250"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unaudited </w:t>
      </w:r>
      <w:r>
        <w:rPr>
          <w:rFonts w:ascii="Times New Roman" w:cs="Times New Roman" w:eastAsia="Times New Roman" w:hAnsi="Times New Roman"/>
          <w:sz w:val="17"/>
          <w:szCs w:val="17"/>
          <w:i w:val="1"/>
          <w:iCs w:val="1"/>
          <w:color w:val="auto"/>
        </w:rPr>
        <w:t>“Condensed Consolidated Financial Statements”</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 Condensed Consolidated Financial Statements (unaudited)” </w:t>
      </w:r>
      <w:r>
        <w:rPr>
          <w:rFonts w:ascii="Times New Roman" w:cs="Times New Roman" w:eastAsia="Times New Roman" w:hAnsi="Times New Roman"/>
          <w:sz w:val="17"/>
          <w:szCs w:val="17"/>
          <w:color w:val="auto"/>
        </w:rPr>
        <w:t>appearing elsewhere in this report and the</w:t>
      </w:r>
      <w:r>
        <w:rPr>
          <w:rFonts w:ascii="Times New Roman" w:cs="Times New Roman" w:eastAsia="Times New Roman" w:hAnsi="Times New Roman"/>
          <w:sz w:val="17"/>
          <w:szCs w:val="17"/>
          <w:i w:val="1"/>
          <w:iCs w:val="1"/>
          <w:color w:val="auto"/>
        </w:rPr>
        <w:t xml:space="preserve"> “Consolidated Financial Statements,” “Notes to Consolidated Financial Statements”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“Management’s Discussion and Analysis of Financial Condition and Results of Operations” </w:t>
      </w:r>
      <w:r>
        <w:rPr>
          <w:rFonts w:ascii="Times New Roman" w:cs="Times New Roman" w:eastAsia="Times New Roman" w:hAnsi="Times New Roman"/>
          <w:sz w:val="17"/>
          <w:szCs w:val="17"/>
          <w:color w:val="auto"/>
        </w:rPr>
        <w:t>contained in our</w:t>
      </w:r>
    </w:p>
    <w:p>
      <w:pPr>
        <w:spacing w:after="0" w:line="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Form 10-K for the year ended December 31, 2023. We make statements in this section that are forward-looking statements within the meaning of the federal securities laws. For a complete discussion of forward-looking statements, see the section in this Form 10-Q entitled “</w:t>
      </w:r>
      <w:r>
        <w:rPr>
          <w:rFonts w:ascii="Times New Roman" w:cs="Times New Roman" w:eastAsia="Times New Roman" w:hAnsi="Times New Roman"/>
          <w:sz w:val="17"/>
          <w:szCs w:val="17"/>
          <w:i w:val="1"/>
          <w:iCs w:val="1"/>
          <w:color w:val="auto"/>
        </w:rPr>
        <w:t>Statement on Forward-Looking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52"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Our notes to the unaudited condensed consolidated financial statements contained elsewhere in this report and the audited financial statements contained in our Form 10-K for the year ended December 31, 2023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201"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9" w:lineRule="exact"/>
        <w:rPr>
          <w:sz w:val="20"/>
          <w:szCs w:val="20"/>
          <w:color w:val="auto"/>
        </w:rPr>
      </w:pPr>
    </w:p>
    <w:p>
      <w:pPr>
        <w:ind w:right="80" w:firstLine="433"/>
        <w:spacing w:after="0" w:line="264" w:lineRule="auto"/>
        <w:rPr>
          <w:sz w:val="20"/>
          <w:szCs w:val="20"/>
          <w:color w:val="auto"/>
        </w:rPr>
      </w:pPr>
      <w:r>
        <w:rPr>
          <w:rFonts w:ascii="Times New Roman" w:cs="Times New Roman" w:eastAsia="Times New Roman" w:hAnsi="Times New Roman"/>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388"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Our stores are generally situated in highly visible locations clustered around large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spacing w:after="0" w:line="169" w:lineRule="exact"/>
        <w:rPr>
          <w:sz w:val="20"/>
          <w:szCs w:val="20"/>
          <w:color w:val="auto"/>
        </w:rPr>
      </w:pPr>
    </w:p>
    <w:p>
      <w:pPr>
        <w:ind w:right="160" w:firstLine="433"/>
        <w:spacing w:after="0" w:line="264" w:lineRule="auto"/>
        <w:rPr>
          <w:sz w:val="20"/>
          <w:szCs w:val="20"/>
          <w:color w:val="auto"/>
        </w:rPr>
      </w:pPr>
      <w:r>
        <w:rPr>
          <w:rFonts w:ascii="Times New Roman" w:cs="Times New Roman" w:eastAsia="Times New Roman" w:hAnsi="Times New Roman"/>
          <w:sz w:val="17"/>
          <w:szCs w:val="17"/>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 leading technology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252"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As of September 30, 2024, we owned or had ownership interests in 2,401 operating stores. Of these stores, 1,934 are wholly-owned, seven are in consolidated joint ventures, and 460 are in unconsolidated joint ventures. In addition, we managed an additional 1,461 stores for third parties bringing the total number of stores which we own and/or manage to 3,862. These stores are located in 42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98"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As of September 30, 2024, approximately 2,245,000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September 30, 2024, the average length of stay for tenants who have vacated was approximately 17.2 months.</w:t>
      </w:r>
    </w:p>
    <w:p>
      <w:pPr>
        <w:spacing w:after="0" w:line="198"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The average annual rent per square foot for our existing customers at stabilized stores, net of discounts and bad debt, was $20.55 for the three months ended September 30, 2024, compared to $20.73 for the three months ended September 30, 2023. Average annual rent per square foot for new leases was $13.49 for the three months ended September 30, 2024, compared to $15.63 for the three months ended September 30, 2023. The average discounts, as a percentage of rental revenues, at all stabilized properties during these periods were 2.2% and 2.7%, respectively.</w:t>
      </w:r>
    </w:p>
    <w:p>
      <w:pPr>
        <w:spacing w:after="0" w:line="196" w:lineRule="exact"/>
        <w:rPr>
          <w:sz w:val="20"/>
          <w:szCs w:val="20"/>
          <w:color w:val="auto"/>
        </w:rPr>
      </w:pPr>
    </w:p>
    <w:p>
      <w:pPr>
        <w:ind w:right="40" w:firstLine="433"/>
        <w:spacing w:after="0" w:line="297" w:lineRule="auto"/>
        <w:rPr>
          <w:sz w:val="20"/>
          <w:szCs w:val="20"/>
          <w:color w:val="auto"/>
        </w:rPr>
      </w:pPr>
      <w:r>
        <w:rPr>
          <w:rFonts w:ascii="Times New Roman" w:cs="Times New Roman" w:eastAsia="Times New Roman" w:hAnsi="Times New Roman"/>
          <w:sz w:val="17"/>
          <w:szCs w:val="17"/>
          <w:color w:val="auto"/>
        </w:rPr>
        <w:t>Our store portfolio is made up of different types of construction and building configurations. Most often sites are what we consider “hybrid” stores, a mix of drive-up and multi-floor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7"/>
          <w:szCs w:val="17"/>
          <w:color w:val="auto"/>
        </w:rPr>
        <w:t>The following table presents additional information regarding net rentable square feet and the number of stores by state.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REIT Owned</w:t>
            </w:r>
          </w:p>
        </w:tc>
        <w:tc>
          <w:tcPr>
            <w:tcW w:w="222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Joint Venture Owned</w:t>
            </w:r>
          </w:p>
        </w:tc>
        <w:tc>
          <w:tcPr>
            <w:tcW w:w="2220" w:type="dxa"/>
            <w:vAlign w:val="bottom"/>
            <w:tcBorders>
              <w:bottom w:val="single" w:sz="8" w:color="auto"/>
            </w:tcBorders>
            <w:gridSpan w:val="2"/>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8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1"/>
        </w:trPr>
        <w:tc>
          <w:tcPr>
            <w:tcW w:w="2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8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860" w:type="dxa"/>
            <w:vAlign w:val="bottom"/>
          </w:tcPr>
          <w:p>
            <w:pPr>
              <w:jc w:val="right"/>
              <w:ind w:right="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300" w:type="dxa"/>
            <w:vAlign w:val="bottom"/>
          </w:tcPr>
          <w:p>
            <w:pPr>
              <w:jc w:val="right"/>
              <w:ind w:right="10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16"/>
                <w:szCs w:val="16"/>
                <w:b w:val="1"/>
                <w:bCs w:val="1"/>
                <w:color w:val="auto"/>
              </w:rPr>
              <w:t>Count</w:t>
            </w:r>
            <w:r>
              <w:rPr>
                <w:rFonts w:ascii="Times New Roman" w:cs="Times New Roman" w:eastAsia="Times New Roman" w:hAnsi="Times New Roman"/>
                <w:sz w:val="20"/>
                <w:szCs w:val="20"/>
                <w:b w:val="1"/>
                <w:bCs w:val="1"/>
                <w:color w:val="auto"/>
                <w:vertAlign w:val="superscript"/>
              </w:rPr>
              <w:t>(1)</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8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2,990,107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150,969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994,955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4,136,031</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48</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3,621,884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2,027,293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3,748,880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9,398,057</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18,041,792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3,714,549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132</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12,329,788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34,086,129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1,890,586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937,965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2,440,880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5,269,431</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1,756,536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713,087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983,937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3,453,560</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143,640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307,386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451,026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19,260,720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4,433,781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187</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14,635,628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38,330,129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119</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9,141,475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1,929,439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60</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4,657,162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15,728,076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941,374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257,950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1,199,324</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131,834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290,557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422,391</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7,670,099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938,482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4,024,365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12,632,946</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4,045,657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57,760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1,974,449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6,077,866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Iowa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86,929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86,929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50,314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108,696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314,229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473,239</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1,093,568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51,641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1,190,698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2,335,907</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771,178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1,218,171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1,989,349</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354,562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720,321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1,074,883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3,508,613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898,914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3,797,553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8,205,080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4,142,158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984,402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2,496,049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7,622,609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847,643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308,502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880,868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2,037,013</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709,260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646,373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1,192,663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2,548,296</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561,604</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534,353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1,095,957</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2,349,756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507,229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1,687,708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4,544,693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372,170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372,170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2,842,903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837,295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1,277,329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4,957,527</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1,275,721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84,485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647,270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2,007,476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7,088,242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2,620,914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5,184,084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14,893,240</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760,505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681,210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1,083,843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2,525,558</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5,695,292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2,316,447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6,293,317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14,305,056</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3,910,838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476,949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3,249,760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7,637,547</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3,429,690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327,017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1,599,744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5,356,451</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269,183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1,776,920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2,046,103</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549,817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166,658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431,397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1,147,872</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2,396,689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940,193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4,065,795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7,402,677</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350,367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95,724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535,648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981,739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46</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3,377,983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309,213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3,117,614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6,804,810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2,451,594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1,092,041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1,922,770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5,466,405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20,056,222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5,495,534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12,860,658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38,412,414</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733,318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3,266,277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3,999,595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5,943,181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758,721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2,518,227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9,220,129</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1,092,803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199,385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1,376,795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2,668,983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 DC</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100,203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104,206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534,269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738,678</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87,038</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881,910</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1,538,992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2,507,940</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Totals</w:t>
            </w: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1,941</w:t>
            </w: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146,292,309</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460</w:t>
            </w: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35,940,624</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1,461</w:t>
            </w: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114,418,358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296,651,291</w:t>
            </w:r>
          </w:p>
        </w:tc>
        <w:tc>
          <w:tcPr>
            <w:tcW w:w="0" w:type="dxa"/>
            <w:vAlign w:val="bottom"/>
          </w:tcPr>
          <w:p>
            <w:pPr>
              <w:spacing w:after="0"/>
              <w:rPr>
                <w:sz w:val="1"/>
                <w:szCs w:val="1"/>
                <w:color w:val="auto"/>
              </w:rPr>
            </w:pP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80" w:hanging="375"/>
        <w:spacing w:after="0"/>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seven consolidated joint ventures and excludes approximately 18,200 units related to Bargold.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48"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and nine months ended September 30, 2024 and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Overview</w:t>
      </w:r>
    </w:p>
    <w:p>
      <w:pPr>
        <w:spacing w:after="0" w:line="121" w:lineRule="exact"/>
        <w:rPr>
          <w:sz w:val="20"/>
          <w:szCs w:val="20"/>
          <w:color w:val="auto"/>
        </w:rPr>
      </w:pPr>
    </w:p>
    <w:p>
      <w:pPr>
        <w:ind w:right="20" w:firstLine="433"/>
        <w:spacing w:after="0" w:line="274" w:lineRule="auto"/>
        <w:rPr>
          <w:sz w:val="20"/>
          <w:szCs w:val="20"/>
          <w:color w:val="auto"/>
        </w:rPr>
      </w:pPr>
      <w:r>
        <w:rPr>
          <w:rFonts w:ascii="Times New Roman" w:cs="Times New Roman" w:eastAsia="Times New Roman" w:hAnsi="Times New Roman"/>
          <w:sz w:val="17"/>
          <w:szCs w:val="17"/>
          <w:color w:val="auto"/>
        </w:rPr>
        <w:t>Results for the three and nine months ended September 30, 2024 included the operations of 2,401 stores (1,934 wholly-owned, seven in consolidated joint ventures, and 460 in joint ventures accounted for using the equity method) compared to the results for the three and nine months ended September 30, 2023, which included the operations of 2,369 stores (1,896 wholly-owned, two in a consolidated joint venture, and 471 in joint ventures accounted for using the equity method).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revenues earned for the periods indicated:</w:t>
      </w:r>
    </w:p>
    <w:p>
      <w:pPr>
        <w:spacing w:after="0" w:line="136" w:lineRule="exact"/>
        <w:rPr>
          <w:sz w:val="20"/>
          <w:szCs w:val="20"/>
          <w:color w:val="auto"/>
        </w:rPr>
      </w:pPr>
    </w:p>
    <w:tbl>
      <w:tblPr>
        <w:tblLayout w:type="fixed"/>
        <w:tblInd w:w="3300" w:type="dxa"/>
        <w:tblCellMar>
          <w:top w:w="0" w:type="dxa"/>
          <w:left w:w="0" w:type="dxa"/>
          <w:bottom w:w="0" w:type="dxa"/>
          <w:right w:w="0" w:type="dxa"/>
        </w:tblCellMar>
      </w:tblPr>
      <w:tr>
        <w:trPr>
          <w:trHeight w:val="161"/>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Nine Months Ended</w:t>
            </w: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92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36130" cy="141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rental</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710,874</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650,887</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2,096,018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1,525,596</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570,422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37.4 %</w:t>
            </w:r>
          </w:p>
        </w:tc>
      </w:tr>
      <w:tr>
        <w:trPr>
          <w:trHeight w:val="223"/>
        </w:trPr>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Tenant reinsurance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249,100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50.7 %</w:t>
            </w:r>
          </w:p>
        </w:tc>
      </w:tr>
      <w:tr>
        <w:trPr>
          <w:trHeight w:val="223"/>
        </w:trPr>
        <w:tc>
          <w:tcPr>
            <w:tcW w:w="33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7"/>
                <w:szCs w:val="17"/>
                <w:color w:val="auto"/>
              </w:rPr>
              <w:t>Management fees and other income</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25.5 %</w:t>
            </w:r>
          </w:p>
        </w:tc>
      </w:tr>
      <w:tr>
        <w:trPr>
          <w:trHeight w:val="228"/>
        </w:trPr>
        <w:tc>
          <w:tcPr>
            <w:tcW w:w="33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748,034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76,770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2,435,006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1,762,470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672,536</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Property Rental—</w:t>
      </w:r>
      <w:r>
        <w:rPr>
          <w:rFonts w:ascii="Times New Roman" w:cs="Times New Roman" w:eastAsia="Times New Roman" w:hAnsi="Times New Roman"/>
          <w:sz w:val="17"/>
          <w:szCs w:val="17"/>
          <w:color w:val="auto"/>
        </w:rPr>
        <w:t>The increase in property rental revenues for the nine months ended September 30, 2024 was primarily the result of an increase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$561,324 associated with the merger of Life Storage (the “Life Storage Merger”), other acquisitions completed in 2023, and acquisitions completed in the first</w:t>
      </w:r>
    </w:p>
    <w:p>
      <w:pPr>
        <w:spacing w:after="0" w:line="226" w:lineRule="auto"/>
        <w:rPr>
          <w:sz w:val="20"/>
          <w:szCs w:val="20"/>
          <w:color w:val="auto"/>
        </w:rPr>
      </w:pPr>
      <w:r>
        <w:rPr>
          <w:rFonts w:ascii="Times New Roman" w:cs="Times New Roman" w:eastAsia="Times New Roman" w:hAnsi="Times New Roman"/>
          <w:sz w:val="17"/>
          <w:szCs w:val="17"/>
          <w:color w:val="auto"/>
        </w:rPr>
        <w:t>nine months of 2024. We acquired 771 wholly-owned stores in 2023 and an additional 20 wholly-owned stores during the nine months ended September 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The Life Storage Merger occurred on July 20, 2023; therefore the three months ended September 30, 2024 include the additional store count for the full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quarter compared to the three months ended September 30, 2023 only including the significantly increased store count from the Merger date forward.</w:t>
      </w:r>
    </w:p>
    <w:p>
      <w:pPr>
        <w:spacing w:after="0" w:line="228" w:lineRule="exact"/>
        <w:rPr>
          <w:sz w:val="20"/>
          <w:szCs w:val="20"/>
          <w:color w:val="auto"/>
        </w:rPr>
      </w:pPr>
    </w:p>
    <w:p>
      <w:pPr>
        <w:ind w:right="8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Tenant Reinsurance—</w:t>
      </w:r>
      <w:r>
        <w:rPr>
          <w:rFonts w:ascii="Times New Roman" w:cs="Times New Roman" w:eastAsia="Times New Roman" w:hAnsi="Times New Roman"/>
          <w:sz w:val="17"/>
          <w:szCs w:val="17"/>
          <w:color w:val="auto"/>
        </w:rPr>
        <w:t>The increase in tenant reinsurance revenues was due primarily to an increase in the number of stores operated. The three and nine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2024 include the larger store count from the Life Storage Merger for the entire respective periods, while the results for the three and nine months ended September 30, 2023 only include the Life Storage stores from July 20, 2023 forward. We operated 3,862 stores at September 30, 2024 compared to 3,651 stores at September 30, 2023.</w:t>
      </w:r>
    </w:p>
    <w:p>
      <w:pPr>
        <w:spacing w:after="0" w:line="192" w:lineRule="exact"/>
        <w:rPr>
          <w:sz w:val="20"/>
          <w:szCs w:val="20"/>
          <w:color w:val="auto"/>
        </w:rPr>
      </w:pPr>
    </w:p>
    <w:p>
      <w:pPr>
        <w:ind w:right="2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Management Fees and Other Income—</w:t>
      </w:r>
      <w:r>
        <w:rPr>
          <w:rFonts w:ascii="Times New Roman" w:cs="Times New Roman" w:eastAsia="Times New Roman" w:hAnsi="Times New Roman"/>
          <w:sz w:val="17"/>
          <w:szCs w:val="17"/>
          <w:color w:val="auto"/>
        </w:rPr>
        <w:t>Management fees and other income primarily represent the fees collected for our management of stores owned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third parties and unconsolidated joint ventures and other transaction fee income. The increase for the nine months ended September 30, 2024 was due to both an increase in the number of stores managed and an increase in the overall revenue of stores under management when compared to the same period last year. As of September 30, 2024, we managed 1,921 stores for unconsolidated joint ventures and third parties, compared to 1,755 stores as of September 30, 2023.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auto"/>
        </w:rPr>
        <w:t>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expenses for the periods indicated:</w:t>
      </w:r>
    </w:p>
    <w:p>
      <w:pPr>
        <w:spacing w:after="0" w:line="136"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8"/>
        </w:trPr>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9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5"/>
              </w:rPr>
              <w:t>% Chan</w:t>
            </w:r>
          </w:p>
        </w:tc>
      </w:tr>
    </w:tbl>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-118745</wp:posOffset>
            </wp:positionV>
            <wp:extent cx="6922770" cy="141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2770" cy="141605"/>
                    </a:xfrm>
                    <a:prstGeom prst="rect">
                      <a:avLst/>
                    </a:prstGeom>
                    <a:noFill/>
                  </pic:spPr>
                </pic:pic>
              </a:graphicData>
            </a:graphic>
          </wp:anchor>
        </w:drawing>
      </w:r>
    </w:p>
    <w:p>
      <w:pPr>
        <w:spacing w:after="0" w:line="14"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Property operations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209,035</w:t>
            </w:r>
          </w:p>
        </w:tc>
        <w:tc>
          <w:tcPr>
            <w:tcW w:w="120" w:type="dxa"/>
            <w:vAlign w:val="bottom"/>
          </w:tcPr>
          <w:p>
            <w:pPr>
              <w:spacing w:after="0"/>
              <w:rPr>
                <w:sz w:val="19"/>
                <w:szCs w:val="19"/>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185,194</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23,841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8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610,455</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416,997</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193,458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23"/>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Tenant reinsurance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17,945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3"/>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Life Storage Merger transition costs</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16,362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3"/>
        </w:trPr>
        <w:tc>
          <w:tcPr>
            <w:tcW w:w="2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42,708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28.0 %</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276,907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28"/>
        </w:trPr>
        <w:tc>
          <w:tcPr>
            <w:tcW w:w="2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expenses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461,341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13,099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1,376,295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925,797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450,498</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120" w:firstLine="433"/>
        <w:spacing w:after="0" w:line="264" w:lineRule="auto"/>
        <w:rPr>
          <w:sz w:val="20"/>
          <w:szCs w:val="20"/>
          <w:color w:val="auto"/>
        </w:rPr>
      </w:pPr>
      <w:r>
        <w:rPr>
          <w:rFonts w:ascii="Times New Roman" w:cs="Times New Roman" w:eastAsia="Times New Roman" w:hAnsi="Times New Roman"/>
          <w:sz w:val="17"/>
          <w:szCs w:val="17"/>
          <w:b w:val="1"/>
          <w:bCs w:val="1"/>
          <w:color w:val="auto"/>
        </w:rPr>
        <w:t>Property Operations—</w:t>
      </w:r>
      <w:r>
        <w:rPr>
          <w:rFonts w:ascii="Times New Roman" w:cs="Times New Roman" w:eastAsia="Times New Roman" w:hAnsi="Times New Roman"/>
          <w:sz w:val="17"/>
          <w:szCs w:val="17"/>
          <w:color w:val="auto"/>
        </w:rPr>
        <w:t>The increase in property operations expense during the three and nine months ended September 30, 2024 consists primarily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 of $174,964 related to the Life Storage Merger and acquisitions completed in the first nine months of 2024. The Life Storage Merger occurred on July 20, 2023; therefore the three and nine months ended September 30, 2024 include the additional store count for the full quarter, as compared to the three and nine months ended September 30, 2023 only including the significantly increased store count from acquisition date forward. We acquired 771 wholly-owned stores in 2023 and an additional 20 wholly-owned stores during the nine months ended September 30, 2024. Additionally, for the three and nine months ended September 30, 2024 there was an increase of $16,139 at our stabilized stores primarily due to property and casualty insurance, payroll, marketing, and property tax, partially offset by utilities.</w:t>
      </w:r>
    </w:p>
    <w:p>
      <w:pPr>
        <w:spacing w:after="0" w:line="200" w:lineRule="exact"/>
        <w:rPr>
          <w:sz w:val="20"/>
          <w:szCs w:val="20"/>
          <w:color w:val="auto"/>
        </w:rPr>
      </w:pPr>
    </w:p>
    <w:p>
      <w:pPr>
        <w:ind w:right="12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Tenant Reinsurance—</w:t>
      </w:r>
      <w:r>
        <w:rPr>
          <w:rFonts w:ascii="Times New Roman" w:cs="Times New Roman" w:eastAsia="Times New Roman" w:hAnsi="Times New Roman"/>
          <w:sz w:val="17"/>
          <w:szCs w:val="17"/>
          <w:color w:val="auto"/>
        </w:rPr>
        <w:t>Tenant reinsurance expense represents the costs that are incurred to provide tenant reinsurance. The increase is largely due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number of stores operated during each period. The three and nine months ended September 30, 2024 include the larger store count from the Life Storage Merger for the entire respective periods, while the results for the three and nine months ended September 30, 2023 only include those stores from July 20, 2023 forward. We operated 3,862 stores at September 30, 2024 compared to 3,651 stores at September 30, 2023.</w:t>
      </w:r>
    </w:p>
    <w:p>
      <w:pPr>
        <w:spacing w:after="0" w:line="179" w:lineRule="exact"/>
        <w:rPr>
          <w:sz w:val="20"/>
          <w:szCs w:val="20"/>
          <w:color w:val="auto"/>
        </w:rPr>
      </w:pPr>
    </w:p>
    <w:p>
      <w:pPr>
        <w:jc w:val="both"/>
        <w:ind w:right="280" w:firstLine="433"/>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Life Storage Merger Transitions Costs— </w:t>
      </w:r>
      <w:r>
        <w:rPr>
          <w:rFonts w:ascii="Times New Roman" w:cs="Times New Roman" w:eastAsia="Times New Roman" w:hAnsi="Times New Roman"/>
          <w:sz w:val="17"/>
          <w:szCs w:val="17"/>
          <w:color w:val="auto"/>
        </w:rPr>
        <w:t>Represents the costs that were incurred as part of the Life Storage Merger in July 2023 that did not meet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definition of transaction costs and primarily consist of severance paid as part of employment agreements with certain employees and officers of Life Storage.</w:t>
      </w:r>
    </w:p>
    <w:p>
      <w:pPr>
        <w:spacing w:after="0" w:line="168" w:lineRule="exact"/>
        <w:rPr>
          <w:sz w:val="20"/>
          <w:szCs w:val="20"/>
          <w:color w:val="auto"/>
        </w:rPr>
      </w:pPr>
    </w:p>
    <w:p>
      <w:pPr>
        <w:ind w:right="120" w:firstLine="433"/>
        <w:spacing w:after="0" w:line="250" w:lineRule="auto"/>
        <w:rPr>
          <w:sz w:val="20"/>
          <w:szCs w:val="20"/>
          <w:color w:val="auto"/>
        </w:rPr>
      </w:pPr>
      <w:r>
        <w:rPr>
          <w:rFonts w:ascii="Times New Roman" w:cs="Times New Roman" w:eastAsia="Times New Roman" w:hAnsi="Times New Roman"/>
          <w:sz w:val="17"/>
          <w:szCs w:val="17"/>
          <w:b w:val="1"/>
          <w:bCs w:val="1"/>
          <w:color w:val="auto"/>
        </w:rPr>
        <w:t>General and Administrative—</w:t>
      </w:r>
      <w:r>
        <w:rPr>
          <w:rFonts w:ascii="Times New Roman" w:cs="Times New Roman" w:eastAsia="Times New Roman" w:hAnsi="Times New Roman"/>
          <w:sz w:val="17"/>
          <w:szCs w:val="17"/>
          <w:color w:val="auto"/>
        </w:rPr>
        <w:t>General and administrative expenses primarily include all expenses not directly related to our stores, including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payroll, office expense, office rent, travel and professional fees. These expenses are recognized as incurred. Our overall General and Administrative expense has increased primarily as a result of our increased size through acquisitions, business combinations and growth through our joint venture partners and managed portfolio.</w:t>
      </w:r>
    </w:p>
    <w:p>
      <w:pPr>
        <w:spacing w:after="0" w:line="208" w:lineRule="exact"/>
        <w:rPr>
          <w:sz w:val="20"/>
          <w:szCs w:val="20"/>
          <w:color w:val="auto"/>
        </w:rPr>
      </w:pPr>
    </w:p>
    <w:p>
      <w:pPr>
        <w:jc w:val="both"/>
        <w:ind w:right="14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Depreciation and Amortization—</w:t>
      </w:r>
      <w:r>
        <w:rPr>
          <w:rFonts w:ascii="Times New Roman" w:cs="Times New Roman" w:eastAsia="Times New Roman" w:hAnsi="Times New Roman"/>
          <w:sz w:val="17"/>
          <w:szCs w:val="17"/>
          <w:color w:val="auto"/>
        </w:rPr>
        <w:t>Depreciation and amortization expense increased as a result of the acquisition of new stores. We acquired 771 wholly-owned stores in 2023 (757 wholly-owned stores in the Life Storage Merger on July 20, 2023) and an additional 20 wholly-owned stores during the nine months ended September 30, 2024. As a result, depreciation expense was higher for the three and nine months ended September 30, 2024 as compared to the three and nine months ended September 30, 2023. Additionally, the increase relates to the amortization of intangibles recorded as part of the Life Storage Merger.</w:t>
      </w: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Revenues and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other revenues and expenses for the periods indicated:</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0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real estate assets held for sale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(63,620)</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(123,505)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59"/>
        </w:trPr>
        <w:tc>
          <w:tcPr>
            <w:tcW w:w="3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Non-cash interest expense related to</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amortization of discount on Life Storage</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33.8 %</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(24,335)</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senior notes</w:t>
            </w: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22,092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59"/>
        </w:trPr>
        <w:tc>
          <w:tcPr>
            <w:tcW w:w="3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Equity in earnings and dividend income from</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15,043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9,906</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unconsolidated real estate entities</w:t>
            </w: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earnings of unconsolidated real estate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ventures - gain on sale of real estate assets and</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13,730</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13,730</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a joint venture interest</w:t>
            </w: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Life Storage trade name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8"/>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56.4 %</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8"/>
        </w:trPr>
        <w:tc>
          <w:tcPr>
            <w:tcW w:w="3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revenues &amp; expenses, net</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(100,936)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(59,582)</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59.0 %</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(222,653)</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240" w:firstLine="433"/>
        <w:spacing w:after="0" w:line="278" w:lineRule="auto"/>
        <w:rPr>
          <w:sz w:val="20"/>
          <w:szCs w:val="20"/>
          <w:color w:val="auto"/>
        </w:rPr>
      </w:pPr>
      <w:r>
        <w:rPr>
          <w:rFonts w:ascii="Times New Roman" w:cs="Times New Roman" w:eastAsia="Times New Roman" w:hAnsi="Times New Roman"/>
          <w:sz w:val="17"/>
          <w:szCs w:val="17"/>
          <w:b w:val="1"/>
          <w:bCs w:val="1"/>
          <w:color w:val="auto"/>
        </w:rPr>
        <w:t>Loss on real estate assets held for sale—</w:t>
      </w:r>
      <w:r>
        <w:rPr>
          <w:rFonts w:ascii="Times New Roman" w:cs="Times New Roman" w:eastAsia="Times New Roman" w:hAnsi="Times New Roman"/>
          <w:sz w:val="17"/>
          <w:szCs w:val="17"/>
          <w:color w:val="auto"/>
        </w:rPr>
        <w:t>As of September 30, 2024, we had 17 stores classified as held for sale. Of the 17 stores, nine had an estimated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fair value, net of selling costs, less than the carrying value of the assets. During the three and nine months ended September 30, 2024, we recorded estimated losses of $8,961 and $63,620, respectively.</w:t>
      </w:r>
    </w:p>
    <w:p>
      <w:pPr>
        <w:spacing w:after="0" w:line="186" w:lineRule="exact"/>
        <w:rPr>
          <w:sz w:val="20"/>
          <w:szCs w:val="20"/>
          <w:color w:val="auto"/>
        </w:rPr>
      </w:pPr>
    </w:p>
    <w:p>
      <w:pPr>
        <w:ind w:right="36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color w:val="auto"/>
        </w:rPr>
        <w:t>The increase in interest expense during the three and nine months ended September 30, 2024 was primarily the result of higher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outstanding debt and a higher weighted average interest rate compared to the same period in the prior year. As of September 30, 2024, we had approximately $11.8 billion in total face value of debt, compared to approximately $11.3 billion as of September 30, 2023. The total face value of debt as of September 30, 2023 reflected an additional $3.7 billion of debt issued in connection with closing the Life Storage Merger on July 20, 2023.</w:t>
      </w:r>
    </w:p>
    <w:p>
      <w:pPr>
        <w:spacing w:after="0" w:line="179" w:lineRule="exact"/>
        <w:rPr>
          <w:sz w:val="20"/>
          <w:szCs w:val="20"/>
          <w:color w:val="auto"/>
        </w:rPr>
      </w:pPr>
    </w:p>
    <w:p>
      <w:pPr>
        <w:ind w:right="580" w:firstLine="433"/>
        <w:spacing w:after="0" w:line="283" w:lineRule="auto"/>
        <w:rPr>
          <w:sz w:val="20"/>
          <w:szCs w:val="20"/>
          <w:color w:val="auto"/>
        </w:rPr>
      </w:pPr>
      <w:r>
        <w:rPr>
          <w:rFonts w:ascii="Times New Roman" w:cs="Times New Roman" w:eastAsia="Times New Roman" w:hAnsi="Times New Roman"/>
          <w:sz w:val="17"/>
          <w:szCs w:val="17"/>
          <w:b w:val="1"/>
          <w:bCs w:val="1"/>
          <w:color w:val="auto"/>
        </w:rPr>
        <w:t>Non-cash Interest Expense Related to Amortization of Discount on Life Storage Unsecured Senior Notes—</w:t>
      </w:r>
      <w:r>
        <w:rPr>
          <w:rFonts w:ascii="Times New Roman" w:cs="Times New Roman" w:eastAsia="Times New Roman" w:hAnsi="Times New Roman"/>
          <w:sz w:val="17"/>
          <w:szCs w:val="17"/>
          <w:color w:val="auto"/>
        </w:rPr>
        <w:t>Represents the amortization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discount assigned to the fair value of the Life Storage unsecured senior notes assumed as part of the Life Storage Merger.</w:t>
      </w:r>
    </w:p>
    <w:p>
      <w:pPr>
        <w:spacing w:after="0" w:line="182" w:lineRule="exact"/>
        <w:rPr>
          <w:sz w:val="20"/>
          <w:szCs w:val="20"/>
          <w:color w:val="auto"/>
        </w:rPr>
      </w:pPr>
    </w:p>
    <w:p>
      <w:pPr>
        <w:ind w:right="14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Interest Income—</w:t>
      </w:r>
      <w:r>
        <w:rPr>
          <w:rFonts w:ascii="Times New Roman" w:cs="Times New Roman" w:eastAsia="Times New Roman" w:hAnsi="Times New Roman"/>
          <w:sz w:val="17"/>
          <w:szCs w:val="17"/>
          <w:color w:val="auto"/>
        </w:rPr>
        <w:t>Interest income represents interest earned on variable interest rate bridge loans, debt securities and on notes receivable from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Preferred Operating Partnership unit holders. The increase in interest income during the three and nine months ended September 30, 2024 was primarily the result of an increase in the amount of bridge loans outstanding combined with an increase in interest rates. The balance of bridge loans was $1,032,244 as of September 30, 2024, compared to $533,000 as of September 30, 2023.</w:t>
      </w:r>
    </w:p>
    <w:p>
      <w:pPr>
        <w:spacing w:after="0" w:line="192" w:lineRule="exact"/>
        <w:rPr>
          <w:sz w:val="20"/>
          <w:szCs w:val="20"/>
          <w:color w:val="auto"/>
        </w:rPr>
      </w:pPr>
    </w:p>
    <w:p>
      <w:pPr>
        <w:ind w:right="260" w:firstLine="433"/>
        <w:spacing w:after="0" w:line="266" w:lineRule="auto"/>
        <w:rPr>
          <w:sz w:val="20"/>
          <w:szCs w:val="20"/>
          <w:color w:val="auto"/>
        </w:rPr>
      </w:pPr>
      <w:r>
        <w:rPr>
          <w:rFonts w:ascii="Times New Roman" w:cs="Times New Roman" w:eastAsia="Times New Roman" w:hAnsi="Times New Roman"/>
          <w:sz w:val="17"/>
          <w:szCs w:val="17"/>
          <w:b w:val="1"/>
          <w:bCs w:val="1"/>
          <w:color w:val="auto"/>
        </w:rPr>
        <w:t>Equity in Earnings and Dividend Income from Unconsolidated Real Estate Entities—</w:t>
      </w:r>
      <w:r>
        <w:rPr>
          <w:rFonts w:ascii="Times New Roman" w:cs="Times New Roman" w:eastAsia="Times New Roman" w:hAnsi="Times New Roman"/>
          <w:sz w:val="17"/>
          <w:szCs w:val="17"/>
          <w:color w:val="auto"/>
        </w:rPr>
        <w:t>Equity in earnings of unconsolidated real estate entities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We added a total of 154 stores to new and existing joint ventures (145 stores from the Life Storage Merger) during 2023. These additional joint ventures have contributed to the increase. Dividend income represents dividends from our investment in preferred stock of SmartStop Self Storage REIT, Inc. and Strategic Storage Trust VI, Inc.</w:t>
      </w:r>
    </w:p>
    <w:p>
      <w:pPr>
        <w:spacing w:after="0" w:line="195" w:lineRule="exact"/>
        <w:rPr>
          <w:sz w:val="20"/>
          <w:szCs w:val="20"/>
          <w:color w:val="auto"/>
        </w:rPr>
      </w:pPr>
    </w:p>
    <w:p>
      <w:pPr>
        <w:ind w:right="12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Equity in Earnings of Unconsolidated Real Estate Ventures - Gain on Sale of Real Estate Assets—</w:t>
      </w:r>
      <w:r>
        <w:rPr>
          <w:rFonts w:ascii="Times New Roman" w:cs="Times New Roman" w:eastAsia="Times New Roman" w:hAnsi="Times New Roman"/>
          <w:sz w:val="17"/>
          <w:szCs w:val="17"/>
          <w:color w:val="auto"/>
        </w:rPr>
        <w:t>In August 2024, the ESS Bristol Investments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joint venture sold five of its eight stores to another of our unconsolidated joint ventures, and we recognized a gain of $10,324 for our pro rata share of the transaction. In September 2024, we sold our membership interest in the Alan Jathoo JV LLC unconsolidated joint venture, which held nine stores, to our partner and recognized a gain of $3,406 on the transaction.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Impairment of Life Storage Trade Name—</w:t>
      </w:r>
      <w:r>
        <w:rPr>
          <w:rFonts w:ascii="Times New Roman" w:cs="Times New Roman" w:eastAsia="Times New Roman" w:hAnsi="Times New Roman"/>
          <w:sz w:val="17"/>
          <w:szCs w:val="17"/>
          <w:color w:val="auto"/>
        </w:rPr>
        <w:t>During the three months ended September 30, 2024, we decided to operate all stores under a single brand.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of that decision, we deemed the Life Storage trade name intangible asset to be impaired and recognized a loss for the full value of the asset.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749" w:right="239" w:bottom="1440" w:gutter="0" w:footer="0" w:header="0"/>
        </w:sectPr>
      </w:pPr>
    </w:p>
    <w:bookmarkStart w:id="36" w:name="page37"/>
    <w:bookmarkEnd w:id="36"/>
    <w:p>
      <w:pPr>
        <w:ind w:right="50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Income Tax Expense</w:t>
      </w:r>
      <w:r>
        <w:rPr>
          <w:rFonts w:ascii="Times New Roman" w:cs="Times New Roman" w:eastAsia="Times New Roman" w:hAnsi="Times New Roman"/>
          <w:sz w:val="17"/>
          <w:szCs w:val="17"/>
          <w:color w:val="auto"/>
        </w:rPr>
        <w:t>—The increase in income tax expense for the three and nine months ended September 30, 2024 was primarily the result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 in book income and a decrease in permanent tax deductions related to stock awards.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FUNDS FROM OPERATIONS</w:t>
      </w:r>
    </w:p>
    <w:p>
      <w:pPr>
        <w:spacing w:after="0" w:line="252" w:lineRule="exact"/>
        <w:rPr>
          <w:sz w:val="20"/>
          <w:szCs w:val="20"/>
          <w:color w:val="auto"/>
        </w:rPr>
      </w:pPr>
    </w:p>
    <w:p>
      <w:pPr>
        <w:ind w:firstLine="433"/>
        <w:spacing w:after="0" w:line="262" w:lineRule="auto"/>
        <w:rPr>
          <w:sz w:val="20"/>
          <w:szCs w:val="20"/>
          <w:color w:val="auto"/>
        </w:rPr>
      </w:pPr>
      <w:r>
        <w:rPr>
          <w:rFonts w:ascii="Times New Roman" w:cs="Times New Roman" w:eastAsia="Times New Roman" w:hAnsi="Times New Roman"/>
          <w:sz w:val="17"/>
          <w:szCs w:val="17"/>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204"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the calculation of FFO for the periods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214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6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9"/>
        </w:trPr>
        <w:tc>
          <w:tcPr>
            <w:tcW w:w="6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stockholders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188,350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587,064</w:t>
            </w:r>
          </w:p>
        </w:tc>
      </w:tr>
      <w:tr>
        <w:trPr>
          <w:trHeight w:val="249"/>
        </w:trPr>
        <w:tc>
          <w:tcPr>
            <w:tcW w:w="6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121,635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265,268</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29,049</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real estate assets held for sale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Unconsolidated joint venture real estate depreciation and amortization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16,359</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Unconsolidated joint venture gain on sale of real estate assets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on Series A Preferred Operating Partnership units</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allocated to Operating Partnership noncontrolling interests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35,982</w:t>
            </w:r>
          </w:p>
        </w:tc>
      </w:tr>
      <w:tr>
        <w:trPr>
          <w:trHeight w:val="241"/>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 attributable to common stockholders and unit holders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388,831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348,459</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1,243,835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933,563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SAME-STORE RESULTS</w:t>
      </w:r>
    </w:p>
    <w:p>
      <w:pPr>
        <w:spacing w:after="0" w:line="252" w:lineRule="exact"/>
        <w:rPr>
          <w:sz w:val="20"/>
          <w:szCs w:val="20"/>
          <w:color w:val="auto"/>
        </w:rPr>
      </w:pPr>
    </w:p>
    <w:p>
      <w:pPr>
        <w:ind w:right="220" w:firstLine="433"/>
        <w:spacing w:after="0" w:line="263" w:lineRule="auto"/>
        <w:rPr>
          <w:sz w:val="20"/>
          <w:szCs w:val="20"/>
          <w:color w:val="auto"/>
        </w:rPr>
      </w:pPr>
      <w:r>
        <w:rPr>
          <w:rFonts w:ascii="Times New Roman" w:cs="Times New Roman" w:eastAsia="Times New Roman" w:hAnsi="Times New Roman"/>
          <w:sz w:val="17"/>
          <w:szCs w:val="17"/>
          <w:color w:val="auto"/>
        </w:rPr>
        <w:t>Our same-store pool for the periods presented consists of 1,075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tbl>
      <w:tblPr>
        <w:tblLayout w:type="fixed"/>
        <w:tblInd w:w="440" w:type="dxa"/>
        <w:tblCellMar>
          <w:top w:w="0" w:type="dxa"/>
          <w:left w:w="0" w:type="dxa"/>
          <w:bottom w:w="0" w:type="dxa"/>
          <w:right w:w="0" w:type="dxa"/>
        </w:tblCellMar>
      </w:tblPr>
      <w:tr>
        <w:trPr>
          <w:trHeight w:val="147"/>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5"/>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2060" w:type="dxa"/>
            <w:vAlign w:val="bottom"/>
            <w:gridSpan w:val="5"/>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
        </w:trPr>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Same-store rental revenues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rental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407,130</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407,565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1,207,032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1,200,995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operating income</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17,697</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49,360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same-store rental revenues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425,262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1,255,892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1,250,355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62"/>
        </w:trPr>
        <w:tc>
          <w:tcPr>
            <w:tcW w:w="4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Same-store operating expenses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Payroll and benefits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68,118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4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Marketing</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Office expense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39,025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3"/>
        </w:trPr>
        <w:tc>
          <w:tcPr>
            <w:tcW w:w="4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Property operating expense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Repairs and maintenance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3"/>
        </w:trPr>
        <w:tc>
          <w:tcPr>
            <w:tcW w:w="4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Property taxes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116,342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Insurance</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5,375</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same-store operating expenses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107,692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309,400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62"/>
        </w:trPr>
        <w:tc>
          <w:tcPr>
            <w:tcW w:w="4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Same-store net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314,258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317,570</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932,798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940,955</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Same-store square foot occupancy as of year end</w:t>
            </w:r>
          </w:p>
        </w:tc>
        <w:tc>
          <w:tcPr>
            <w:tcW w:w="180" w:type="dxa"/>
            <w:vAlign w:val="bottom"/>
          </w:tcPr>
          <w:p>
            <w:pPr>
              <w:spacing w:after="0"/>
              <w:rPr>
                <w:sz w:val="19"/>
                <w:szCs w:val="19"/>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93.7%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93.7%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same-store square foot occupancy</w:t>
            </w:r>
          </w:p>
        </w:tc>
        <w:tc>
          <w:tcPr>
            <w:tcW w:w="180" w:type="dxa"/>
            <w:vAlign w:val="bottom"/>
          </w:tcPr>
          <w:p>
            <w:pPr>
              <w:spacing w:after="0"/>
              <w:rPr>
                <w:sz w:val="19"/>
                <w:szCs w:val="19"/>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93.9%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93.9%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Properties included in same-store</w:t>
            </w:r>
          </w:p>
        </w:tc>
        <w:tc>
          <w:tcPr>
            <w:tcW w:w="180" w:type="dxa"/>
            <w:vAlign w:val="bottom"/>
          </w:tcPr>
          <w:p>
            <w:pPr>
              <w:spacing w:after="0"/>
              <w:rPr>
                <w:sz w:val="19"/>
                <w:szCs w:val="19"/>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w w:val="99"/>
              </w:rPr>
              <w:t>1,075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1,075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1,075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1,075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38" w:name="page39"/>
    <w:bookmarkEnd w:id="38"/>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presents a reconciliation of same-store net operating income to net income as presented on our condensed consolidated statements of operations for the periods indicated:</w:t>
      </w:r>
    </w:p>
    <w:tbl>
      <w:tblPr>
        <w:tblLayout w:type="fixed"/>
        <w:tblInd w:w="0" w:type="dxa"/>
        <w:tblCellMar>
          <w:top w:w="0" w:type="dxa"/>
          <w:left w:w="0" w:type="dxa"/>
          <w:bottom w:w="0" w:type="dxa"/>
          <w:right w:w="0" w:type="dxa"/>
        </w:tblCellMar>
      </w:tblPr>
      <w:tr>
        <w:trPr>
          <w:trHeight w:val="146"/>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480" w:type="dxa"/>
            <w:vAlign w:val="bottom"/>
            <w:gridSpan w:val="5"/>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202,945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198,856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622,431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623,046</w:t>
            </w:r>
          </w:p>
        </w:tc>
        <w:tc>
          <w:tcPr>
            <w:tcW w:w="0" w:type="dxa"/>
            <w:vAlign w:val="bottom"/>
          </w:tcPr>
          <w:p>
            <w:pPr>
              <w:spacing w:after="0"/>
              <w:rPr>
                <w:sz w:val="1"/>
                <w:szCs w:val="1"/>
                <w:color w:val="auto"/>
              </w:rPr>
            </w:pPr>
          </w:p>
        </w:tc>
      </w:tr>
      <w:tr>
        <w:trPr>
          <w:trHeight w:val="223"/>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Adjusted to exclude: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real estate assets held for sale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63,620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5580" w:type="dxa"/>
            <w:vAlign w:val="bottom"/>
          </w:tcPr>
          <w:p>
            <w:pPr>
              <w:ind w:left="220"/>
              <w:spacing w:after="0" w:line="171" w:lineRule="exact"/>
              <w:rPr>
                <w:sz w:val="20"/>
                <w:szCs w:val="20"/>
                <w:color w:val="auto"/>
              </w:rPr>
            </w:pPr>
            <w:r>
              <w:rPr>
                <w:rFonts w:ascii="Times New Roman" w:cs="Times New Roman" w:eastAsia="Times New Roman" w:hAnsi="Times New Roman"/>
                <w:sz w:val="17"/>
                <w:szCs w:val="17"/>
                <w:color w:val="auto"/>
              </w:rPr>
              <w:t>Equity in earnings and dividend income from unconsolidated real estate</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entities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(48,508)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(38,602)</w:t>
            </w: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Equity in earnings of unconsolidated real estate ventures - gain on sale of real</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estate assets and sale of a joint venture interest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(13,730)</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142,855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412,875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289,370</w:t>
            </w:r>
          </w:p>
        </w:tc>
        <w:tc>
          <w:tcPr>
            <w:tcW w:w="0" w:type="dxa"/>
            <w:vAlign w:val="bottom"/>
          </w:tcPr>
          <w:p>
            <w:pPr>
              <w:spacing w:after="0"/>
              <w:rPr>
                <w:sz w:val="1"/>
                <w:szCs w:val="1"/>
                <w:color w:val="auto"/>
              </w:rPr>
            </w:pPr>
          </w:p>
        </w:tc>
      </w:tr>
      <w:tr>
        <w:trPr>
          <w:trHeight w:val="170"/>
        </w:trPr>
        <w:tc>
          <w:tcPr>
            <w:tcW w:w="558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Non-cash interest expense related to amortization of discount on Life</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Storage unsecured senior notes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11,005</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8,228</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8,228</w:t>
            </w: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586,821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309,914</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17,238</w:t>
            </w: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Life Storage Merger transition costs</w:t>
            </w: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54,174</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123,373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107,011</w:t>
            </w: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of Life Storage trade name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51,763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fees, other income and interest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(64,829)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(179,634)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(134,216)</w:t>
            </w: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tenant insurance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(66,538)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(193,454)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(127,564)</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 same-store rental revenue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(286,837)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(225,625)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(840,126)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(275,241)</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 same-store operating expense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99,256</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77,502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287,361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107,597</w:t>
            </w:r>
          </w:p>
        </w:tc>
        <w:tc>
          <w:tcPr>
            <w:tcW w:w="0" w:type="dxa"/>
            <w:vAlign w:val="bottom"/>
          </w:tcPr>
          <w:p>
            <w:pPr>
              <w:spacing w:after="0"/>
              <w:rPr>
                <w:sz w:val="1"/>
                <w:szCs w:val="1"/>
                <w:color w:val="auto"/>
              </w:rPr>
            </w:pPr>
          </w:p>
        </w:tc>
      </w:tr>
      <w:tr>
        <w:trPr>
          <w:trHeight w:val="241"/>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same-store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314,258</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317,570</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932,798</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940,955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Same-store rental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424,037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425,262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1,255,892</w:t>
            </w:r>
          </w:p>
        </w:tc>
        <w:tc>
          <w:tcPr>
            <w:tcW w:w="4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1,250,355</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Same-store operating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109,779</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107,692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323,094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309,400</w:t>
            </w:r>
          </w:p>
        </w:tc>
        <w:tc>
          <w:tcPr>
            <w:tcW w:w="0" w:type="dxa"/>
            <w:vAlign w:val="bottom"/>
          </w:tcPr>
          <w:p>
            <w:pPr>
              <w:spacing w:after="0"/>
              <w:rPr>
                <w:sz w:val="1"/>
                <w:szCs w:val="1"/>
                <w:color w:val="auto"/>
              </w:rPr>
            </w:pPr>
          </w:p>
        </w:tc>
      </w:tr>
      <w:tr>
        <w:trPr>
          <w:trHeight w:val="241"/>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Same-store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314,258</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317,570</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932,798</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940,955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52"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Cash flows from operating activities for the nine months ended September 30, 2024 increased when compared to the same period in the prior year. Cash flows used in investing activities relate primarily to our acquisition and development of new stores, sales of stores, investments in unconsolidated real estate entities notes receivable from bridge loans, and fluctuate depending on our actions in those areas. Cash flows from financing activities depend primarily on our debt and equity financing activities. A summary of cash flows along with significant components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r>
      <w:tr>
        <w:trPr>
          <w:trHeight w:val="24"/>
        </w:trPr>
        <w:tc>
          <w:tcPr>
            <w:tcW w:w="8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1,037,959</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(877,503)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(1,636,052)</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723,479</w:t>
            </w:r>
          </w:p>
        </w:tc>
      </w:tr>
      <w:tr>
        <w:trPr>
          <w:trHeight w:val="262"/>
        </w:trPr>
        <w:tc>
          <w:tcPr>
            <w:tcW w:w="8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Significant components of net cash flow included: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622,431</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623,046</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586,821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309,914</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real estate assets held for sale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 of Life Storage trade name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117,940</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and development of real estate assets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(461,633)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(263,866)</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Life Storage Merger, net of cash acquired</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(1,182,411)</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Investment in unconsolidated real estate entities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(179,258)</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and purchase of notes receivable, net of principal payments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(585,731)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(137,198)</w:t>
            </w:r>
          </w:p>
        </w:tc>
      </w:tr>
      <w:tr>
        <w:trPr>
          <w:trHeight w:val="223"/>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sale of notes receivable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134,064</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unsecured term loans and senior notes and revolving lines of credit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5,542,362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5,194,665</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payments on unsecured term loans and senior notes and revolving lines of credit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(6,062,896)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(4,617,755)</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issuance of public bonds, net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950,000</w:t>
            </w:r>
          </w:p>
        </w:tc>
      </w:tr>
      <w:tr>
        <w:trPr>
          <w:trHeight w:val="223"/>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(704,069)</w:t>
            </w:r>
          </w:p>
        </w:tc>
      </w:tr>
    </w:tbl>
    <w:p>
      <w:pPr>
        <w:spacing w:after="0" w:line="309"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recurring capital expenditures, acquisitions, funding for the bridge loan program, building redevelopments and expansions, distributions to unit holders and dividends to stockholders necessary to maintain our REIT qualification.</w:t>
      </w:r>
    </w:p>
    <w:p>
      <w:pPr>
        <w:spacing w:after="0" w:line="196" w:lineRule="exact"/>
        <w:rPr>
          <w:sz w:val="20"/>
          <w:szCs w:val="20"/>
          <w:color w:val="auto"/>
        </w:rPr>
      </w:pPr>
    </w:p>
    <w:p>
      <w:pPr>
        <w:jc w:val="both"/>
        <w:ind w:right="20" w:firstLine="433"/>
        <w:spacing w:after="0" w:line="277" w:lineRule="auto"/>
        <w:rPr>
          <w:sz w:val="20"/>
          <w:szCs w:val="20"/>
          <w:color w:val="auto"/>
        </w:rPr>
      </w:pPr>
      <w:r>
        <w:rPr>
          <w:rFonts w:ascii="Times New Roman" w:cs="Times New Roman" w:eastAsia="Times New Roman" w:hAnsi="Times New Roman"/>
          <w:sz w:val="17"/>
          <w:szCs w:val="17"/>
          <w:color w:val="auto"/>
        </w:rPr>
        <w:t>We expect to generate positive cash flow from operations in 2024, and we consider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6"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As of September 30, 2024, we had $88,931 available in cash and cash equivalents. Our cash and cash equivalents are held in accounts managed by third party financial institutions and consist of invested cash and cash in our operating accounts. During 2024 and 2023, we experienced no loss or lack of access to our cash and cash equivalents; however, there can be no assurance that access to our cash and cash equivalents will not be impacted by adverse conditions in the financial markets.</w:t>
      </w:r>
    </w:p>
    <w:p>
      <w:pPr>
        <w:spacing w:after="0" w:line="196" w:lineRule="exact"/>
        <w:rPr>
          <w:sz w:val="20"/>
          <w:szCs w:val="20"/>
          <w:color w:val="auto"/>
        </w:rPr>
      </w:pPr>
    </w:p>
    <w:p>
      <w:pPr>
        <w:jc w:val="both"/>
        <w:ind w:right="40" w:firstLine="433"/>
        <w:spacing w:after="0" w:line="267" w:lineRule="auto"/>
        <w:rPr>
          <w:sz w:val="20"/>
          <w:szCs w:val="20"/>
          <w:color w:val="auto"/>
        </w:rPr>
      </w:pPr>
      <w:r>
        <w:rPr>
          <w:rFonts w:ascii="Times New Roman" w:cs="Times New Roman" w:eastAsia="Times New Roman" w:hAnsi="Times New Roman"/>
          <w:sz w:val="17"/>
          <w:szCs w:val="17"/>
          <w:color w:val="auto"/>
        </w:rPr>
        <w:t>As of September 30, 2024, we had $11,827,208 face value of debt, resulting in a debt to total enterprise value ratio of 22.8%. As of September 30, 2024, the ratio of total fixed-rate debt and other instruments to total debt was 78.3% ($9,256,376 total fixed-rate debt including $1,382,568 on which we have interest rate swaps that have been included as fixed-rate debt). The weighted average interest rate of the total of fixed- and variable-rate debt at September 30, 2024 was 4.5%. Certain real estate assets are pledged as collateral for our debt. We are subject to certain restrictive covenants relating to our outstanding debt. We were in compliance with all financial covenants at September 30,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0" w:name="page41"/>
    <w:bookmarkEnd w:id="40"/>
    <w:p>
      <w:pPr>
        <w:ind w:right="420" w:firstLine="433"/>
        <w:spacing w:after="0" w:line="270" w:lineRule="auto"/>
        <w:rPr>
          <w:sz w:val="20"/>
          <w:szCs w:val="20"/>
          <w:color w:val="auto"/>
        </w:rPr>
      </w:pPr>
      <w:r>
        <w:rPr>
          <w:rFonts w:ascii="Times New Roman" w:cs="Times New Roman" w:eastAsia="Times New Roman" w:hAnsi="Times New Roman"/>
          <w:sz w:val="17"/>
          <w:szCs w:val="17"/>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spacing w:after="0" w:line="183" w:lineRule="exact"/>
        <w:rPr>
          <w:sz w:val="20"/>
          <w:szCs w:val="20"/>
          <w:color w:val="auto"/>
        </w:rPr>
      </w:pPr>
    </w:p>
    <w:p>
      <w:pPr>
        <w:ind w:right="160" w:firstLine="433"/>
        <w:spacing w:after="0" w:line="254" w:lineRule="auto"/>
        <w:rPr>
          <w:sz w:val="20"/>
          <w:szCs w:val="20"/>
          <w:color w:val="auto"/>
        </w:rPr>
      </w:pPr>
      <w:r>
        <w:rPr>
          <w:rFonts w:ascii="Times New Roman" w:cs="Times New Roman" w:eastAsia="Times New Roman" w:hAnsi="Times New Roman"/>
          <w:sz w:val="17"/>
          <w:szCs w:val="17"/>
          <w:color w:val="auto"/>
        </w:rPr>
        <w:t>We hold a BBB+/Stable rating from S&amp;P, which was upgraded from BBB/Stable in July 2023 in connection with the Life Storage Merger, and a Baa2 rating from Moody's Investors Service. We intend to manage our balance sheet to maintain these ratings. Certain of our real estate assets are pledged as collateral for our debt. As of September 30, 2024, we had a total of 1,705 unencumbered stores as defined by our public bonds. Our unencumbered asset value was calculated as $29,442,214 and our total asset value was calculated as $34,958,852 according to the calculations as defined by our public bonds.</w:t>
      </w:r>
    </w:p>
    <w:p>
      <w:pPr>
        <w:spacing w:after="0" w:line="208" w:lineRule="exact"/>
        <w:rPr>
          <w:sz w:val="20"/>
          <w:szCs w:val="20"/>
          <w:color w:val="auto"/>
        </w:rPr>
      </w:pPr>
    </w:p>
    <w:p>
      <w:pPr>
        <w:ind w:firstLine="433"/>
        <w:spacing w:after="0" w:line="252" w:lineRule="auto"/>
        <w:rPr>
          <w:sz w:val="20"/>
          <w:szCs w:val="20"/>
          <w:color w:val="auto"/>
        </w:rPr>
      </w:pPr>
      <w:r>
        <w:rPr>
          <w:rFonts w:ascii="Times New Roman" w:cs="Times New Roman" w:eastAsia="Times New Roman" w:hAnsi="Times New Roman"/>
          <w:sz w:val="17"/>
          <w:szCs w:val="17"/>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11" w:lineRule="exact"/>
        <w:rPr>
          <w:sz w:val="20"/>
          <w:szCs w:val="20"/>
          <w:color w:val="auto"/>
        </w:rPr>
      </w:pPr>
    </w:p>
    <w:p>
      <w:pPr>
        <w:ind w:right="20" w:firstLine="433"/>
        <w:spacing w:after="0" w:line="252" w:lineRule="auto"/>
        <w:rPr>
          <w:sz w:val="20"/>
          <w:szCs w:val="20"/>
          <w:color w:val="auto"/>
        </w:rPr>
      </w:pPr>
      <w:r>
        <w:rPr>
          <w:rFonts w:ascii="Times New Roman" w:cs="Times New Roman" w:eastAsia="Times New Roman" w:hAnsi="Times New Roman"/>
          <w:sz w:val="17"/>
          <w:szCs w:val="17"/>
          <w:color w:val="auto"/>
        </w:rPr>
        <w:t>On April 15, 2024, we entered into an equity distribution agreement (the “Equity Distribution Agreement”) with certain sales agents and forward purchasers named therein. Under the terms of the Equity Distribution Agreement, we may issue and sell, and the forward purchasers may sell, from time to time through or to the sales agents, shares of our common stock having an aggregate offering price of up to $800 million. The shares of common stock will be offered pursuant to our effective registration statement on Form S-3 (Registration Statement No. 333-278690) previously filed with and declared effective by the Securities and Exchange Commission (the “SEC”) and a prospectus supplement and accompanying prospectus, filed with the SEC. As of September 30, 2024, no shares have been sold under the Equity Distribution Agreement, which we refer to as our "at the market" equity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52"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52"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41" w:name="page42"/>
    <w:bookmarkEnd w:id="41"/>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121" w:lineRule="exact"/>
        <w:rPr>
          <w:sz w:val="20"/>
          <w:szCs w:val="20"/>
          <w:color w:val="auto"/>
        </w:rPr>
      </w:pPr>
    </w:p>
    <w:p>
      <w:pPr>
        <w:ind w:right="180" w:firstLine="433"/>
        <w:spacing w:after="0" w:line="297" w:lineRule="auto"/>
        <w:rPr>
          <w:sz w:val="20"/>
          <w:szCs w:val="20"/>
          <w:color w:val="auto"/>
        </w:rPr>
      </w:pPr>
      <w:r>
        <w:rPr>
          <w:rFonts w:ascii="Times New Roman" w:cs="Times New Roman" w:eastAsia="Times New Roman" w:hAnsi="Times New Roman"/>
          <w:sz w:val="17"/>
          <w:szCs w:val="17"/>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21"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Interest rate risk is highly sensitive to many factors, including governmental monetary and tax policies, domestic and international economic and political considerations and other factors beyond our control.</w:t>
      </w:r>
    </w:p>
    <w:p>
      <w:pPr>
        <w:spacing w:after="0" w:line="41"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As of September 30, 2024, we had approximately $11.8 billion in total face value of debt, of which approximately $2.6 billion was subject to variable interest rates (excluding debt with interest rate swaps). If SOFR was to increase or decrease by 100 basis points, the increase or decrease in interest expense on the variable-rate debt would increase or decrease future earnings and cash flows by approximately $25.7 million annually.</w:t>
      </w:r>
    </w:p>
    <w:p>
      <w:pPr>
        <w:spacing w:after="0" w:line="57"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50" w:lineRule="exact"/>
        <w:rPr>
          <w:sz w:val="20"/>
          <w:szCs w:val="20"/>
          <w:color w:val="auto"/>
        </w:rPr>
      </w:pPr>
    </w:p>
    <w:p>
      <w:pPr>
        <w:ind w:left="620" w:hanging="615"/>
        <w:spacing w:after="0"/>
        <w:tabs>
          <w:tab w:leader="none" w:pos="6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Controls and Procedures</w:t>
      </w:r>
    </w:p>
    <w:p>
      <w:pPr>
        <w:spacing w:after="0" w:line="252" w:lineRule="exact"/>
        <w:rPr>
          <w:sz w:val="20"/>
          <w:szCs w:val="20"/>
          <w:color w:val="auto"/>
        </w:rPr>
      </w:pPr>
    </w:p>
    <w:p>
      <w:pPr>
        <w:ind w:right="120" w:firstLine="433"/>
        <w:spacing w:after="0" w:line="263" w:lineRule="auto"/>
        <w:rPr>
          <w:sz w:val="20"/>
          <w:szCs w:val="20"/>
          <w:color w:val="auto"/>
        </w:rPr>
      </w:pPr>
      <w:r>
        <w:rPr>
          <w:rFonts w:ascii="Times New Roman" w:cs="Times New Roman" w:eastAsia="Times New Roman" w:hAnsi="Times New Roman"/>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1"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2" w:lineRule="exact"/>
        <w:rPr>
          <w:sz w:val="20"/>
          <w:szCs w:val="20"/>
          <w:color w:val="auto"/>
        </w:rPr>
      </w:pPr>
    </w:p>
    <w:p>
      <w:pPr>
        <w:jc w:val="both"/>
        <w:ind w:right="40" w:firstLine="433"/>
        <w:spacing w:after="0" w:line="270"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94" w:lineRule="exact"/>
        <w:rPr>
          <w:sz w:val="20"/>
          <w:szCs w:val="20"/>
          <w:color w:val="auto"/>
        </w:rPr>
      </w:pPr>
    </w:p>
    <w:p>
      <w:pPr>
        <w:ind w:left="620" w:hanging="615"/>
        <w:spacing w:after="0"/>
        <w:tabs>
          <w:tab w:leader="none" w:pos="6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2"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2" w:name="page43"/>
    <w:bookmarkEnd w:id="42"/>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2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52" w:lineRule="exact"/>
        <w:rPr>
          <w:sz w:val="20"/>
          <w:szCs w:val="20"/>
          <w:color w:val="auto"/>
        </w:rPr>
      </w:pPr>
    </w:p>
    <w:p>
      <w:pPr>
        <w:ind w:right="20" w:firstLine="433"/>
        <w:spacing w:after="0" w:line="264" w:lineRule="auto"/>
        <w:rPr>
          <w:sz w:val="20"/>
          <w:szCs w:val="20"/>
          <w:color w:val="auto"/>
        </w:rPr>
      </w:pPr>
      <w:r>
        <w:rPr>
          <w:rFonts w:ascii="Times New Roman" w:cs="Times New Roman" w:eastAsia="Times New Roman" w:hAnsi="Times New Roman"/>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39" w:lineRule="exact"/>
        <w:rPr>
          <w:sz w:val="20"/>
          <w:szCs w:val="20"/>
          <w:color w:val="auto"/>
        </w:rPr>
      </w:pPr>
    </w:p>
    <w:p>
      <w:pPr>
        <w:ind w:right="80" w:firstLine="433"/>
        <w:spacing w:after="0" w:line="249"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factors discussed in “Part I. Item 1A. Risk Factors” in our Annual Report on Form 10-K for the year ended December 31, 2023, which could materially affect our business, financial condition and results of operations. There have been no material changes to the risk factors described in the “Risk Factors” section in our Annual Report on Form 10-K for the year ended December 31, 2023. The risks described in our Annual Report on Form 10-K and our Quarterly Reports on Form 10-Q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1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52"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During the three months ended September 30, 2024, none of our officers or directors adopted, modified or terminated any contract, instruction or written plan for the purchase or sale of our securities that was intended to satisfy the affirmative defense conditions of Rule 10b5-1(c) or any “non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512"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5460" w:type="dxa"/>
            <w:vAlign w:val="bottom"/>
            <w:gridSpan w:val="41"/>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317"/>
        </w:trPr>
        <w:tc>
          <w:tcPr>
            <w:tcW w:w="260" w:type="dxa"/>
            <w:vAlign w:val="bottom"/>
          </w:tcPr>
          <w:p>
            <w:pPr>
              <w:spacing w:after="0"/>
              <w:rPr>
                <w:sz w:val="24"/>
                <w:szCs w:val="24"/>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31"/>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540" w:type="dxa"/>
            <w:vAlign w:val="bottom"/>
            <w:gridSpan w:val="2"/>
          </w:tcPr>
          <w:p>
            <w:pPr>
              <w:jc w:val="center"/>
              <w:ind w:right="40"/>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3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2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Equity Distribution Agreement, dated April 15, 2024, by and among Extra</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60" w:type="dxa"/>
            <w:vAlign w:val="bottom"/>
            <w:tcBorders>
              <w:top w:val="single" w:sz="8" w:color="0000FF"/>
            </w:tcBorders>
            <w:gridSpan w:val="35"/>
          </w:tcPr>
          <w:p>
            <w:pPr>
              <w:spacing w:after="0" w:line="150"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Space Storage Inc., Extra Space Storage LP, BMO Capital Markets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gridSpan w:val="38"/>
          </w:tcPr>
          <w:p>
            <w:pPr>
              <w:spacing w:after="0" w:line="163"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Corp., BofA Securities, Inc., Citigroup Global Markets Inc., Jefferies</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LLC, J.P. Morgan Securities LLC, Regions Securities LLC, TD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Securities (USA) LLC, Truist Securities, Inc. and Wells Fargo</w:t>
              </w:r>
            </w:hyperlink>
          </w:p>
        </w:tc>
        <w:tc>
          <w:tcPr>
            <w:tcW w:w="680" w:type="dxa"/>
            <w:vAlign w:val="bottom"/>
            <w:tcBorders>
              <w:bottom w:val="single" w:sz="8" w:color="0000FF"/>
            </w:tcBorders>
            <w:gridSpan w:val="24"/>
          </w:tcPr>
          <w:p>
            <w:pPr>
              <w:spacing w:after="0" w:line="150" w:lineRule="exact"/>
              <w:rPr>
                <w:rFonts w:ascii="Times New Roman" w:cs="Times New Roman" w:eastAsia="Times New Roman" w:hAnsi="Times New Roman"/>
                <w:sz w:val="17"/>
                <w:szCs w:val="17"/>
                <w:color w:val="0000FF"/>
                <w:w w:val="92"/>
              </w:rPr>
            </w:pPr>
            <w:hyperlink r:id="rId62">
              <w:r>
                <w:rPr>
                  <w:rFonts w:ascii="Times New Roman" w:cs="Times New Roman" w:eastAsia="Times New Roman" w:hAnsi="Times New Roman"/>
                  <w:sz w:val="17"/>
                  <w:szCs w:val="17"/>
                  <w:color w:val="0000FF"/>
                  <w:w w:val="92"/>
                </w:rPr>
                <w:t>Securities,</w:t>
              </w:r>
            </w:hyperlink>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gridSpan w:val="38"/>
          </w:tcPr>
          <w:p>
            <w:pPr>
              <w:spacing w:after="0" w:line="163"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LLC</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Agreement and Plan of Merger, dated as of April 2, 2023, by and among</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92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Extra Space Storage Inc., Extra Space Storage LP, Eros Merger Sub,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LLC, Eros OP Merger Sub, LLC, Life Storage, Inc. and Life Storage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20" w:type="dxa"/>
            <w:vAlign w:val="bottom"/>
            <w:tcBorders>
              <w:bottom w:val="single" w:sz="8" w:color="0000FF"/>
            </w:tcBorders>
            <w:gridSpan w:val="10"/>
          </w:tcPr>
          <w:p>
            <w:pPr>
              <w:spacing w:after="0" w:line="163"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LP</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2.2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Amendment to Agreement and Plan of Merger, dated as of May 18, 2023,</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0" w:type="dxa"/>
            <w:vAlign w:val="bottom"/>
            <w:tcBorders>
              <w:top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by and among Extra Space Storage Inc., Extra Space Storage LP, Eros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Borders>
              <w:top w:val="single" w:sz="8" w:color="0000FF"/>
            </w:tcBorders>
            <w:gridSpan w:val="27"/>
          </w:tcPr>
          <w:p>
            <w:pPr>
              <w:spacing w:after="0" w:line="163"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Merger Sub, LLC, Eros OP Merger Sub, LLC, Life Storage, Inc. and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Life Storage LP</w:t>
              </w:r>
            </w:hyperlink>
          </w:p>
        </w:tc>
        <w:tc>
          <w:tcPr>
            <w:tcW w:w="370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Amended and Restated Articles of Incorporation of Extra Space</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32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Storage Inc.</w:t>
              </w:r>
            </w:hyperlink>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Articles of Amendment of Extra Space Storage Inc., dated September 28,</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tcBorders>
            <w:gridSpan w:val="3"/>
          </w:tcPr>
          <w:p>
            <w:pPr>
              <w:ind w:left="140"/>
              <w:spacing w:after="0" w:line="150" w:lineRule="exact"/>
              <w:rPr>
                <w:rFonts w:ascii="Times New Roman" w:cs="Times New Roman" w:eastAsia="Times New Roman" w:hAnsi="Times New Roman"/>
                <w:sz w:val="17"/>
                <w:szCs w:val="17"/>
                <w:color w:val="0000FF"/>
                <w:w w:val="99"/>
              </w:rPr>
            </w:pPr>
            <w:hyperlink r:id="rId66">
              <w:r>
                <w:rPr>
                  <w:rFonts w:ascii="Times New Roman" w:cs="Times New Roman" w:eastAsia="Times New Roman" w:hAnsi="Times New Roman"/>
                  <w:sz w:val="17"/>
                  <w:szCs w:val="17"/>
                  <w:color w:val="0000FF"/>
                  <w:w w:val="99"/>
                </w:rPr>
                <w:t>2007.</w:t>
              </w:r>
            </w:hyperlink>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Articles of Amendment of Extra Space Storage Inc., dated August 29,</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tcBorders>
            <w:gridSpan w:val="3"/>
          </w:tcPr>
          <w:p>
            <w:pPr>
              <w:ind w:left="140"/>
              <w:spacing w:after="0" w:line="150" w:lineRule="exact"/>
              <w:rPr>
                <w:rFonts w:ascii="Times New Roman" w:cs="Times New Roman" w:eastAsia="Times New Roman" w:hAnsi="Times New Roman"/>
                <w:sz w:val="17"/>
                <w:szCs w:val="17"/>
                <w:color w:val="0000FF"/>
                <w:w w:val="99"/>
              </w:rPr>
            </w:pPr>
            <w:hyperlink r:id="rId67">
              <w:r>
                <w:rPr>
                  <w:rFonts w:ascii="Times New Roman" w:cs="Times New Roman" w:eastAsia="Times New Roman" w:hAnsi="Times New Roman"/>
                  <w:sz w:val="17"/>
                  <w:szCs w:val="17"/>
                  <w:color w:val="0000FF"/>
                  <w:w w:val="99"/>
                </w:rPr>
                <w:t>2013.</w:t>
              </w:r>
            </w:hyperlink>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Borders>
              <w:bottom w:val="single" w:sz="8" w:color="0000FF"/>
            </w:tcBorders>
            <w:gridSpan w:val="34"/>
          </w:tcPr>
          <w:p>
            <w:pPr>
              <w:spacing w:after="0"/>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Articles of Amendment of Extra Space Storage Inc., dated May 21, 2014.</w:t>
              </w:r>
            </w:hyperlink>
          </w:p>
        </w:tc>
        <w:tc>
          <w:tcPr>
            <w:tcW w:w="1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Second Amended and Restated Bylaws of Extra Space Storage Inc.</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Fourth Amended and Restated Agreement of Limited Partnership of Extra</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20" w:type="dxa"/>
            <w:vAlign w:val="bottom"/>
            <w:tcBorders>
              <w:top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Space Storage LP.</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Junior Subordinated Note</w:t>
              </w:r>
            </w:hyperlink>
          </w:p>
        </w:tc>
        <w:tc>
          <w:tcPr>
            <w:tcW w:w="348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Description of Securities</w:t>
              </w:r>
            </w:hyperlink>
          </w:p>
        </w:tc>
        <w:tc>
          <w:tcPr>
            <w:tcW w:w="35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Indenture, dated as of May 11, 2021, among Extra Space Storage LP, as</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86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issuer, Extra Space Storage Inc., ESS Holdings Business Trust I and</w:t>
              </w:r>
            </w:hyperlink>
          </w:p>
        </w:tc>
        <w:tc>
          <w:tcPr>
            <w:tcW w:w="260" w:type="dxa"/>
            <w:vAlign w:val="bottom"/>
            <w:gridSpan w:val="12"/>
          </w:tcPr>
          <w:p>
            <w:pPr>
              <w:spacing w:after="0" w:line="150" w:lineRule="exact"/>
              <w:rPr>
                <w:rFonts w:ascii="Times New Roman" w:cs="Times New Roman" w:eastAsia="Times New Roman" w:hAnsi="Times New Roman"/>
                <w:sz w:val="17"/>
                <w:szCs w:val="17"/>
                <w:color w:val="0000FF"/>
                <w:w w:val="81"/>
              </w:rPr>
            </w:pPr>
            <w:hyperlink r:id="rId73">
              <w:r>
                <w:rPr>
                  <w:rFonts w:ascii="Times New Roman" w:cs="Times New Roman" w:eastAsia="Times New Roman" w:hAnsi="Times New Roman"/>
                  <w:sz w:val="17"/>
                  <w:szCs w:val="17"/>
                  <w:color w:val="0000FF"/>
                  <w:w w:val="81"/>
                </w:rPr>
                <w:t>ESS</w:t>
              </w:r>
            </w:hyperlink>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00" w:type="dxa"/>
            <w:vAlign w:val="bottom"/>
            <w:tcBorders>
              <w:top w:val="single" w:sz="8" w:color="0000FF"/>
            </w:tcBorders>
            <w:gridSpan w:val="37"/>
          </w:tcPr>
          <w:p>
            <w:pPr>
              <w:spacing w:after="0" w:line="163"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Holdings Business Trust II, as guarantors, and Wells Fargo Bank,</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National Association, as trustee.</w:t>
              </w:r>
            </w:hyperlink>
          </w:p>
        </w:tc>
        <w:tc>
          <w:tcPr>
            <w:tcW w:w="230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First Supplemental Indenture, dated as of May 11, 2021, among Extra</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740" w:type="dxa"/>
            <w:vAlign w:val="bottom"/>
            <w:tcBorders>
              <w:top w:val="single" w:sz="8" w:color="0000FF"/>
              <w:bottom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Space Storage LP, as issuer, Extra Space Storage Inc., ESS Holdings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4"/>
            <w:vMerge w:val="restart"/>
          </w:tcPr>
          <w:p>
            <w:pPr>
              <w:spacing w:after="0"/>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and</w:t>
              </w:r>
            </w:hyperlink>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23"/>
          </w:tcPr>
          <w:p>
            <w:pPr>
              <w:spacing w:after="0" w:line="163"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Business Trust I and ESS Holdings Business Trust II, as guarantors,</w:t>
              </w:r>
            </w:hyperlink>
          </w:p>
        </w:tc>
        <w:tc>
          <w:tcPr>
            <w:tcW w:w="20" w:type="dxa"/>
            <w:vAlign w:val="bottom"/>
          </w:tcPr>
          <w:p>
            <w:pPr>
              <w:spacing w:after="0"/>
              <w:rPr>
                <w:sz w:val="14"/>
                <w:szCs w:val="14"/>
                <w:color w:val="auto"/>
              </w:rPr>
            </w:pPr>
          </w:p>
        </w:tc>
        <w:tc>
          <w:tcPr>
            <w:tcW w:w="30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40" w:type="dxa"/>
            <w:vAlign w:val="bottom"/>
            <w:tcBorders>
              <w:top w:val="single" w:sz="8" w:color="0000FF"/>
            </w:tcBorders>
            <w:gridSpan w:val="34"/>
          </w:tcPr>
          <w:p>
            <w:pPr>
              <w:spacing w:after="0" w:line="150"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Wells Fargo Bank, National Association, as trustee, including the form</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of the Notes and the Guarantee.</w:t>
              </w:r>
            </w:hyperlink>
          </w:p>
        </w:tc>
        <w:tc>
          <w:tcPr>
            <w:tcW w:w="2760" w:type="dxa"/>
            <w:vAlign w:val="bottom"/>
            <w:tcBorders>
              <w:top w:val="single" w:sz="8" w:color="0000FF"/>
            </w:tcBorders>
            <w:gridSpan w:val="2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Second Supplemental Indenture, dated as of September 22, 2021, among</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94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Extra Space Storage LP, as issuer, Extra Space Storage Inc., ESS</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gridSpan w:val="1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gridSpan w:val="38"/>
          </w:tcPr>
          <w:p>
            <w:pPr>
              <w:spacing w:after="0" w:line="163"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Holdings Business Trust I and ESS Holdings Business Trust II, as</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w w:val="99"/>
              </w:rPr>
            </w:pPr>
            <w:hyperlink r:id="rId75">
              <w:r>
                <w:rPr>
                  <w:rFonts w:ascii="Times New Roman" w:cs="Times New Roman" w:eastAsia="Times New Roman" w:hAnsi="Times New Roman"/>
                  <w:sz w:val="17"/>
                  <w:szCs w:val="17"/>
                  <w:color w:val="0000FF"/>
                  <w:w w:val="99"/>
                </w:rPr>
                <w:t>guarantors, and Wells Fargo Bank, National Association, as trustee,</w:t>
              </w:r>
            </w:hyperlink>
          </w:p>
        </w:tc>
        <w:tc>
          <w:tcPr>
            <w:tcW w:w="12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Borders>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including the form of the Notes and the Guarantee.</w:t>
              </w:r>
            </w:hyperlink>
          </w:p>
        </w:tc>
        <w:tc>
          <w:tcPr>
            <w:tcW w:w="116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Third Supplemental Indenture, dated as of March 31, 2022, among Extra</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820" w:type="dxa"/>
            <w:vAlign w:val="bottom"/>
            <w:tcBorders>
              <w:top w:val="single" w:sz="8" w:color="0000FF"/>
              <w:bottom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Space Storage LP, as issuer, Extra Space Storage Inc., ESS Holdings</w:t>
              </w:r>
            </w:hyperlink>
          </w:p>
        </w:tc>
        <w:tc>
          <w:tcPr>
            <w:tcW w:w="140" w:type="dxa"/>
            <w:vAlign w:val="bottom"/>
            <w:tcBorders>
              <w:top w:val="single" w:sz="8" w:color="0000FF"/>
            </w:tcBorders>
            <w:gridSpan w:val="6"/>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bl>
    <w:p>
      <w:pPr>
        <w:ind w:left="1140" w:right="80"/>
        <w:spacing w:after="0" w:line="225" w:lineRule="auto"/>
        <w:rPr>
          <w:rFonts w:ascii="Times New Roman" w:cs="Times New Roman" w:eastAsia="Times New Roman" w:hAnsi="Times New Roman"/>
          <w:sz w:val="17"/>
          <w:szCs w:val="17"/>
          <w:u w:val="single" w:color="auto"/>
          <w:color w:val="0000FF"/>
        </w:rPr>
      </w:pPr>
      <w:hyperlink r:id="rId76">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6">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6">
        <w:r>
          <w:rPr>
            <w:rFonts w:ascii="Times New Roman" w:cs="Times New Roman" w:eastAsia="Times New Roman" w:hAnsi="Times New Roman"/>
            <w:sz w:val="17"/>
            <w:szCs w:val="17"/>
            <w:u w:val="single" w:color="auto"/>
            <w:color w:val="0000FF"/>
          </w:rPr>
          <w:t>the Notes and the Guarantee.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64" w:lineRule="exact"/>
        <w:rPr>
          <w:rFonts w:ascii="Times New Roman" w:cs="Times New Roman" w:eastAsia="Times New Roman" w:hAnsi="Times New Roman"/>
          <w:sz w:val="17"/>
          <w:szCs w:val="17"/>
          <w:u w:val="single" w:color="auto"/>
          <w:color w:val="0000FF"/>
        </w:rPr>
      </w:pPr>
    </w:p>
    <w:p>
      <w:pPr>
        <w:ind w:left="55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00" w:lineRule="exact"/>
        <w:rPr>
          <w:rFonts w:ascii="Times New Roman" w:cs="Times New Roman" w:eastAsia="Times New Roman" w:hAnsi="Times New Roman"/>
          <w:sz w:val="17"/>
          <w:szCs w:val="17"/>
          <w:u w:val="single" w:color="auto"/>
          <w:color w:val="0000FF"/>
        </w:rPr>
      </w:pPr>
    </w:p>
    <w:p>
      <w:pPr>
        <w:spacing w:after="0" w:line="308" w:lineRule="exact"/>
        <w:rPr>
          <w:rFonts w:ascii="Times New Roman" w:cs="Times New Roman" w:eastAsia="Times New Roman" w:hAnsi="Times New Roman"/>
          <w:sz w:val="17"/>
          <w:szCs w:val="17"/>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77"/>
        </w:trPr>
        <w:tc>
          <w:tcPr>
            <w:tcW w:w="12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55"/>
        </w:trPr>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rPr>
              <w:t>S-3ASR</w:t>
            </w:r>
          </w:p>
        </w:tc>
        <w:tc>
          <w:tcPr>
            <w:tcW w:w="140" w:type="dxa"/>
            <w:vAlign w:val="bottom"/>
          </w:tcPr>
          <w:p>
            <w:pPr>
              <w:spacing w:after="0"/>
              <w:rPr>
                <w:sz w:val="22"/>
                <w:szCs w:val="22"/>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April 15, 2024</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w:t>
            </w:r>
          </w:p>
        </w:tc>
      </w:tr>
      <w:tr>
        <w:trPr>
          <w:trHeight w:val="1102"/>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April 3, 2023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w:t>
            </w:r>
          </w:p>
        </w:tc>
      </w:tr>
      <w:tr>
        <w:trPr>
          <w:trHeight w:val="577"/>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July 20, 2023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w:t>
            </w:r>
          </w:p>
        </w:tc>
      </w:tr>
      <w:tr>
        <w:trPr>
          <w:trHeight w:val="747"/>
        </w:trPr>
        <w:tc>
          <w:tcPr>
            <w:tcW w:w="7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S-11</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August 10, 2004</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407"/>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October 3, 2007</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407"/>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August 29, 2013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402"/>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May 28, 2014</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223"/>
        </w:trPr>
        <w:tc>
          <w:tcPr>
            <w:tcW w:w="120" w:type="dxa"/>
            <w:vAlign w:val="bottom"/>
          </w:tcPr>
          <w:p>
            <w:pPr>
              <w:spacing w:after="0"/>
              <w:rPr>
                <w:sz w:val="19"/>
                <w:szCs w:val="19"/>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19"/>
                <w:szCs w:val="19"/>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January 17, 2018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228"/>
        </w:trPr>
        <w:tc>
          <w:tcPr>
            <w:tcW w:w="120" w:type="dxa"/>
            <w:vAlign w:val="bottom"/>
          </w:tcPr>
          <w:p>
            <w:pPr>
              <w:spacing w:after="0"/>
              <w:rPr>
                <w:sz w:val="19"/>
                <w:szCs w:val="19"/>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19"/>
                <w:szCs w:val="19"/>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December 6, 2013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w:t>
            </w:r>
          </w:p>
        </w:tc>
      </w:tr>
      <w:tr>
        <w:trPr>
          <w:trHeight w:val="402"/>
        </w:trPr>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10-K</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February 26, 2010</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w:t>
            </w:r>
          </w:p>
        </w:tc>
      </w:tr>
      <w:tr>
        <w:trPr>
          <w:trHeight w:val="223"/>
        </w:trPr>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10-K</w:t>
            </w:r>
          </w:p>
        </w:tc>
        <w:tc>
          <w:tcPr>
            <w:tcW w:w="140" w:type="dxa"/>
            <w:vAlign w:val="bottom"/>
          </w:tcPr>
          <w:p>
            <w:pPr>
              <w:spacing w:after="0"/>
              <w:rPr>
                <w:sz w:val="19"/>
                <w:szCs w:val="19"/>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February 25, 2020</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w:t>
            </w:r>
          </w:p>
        </w:tc>
      </w:tr>
      <w:tr>
        <w:trPr>
          <w:trHeight w:val="228"/>
        </w:trPr>
        <w:tc>
          <w:tcPr>
            <w:tcW w:w="120" w:type="dxa"/>
            <w:vAlign w:val="bottom"/>
          </w:tcPr>
          <w:p>
            <w:pPr>
              <w:spacing w:after="0"/>
              <w:rPr>
                <w:sz w:val="19"/>
                <w:szCs w:val="19"/>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19"/>
                <w:szCs w:val="19"/>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May 11, 2021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w:t>
            </w:r>
          </w:p>
        </w:tc>
      </w:tr>
      <w:tr>
        <w:trPr>
          <w:trHeight w:val="747"/>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May 11, 2021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84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color w:val="auto"/>
              </w:rPr>
              <w:t>September 22, 2021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March 31, 2022</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bl>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382"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Filed</w:t>
      </w:r>
    </w:p>
    <w:p>
      <w:pPr>
        <w:spacing w:after="0" w:line="1"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Herewith</w:t>
      </w:r>
    </w:p>
    <w:p>
      <w:pPr>
        <w:sectPr>
          <w:pgSz w:w="11900" w:h="16838" w:orient="portrait"/>
          <w:cols w:equalWidth="0" w:num="3">
            <w:col w:w="6260" w:space="140"/>
            <w:col w:w="3180" w:space="400"/>
            <w:col w:w="560"/>
          </w:cols>
          <w:pgMar w:left="320" w:top="1378" w:right="1039" w:bottom="1440" w:gutter="0" w:footer="0" w:header="0"/>
        </w:sectPr>
      </w:pPr>
    </w:p>
    <w:bookmarkStart w:id="44" w:name="page45"/>
    <w:bookmarkEnd w:id="44"/>
    <w:p>
      <w:pPr>
        <w:ind w:left="620" w:right="40" w:hanging="729"/>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4.7</w:t>
      </w:r>
      <w:r>
        <w:rPr>
          <w:sz w:val="20"/>
          <w:szCs w:val="20"/>
          <w:color w:val="auto"/>
        </w:rPr>
        <w:tab/>
      </w:r>
      <w:hyperlink r:id="rId78">
        <w:r>
          <w:rPr>
            <w:rFonts w:ascii="Times New Roman" w:cs="Times New Roman" w:eastAsia="Times New Roman" w:hAnsi="Times New Roman"/>
            <w:sz w:val="17"/>
            <w:szCs w:val="17"/>
            <w:u w:val="single" w:color="auto"/>
            <w:color w:val="0000FF"/>
          </w:rPr>
          <w:t>Fourth Supplemental Indenture, dated as of March 28, 2023, among Extra</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78">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left="40" w:right="2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4.8    </w:t>
      </w:r>
      <w:hyperlink r:id="rId79">
        <w:r>
          <w:rPr>
            <w:rFonts w:ascii="Times New Roman" w:cs="Times New Roman" w:eastAsia="Times New Roman" w:hAnsi="Times New Roman"/>
            <w:sz w:val="17"/>
            <w:szCs w:val="17"/>
            <w:u w:val="single" w:color="auto"/>
            <w:color w:val="0000FF"/>
          </w:rPr>
          <w:t>Fifth Supplemental Indenture, dated as of June 16, 2023, among Extra</w:t>
        </w:r>
      </w:hyperlink>
      <w:r>
        <w:rPr>
          <w:rFonts w:ascii="Times New Roman" w:cs="Times New Roman" w:eastAsia="Times New Roman" w:hAnsi="Times New Roman"/>
          <w:sz w:val="17"/>
          <w:szCs w:val="17"/>
          <w:color w:val="auto"/>
        </w:rPr>
        <w:t xml:space="preserve"> </w:t>
      </w:r>
      <w:hyperlink r:id="rId79">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79">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9">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9">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left="40" w:right="2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4.9    </w:t>
      </w:r>
      <w:hyperlink r:id="rId80">
        <w:r>
          <w:rPr>
            <w:rFonts w:ascii="Times New Roman" w:cs="Times New Roman" w:eastAsia="Times New Roman" w:hAnsi="Times New Roman"/>
            <w:sz w:val="17"/>
            <w:szCs w:val="17"/>
            <w:u w:val="single" w:color="auto"/>
            <w:color w:val="0000FF"/>
          </w:rPr>
          <w:t>Sixth Supplemental Indenture, dated as of July 25, 2023, among Extra</w:t>
        </w:r>
      </w:hyperlink>
      <w:r>
        <w:rPr>
          <w:rFonts w:ascii="Times New Roman" w:cs="Times New Roman" w:eastAsia="Times New Roman" w:hAnsi="Times New Roman"/>
          <w:sz w:val="17"/>
          <w:szCs w:val="17"/>
          <w:color w:val="auto"/>
        </w:rPr>
        <w:t xml:space="preserve"> </w:t>
      </w:r>
      <w:hyperlink r:id="rId80">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80">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100" w:hanging="773"/>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4.10</w:t>
      </w:r>
      <w:r>
        <w:rPr>
          <w:sz w:val="20"/>
          <w:szCs w:val="20"/>
          <w:color w:val="auto"/>
        </w:rPr>
        <w:tab/>
      </w:r>
      <w:hyperlink r:id="rId81">
        <w:r>
          <w:rPr>
            <w:rFonts w:ascii="Times New Roman" w:cs="Times New Roman" w:eastAsia="Times New Roman" w:hAnsi="Times New Roman"/>
            <w:sz w:val="17"/>
            <w:szCs w:val="17"/>
            <w:u w:val="single" w:color="auto"/>
            <w:color w:val="0000FF"/>
          </w:rPr>
          <w:t>Seventh Supplemental Indenture, dated as of July 25, 2023, among Extra</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81">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20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4.11    </w:t>
      </w:r>
      <w:hyperlink r:id="rId82">
        <w:r>
          <w:rPr>
            <w:rFonts w:ascii="Times New Roman" w:cs="Times New Roman" w:eastAsia="Times New Roman" w:hAnsi="Times New Roman"/>
            <w:sz w:val="17"/>
            <w:szCs w:val="17"/>
            <w:u w:val="single" w:color="auto"/>
            <w:color w:val="0000FF"/>
          </w:rPr>
          <w:t>Eighth Supplemental Indenture, dated as of July 25, 2023, among Extra</w:t>
        </w:r>
      </w:hyperlink>
      <w:r>
        <w:rPr>
          <w:rFonts w:ascii="Times New Roman" w:cs="Times New Roman" w:eastAsia="Times New Roman" w:hAnsi="Times New Roman"/>
          <w:sz w:val="17"/>
          <w:szCs w:val="17"/>
          <w:color w:val="auto"/>
        </w:rPr>
        <w:t xml:space="preserve"> </w:t>
      </w:r>
      <w:hyperlink r:id="rId82">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82">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2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4.12    </w:t>
      </w:r>
      <w:hyperlink r:id="rId83">
        <w:r>
          <w:rPr>
            <w:rFonts w:ascii="Times New Roman" w:cs="Times New Roman" w:eastAsia="Times New Roman" w:hAnsi="Times New Roman"/>
            <w:sz w:val="17"/>
            <w:szCs w:val="17"/>
            <w:u w:val="single" w:color="auto"/>
            <w:color w:val="0000FF"/>
          </w:rPr>
          <w:t>Ninth Supplemental Indenture, dated as of July 25, 2023, among Extra</w:t>
        </w:r>
      </w:hyperlink>
      <w:r>
        <w:rPr>
          <w:rFonts w:ascii="Times New Roman" w:cs="Times New Roman" w:eastAsia="Times New Roman" w:hAnsi="Times New Roman"/>
          <w:sz w:val="17"/>
          <w:szCs w:val="17"/>
          <w:color w:val="auto"/>
        </w:rPr>
        <w:t xml:space="preserve"> </w:t>
      </w:r>
      <w:hyperlink r:id="rId83">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83">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2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4.13    </w:t>
      </w:r>
      <w:hyperlink r:id="rId84">
        <w:r>
          <w:rPr>
            <w:rFonts w:ascii="Times New Roman" w:cs="Times New Roman" w:eastAsia="Times New Roman" w:hAnsi="Times New Roman"/>
            <w:sz w:val="17"/>
            <w:szCs w:val="17"/>
            <w:u w:val="single" w:color="auto"/>
            <w:color w:val="0000FF"/>
          </w:rPr>
          <w:t>Tenth Supplemental Indenture, dated as of July 25, 2023, among Extra</w:t>
        </w:r>
      </w:hyperlink>
      <w:r>
        <w:rPr>
          <w:rFonts w:ascii="Times New Roman" w:cs="Times New Roman" w:eastAsia="Times New Roman" w:hAnsi="Times New Roman"/>
          <w:sz w:val="17"/>
          <w:szCs w:val="17"/>
          <w:color w:val="auto"/>
        </w:rPr>
        <w:t xml:space="preserve"> </w:t>
      </w:r>
      <w:hyperlink r:id="rId84">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84">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120" w:hanging="773"/>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4.14</w:t>
      </w:r>
      <w:r>
        <w:rPr>
          <w:sz w:val="20"/>
          <w:szCs w:val="20"/>
          <w:color w:val="auto"/>
        </w:rPr>
        <w:tab/>
      </w:r>
      <w:hyperlink r:id="rId85">
        <w:r>
          <w:rPr>
            <w:rFonts w:ascii="Times New Roman" w:cs="Times New Roman" w:eastAsia="Times New Roman" w:hAnsi="Times New Roman"/>
            <w:sz w:val="17"/>
            <w:szCs w:val="17"/>
            <w:u w:val="single" w:color="auto"/>
            <w:color w:val="0000FF"/>
          </w:rPr>
          <w:t>Eleventh Supplemental Indenture, dated as of December 1, 2023, among</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Extra Space Storage LP, as issuer, Extra Space Storage Inc., ESS</w:t>
        </w:r>
      </w:hyperlink>
    </w:p>
    <w:p>
      <w:pPr>
        <w:spacing w:after="0" w:line="1" w:lineRule="exact"/>
        <w:rPr>
          <w:sz w:val="20"/>
          <w:szCs w:val="20"/>
          <w:color w:val="auto"/>
        </w:rPr>
      </w:pPr>
    </w:p>
    <w:p>
      <w:pPr>
        <w:jc w:val="both"/>
        <w:ind w:left="780" w:right="440"/>
        <w:spacing w:after="0" w:line="224" w:lineRule="auto"/>
        <w:rPr>
          <w:rFonts w:ascii="Times New Roman" w:cs="Times New Roman" w:eastAsia="Times New Roman" w:hAnsi="Times New Roman"/>
          <w:sz w:val="17"/>
          <w:szCs w:val="17"/>
          <w:u w:val="single" w:color="auto"/>
          <w:color w:val="0000FF"/>
        </w:rPr>
      </w:pPr>
      <w:hyperlink r:id="rId85">
        <w:r>
          <w:rPr>
            <w:rFonts w:ascii="Times New Roman" w:cs="Times New Roman" w:eastAsia="Times New Roman" w:hAnsi="Times New Roman"/>
            <w:sz w:val="17"/>
            <w:szCs w:val="17"/>
            <w:u w:val="single" w:color="auto"/>
            <w:color w:val="0000FF"/>
          </w:rPr>
          <w:t>Holdings Business Trust I and ESS Holdings Business Trust II, as</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guarantors, and Computershare Trust Company, N.A., as trustee,</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including the form of 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300" w:hanging="773"/>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4.15</w:t>
      </w:r>
      <w:r>
        <w:rPr>
          <w:sz w:val="20"/>
          <w:szCs w:val="20"/>
          <w:color w:val="auto"/>
        </w:rPr>
        <w:tab/>
      </w:r>
      <w:hyperlink r:id="rId86">
        <w:r>
          <w:rPr>
            <w:rFonts w:ascii="Times New Roman" w:cs="Times New Roman" w:eastAsia="Times New Roman" w:hAnsi="Times New Roman"/>
            <w:sz w:val="17"/>
            <w:szCs w:val="17"/>
            <w:u w:val="single" w:color="auto"/>
            <w:color w:val="0000FF"/>
          </w:rPr>
          <w:t>Twelfth Supplemental Indenture, dated as of January 19, 2024, among</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Extra Space Storage LP, as issuer, Extra Space Storage Inc., ESS</w:t>
        </w:r>
      </w:hyperlink>
    </w:p>
    <w:p>
      <w:pPr>
        <w:spacing w:after="0" w:line="1" w:lineRule="exact"/>
        <w:rPr>
          <w:sz w:val="20"/>
          <w:szCs w:val="20"/>
          <w:color w:val="auto"/>
        </w:rPr>
      </w:pPr>
    </w:p>
    <w:p>
      <w:pPr>
        <w:jc w:val="both"/>
        <w:ind w:left="780" w:right="440"/>
        <w:spacing w:after="0" w:line="224" w:lineRule="auto"/>
        <w:rPr>
          <w:rFonts w:ascii="Times New Roman" w:cs="Times New Roman" w:eastAsia="Times New Roman" w:hAnsi="Times New Roman"/>
          <w:sz w:val="17"/>
          <w:szCs w:val="17"/>
          <w:u w:val="single" w:color="auto"/>
          <w:color w:val="0000FF"/>
        </w:rPr>
      </w:pPr>
      <w:hyperlink r:id="rId86">
        <w:r>
          <w:rPr>
            <w:rFonts w:ascii="Times New Roman" w:cs="Times New Roman" w:eastAsia="Times New Roman" w:hAnsi="Times New Roman"/>
            <w:sz w:val="17"/>
            <w:szCs w:val="17"/>
            <w:u w:val="single" w:color="auto"/>
            <w:color w:val="0000FF"/>
          </w:rPr>
          <w:t>Holdings Business Trust I and ESS Holdings Business Trust II, as</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guarantors, and Computershare Trust Company, N.A., as trustee,</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including the form of 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140" w:hanging="773"/>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4.16</w:t>
      </w:r>
      <w:r>
        <w:rPr>
          <w:sz w:val="20"/>
          <w:szCs w:val="20"/>
          <w:color w:val="auto"/>
        </w:rPr>
        <w:tab/>
      </w:r>
      <w:hyperlink r:id="rId87">
        <w:r>
          <w:rPr>
            <w:rFonts w:ascii="Times New Roman" w:cs="Times New Roman" w:eastAsia="Times New Roman" w:hAnsi="Times New Roman"/>
            <w:sz w:val="17"/>
            <w:szCs w:val="17"/>
            <w:u w:val="single" w:color="auto"/>
            <w:color w:val="0000FF"/>
          </w:rPr>
          <w:t>Thirteenth Supplemental Indenture, dated as of August 12, 2024, among</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Extra Space Storage LP, as issuer, Extra Space Storage Inc., ESS</w:t>
        </w:r>
      </w:hyperlink>
    </w:p>
    <w:p>
      <w:pPr>
        <w:spacing w:after="0" w:line="1" w:lineRule="exact"/>
        <w:rPr>
          <w:sz w:val="20"/>
          <w:szCs w:val="20"/>
          <w:color w:val="auto"/>
        </w:rPr>
      </w:pPr>
    </w:p>
    <w:p>
      <w:pPr>
        <w:jc w:val="both"/>
        <w:ind w:left="780" w:right="440"/>
        <w:spacing w:after="0" w:line="224" w:lineRule="auto"/>
        <w:rPr>
          <w:rFonts w:ascii="Times New Roman" w:cs="Times New Roman" w:eastAsia="Times New Roman" w:hAnsi="Times New Roman"/>
          <w:sz w:val="17"/>
          <w:szCs w:val="17"/>
          <w:u w:val="single" w:color="auto"/>
          <w:color w:val="0000FF"/>
        </w:rPr>
      </w:pPr>
      <w:hyperlink r:id="rId87">
        <w:r>
          <w:rPr>
            <w:rFonts w:ascii="Times New Roman" w:cs="Times New Roman" w:eastAsia="Times New Roman" w:hAnsi="Times New Roman"/>
            <w:sz w:val="17"/>
            <w:szCs w:val="17"/>
            <w:u w:val="single" w:color="auto"/>
            <w:color w:val="0000FF"/>
          </w:rPr>
          <w:t>Holdings Business Trust I and ESS Holdings Business Trust II, as</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guarantors, and Computershare Trust Company, N.A., as trustee,</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including the form of the Notes and the Guarantee.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65" w:lineRule="exact"/>
        <w:rPr>
          <w:rFonts w:ascii="Times New Roman" w:cs="Times New Roman" w:eastAsia="Times New Roman" w:hAnsi="Times New Roman"/>
          <w:sz w:val="17"/>
          <w:szCs w:val="17"/>
          <w:u w:val="single" w:color="auto"/>
          <w:color w:val="0000FF"/>
        </w:rPr>
      </w:pPr>
    </w:p>
    <w:p>
      <w:pPr>
        <w:ind w:left="518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-237490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28"/>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28,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16,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931"/>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19, 2024</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12, 2024</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ectPr>
          <w:pgSz w:w="11900" w:h="16838" w:orient="portrait"/>
          <w:cols w:equalWidth="0" w:num="2">
            <w:col w:w="5820" w:space="300"/>
            <w:col w:w="3659"/>
          </w:cols>
          <w:pgMar w:left="680" w:top="1419" w:right="1440" w:bottom="1440" w:gutter="0" w:footer="0" w:header="0"/>
        </w:sectPr>
      </w:pPr>
    </w:p>
    <w:bookmarkStart w:id="45" w:name="page46"/>
    <w:bookmarkEnd w:id="45"/>
    <w:p>
      <w:pPr>
        <w:ind w:left="620" w:hanging="773"/>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4.17</w:t>
      </w:r>
      <w:r>
        <w:rPr>
          <w:sz w:val="20"/>
          <w:szCs w:val="20"/>
          <w:color w:val="auto"/>
        </w:rPr>
        <w:tab/>
      </w:r>
      <w:hyperlink r:id="rId89">
        <w:r>
          <w:rPr>
            <w:rFonts w:ascii="Times New Roman" w:cs="Times New Roman" w:eastAsia="Times New Roman" w:hAnsi="Times New Roman"/>
            <w:sz w:val="17"/>
            <w:szCs w:val="17"/>
            <w:u w:val="single" w:color="auto"/>
            <w:color w:val="0000FF"/>
          </w:rPr>
          <w:t>Base Indenture, dated as of June 20, 2016, among Life Storage, Inc., Life</w:t>
        </w:r>
      </w:hyperlink>
      <w:r>
        <w:rPr>
          <w:rFonts w:ascii="Times New Roman" w:cs="Times New Roman" w:eastAsia="Times New Roman" w:hAnsi="Times New Roman"/>
          <w:sz w:val="17"/>
          <w:szCs w:val="17"/>
          <w:u w:val="single" w:color="auto"/>
          <w:color w:val="0000FF"/>
        </w:rPr>
        <w:t xml:space="preserve"> </w:t>
      </w:r>
      <w:hyperlink r:id="rId89">
        <w:r>
          <w:rPr>
            <w:rFonts w:ascii="Times New Roman" w:cs="Times New Roman" w:eastAsia="Times New Roman" w:hAnsi="Times New Roman"/>
            <w:sz w:val="17"/>
            <w:szCs w:val="17"/>
            <w:u w:val="single" w:color="auto"/>
            <w:color w:val="0000FF"/>
          </w:rPr>
          <w:t>Storage LP and Wells Fargo Bank, National Association (incorporated by</w:t>
        </w:r>
      </w:hyperlink>
    </w:p>
    <w:p>
      <w:pPr>
        <w:spacing w:after="0" w:line="1" w:lineRule="exact"/>
        <w:rPr>
          <w:sz w:val="20"/>
          <w:szCs w:val="20"/>
          <w:color w:val="auto"/>
        </w:rPr>
      </w:pPr>
    </w:p>
    <w:p>
      <w:pPr>
        <w:ind w:left="780"/>
        <w:spacing w:after="0" w:line="232" w:lineRule="auto"/>
        <w:rPr>
          <w:rFonts w:ascii="Times New Roman" w:cs="Times New Roman" w:eastAsia="Times New Roman" w:hAnsi="Times New Roman"/>
          <w:sz w:val="17"/>
          <w:szCs w:val="17"/>
          <w:u w:val="single" w:color="auto"/>
          <w:color w:val="0000FF"/>
        </w:rPr>
      </w:pPr>
      <w:hyperlink r:id="rId89">
        <w:r>
          <w:rPr>
            <w:rFonts w:ascii="Times New Roman" w:cs="Times New Roman" w:eastAsia="Times New Roman" w:hAnsi="Times New Roman"/>
            <w:sz w:val="17"/>
            <w:szCs w:val="17"/>
            <w:u w:val="single" w:color="auto"/>
            <w:color w:val="0000FF"/>
          </w:rPr>
          <w:t>reference to Exhibit 4.2 to the Current Report on Form 10-K filed by Life</w:t>
        </w:r>
      </w:hyperlink>
      <w:r>
        <w:rPr>
          <w:rFonts w:ascii="Times New Roman" w:cs="Times New Roman" w:eastAsia="Times New Roman" w:hAnsi="Times New Roman"/>
          <w:sz w:val="17"/>
          <w:szCs w:val="17"/>
          <w:u w:val="single" w:color="auto"/>
          <w:color w:val="0000FF"/>
        </w:rPr>
        <w:t xml:space="preserve"> </w:t>
      </w:r>
      <w:hyperlink r:id="rId89">
        <w:r>
          <w:rPr>
            <w:rFonts w:ascii="Times New Roman" w:cs="Times New Roman" w:eastAsia="Times New Roman" w:hAnsi="Times New Roman"/>
            <w:sz w:val="17"/>
            <w:szCs w:val="17"/>
            <w:u w:val="single" w:color="auto"/>
            <w:color w:val="0000FF"/>
          </w:rPr>
          <w:t>Storage Inc. on February 24, 2023).</w:t>
        </w:r>
      </w:hyperlink>
    </w:p>
    <w:p>
      <w:pPr>
        <w:ind w:left="620" w:right="480" w:hanging="773"/>
        <w:spacing w:after="0" w:line="22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4.18</w:t>
      </w:r>
      <w:r>
        <w:rPr>
          <w:sz w:val="20"/>
          <w:szCs w:val="20"/>
          <w:color w:val="auto"/>
        </w:rPr>
        <w:tab/>
      </w:r>
      <w:hyperlink r:id="rId90">
        <w:r>
          <w:rPr>
            <w:rFonts w:ascii="Times New Roman" w:cs="Times New Roman" w:eastAsia="Times New Roman" w:hAnsi="Times New Roman"/>
            <w:sz w:val="17"/>
            <w:szCs w:val="17"/>
            <w:u w:val="single" w:color="auto"/>
            <w:color w:val="0000FF"/>
          </w:rPr>
          <w:t>Sixth Supplemental Indenture, dated as of July 25, 2023, among Life</w:t>
        </w:r>
      </w:hyperlink>
      <w:r>
        <w:rPr>
          <w:rFonts w:ascii="Times New Roman" w:cs="Times New Roman" w:eastAsia="Times New Roman" w:hAnsi="Times New Roman"/>
          <w:sz w:val="17"/>
          <w:szCs w:val="17"/>
          <w:u w:val="single" w:color="auto"/>
          <w:color w:val="0000FF"/>
        </w:rPr>
        <w:t xml:space="preserve"> </w:t>
      </w:r>
      <w:hyperlink r:id="rId90">
        <w:r>
          <w:rPr>
            <w:rFonts w:ascii="Times New Roman" w:cs="Times New Roman" w:eastAsia="Times New Roman" w:hAnsi="Times New Roman"/>
            <w:sz w:val="17"/>
            <w:szCs w:val="17"/>
            <w:u w:val="single" w:color="auto"/>
            <w:color w:val="0000FF"/>
          </w:rPr>
          <w:t>Storage LP, as issuer, Life Storage LLC, as parent guarantor, and</w:t>
        </w:r>
      </w:hyperlink>
    </w:p>
    <w:p>
      <w:pPr>
        <w:spacing w:after="0" w:line="1" w:lineRule="exact"/>
        <w:rPr>
          <w:sz w:val="20"/>
          <w:szCs w:val="20"/>
          <w:color w:val="auto"/>
        </w:rPr>
      </w:pPr>
    </w:p>
    <w:p>
      <w:pPr>
        <w:ind w:left="780"/>
        <w:spacing w:after="0"/>
        <w:rPr>
          <w:rFonts w:ascii="Times New Roman" w:cs="Times New Roman" w:eastAsia="Times New Roman" w:hAnsi="Times New Roman"/>
          <w:sz w:val="17"/>
          <w:szCs w:val="17"/>
          <w:u w:val="single" w:color="auto"/>
          <w:color w:val="0000FF"/>
        </w:rPr>
      </w:pPr>
      <w:hyperlink r:id="rId90">
        <w:r>
          <w:rPr>
            <w:rFonts w:ascii="Times New Roman" w:cs="Times New Roman" w:eastAsia="Times New Roman" w:hAnsi="Times New Roman"/>
            <w:sz w:val="17"/>
            <w:szCs w:val="17"/>
            <w:u w:val="single" w:color="auto"/>
            <w:color w:val="0000FF"/>
          </w:rPr>
          <w:t>Computershare Trust Company, N.A., as trustee.</w:t>
        </w:r>
      </w:hyperlink>
    </w:p>
    <w:p>
      <w:pPr>
        <w:spacing w:after="0" w:line="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7"/>
          <w:szCs w:val="17"/>
          <w:u w:val="single" w:color="auto"/>
          <w:color w:val="0000FF"/>
        </w:rPr>
        <w:t>Issuer and Guarantors of Guaranteed Securities</w:t>
      </w:r>
    </w:p>
    <w:p>
      <w:pPr>
        <w:spacing w:after="0" w:line="27" w:lineRule="exact"/>
        <w:rPr>
          <w:sz w:val="20"/>
          <w:szCs w:val="20"/>
          <w:color w:val="auto"/>
        </w:rPr>
      </w:pPr>
    </w:p>
    <w:p>
      <w:pPr>
        <w:ind w:left="620" w:right="360" w:hanging="773"/>
        <w:spacing w:after="0" w:line="242" w:lineRule="auto"/>
        <w:tabs>
          <w:tab w:leader="none" w:pos="60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Section 302 of the Sarbanes-Oxley Act of 2002.</w:t>
      </w:r>
    </w:p>
    <w:p>
      <w:pPr>
        <w:spacing w:after="0" w:line="7" w:lineRule="exact"/>
        <w:rPr>
          <w:sz w:val="20"/>
          <w:szCs w:val="20"/>
          <w:color w:val="auto"/>
        </w:rPr>
      </w:pPr>
    </w:p>
    <w:p>
      <w:pPr>
        <w:ind w:left="620" w:right="420" w:hanging="773"/>
        <w:spacing w:after="0" w:line="248" w:lineRule="auto"/>
        <w:tabs>
          <w:tab w:leader="none" w:pos="60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Section 302 of the Sarbanes-Oxley Act of 2002.</w:t>
      </w:r>
    </w:p>
    <w:p>
      <w:pPr>
        <w:spacing w:after="0" w:line="3" w:lineRule="exact"/>
        <w:rPr>
          <w:sz w:val="20"/>
          <w:szCs w:val="20"/>
          <w:color w:val="auto"/>
        </w:rPr>
      </w:pPr>
    </w:p>
    <w:p>
      <w:pPr>
        <w:ind w:left="620" w:right="140" w:hanging="773"/>
        <w:spacing w:after="0" w:line="229" w:lineRule="auto"/>
        <w:tabs>
          <w:tab w:leader="none" w:pos="60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Certifications of the Chief Executive Officer and Chief Financial Officer pursuant to 18 U.S.C. Section 1350, as adopted pursuant to Section 906</w:t>
      </w:r>
    </w:p>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u w:val="single" w:color="auto"/>
          <w:color w:val="0000FF"/>
        </w:rPr>
        <w:t>of the Sarbanes-Oxley Act of 2002.</w:t>
      </w:r>
    </w:p>
    <w:p>
      <w:pPr>
        <w:spacing w:after="0" w:line="12" w:lineRule="exact"/>
        <w:rPr>
          <w:sz w:val="20"/>
          <w:szCs w:val="20"/>
          <w:color w:val="auto"/>
        </w:rPr>
      </w:pPr>
    </w:p>
    <w:p>
      <w:pPr>
        <w:ind w:left="780" w:right="40" w:hanging="755"/>
        <w:spacing w:after="0" w:line="221" w:lineRule="auto"/>
        <w:tabs>
          <w:tab w:leader="none" w:pos="62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Extra Space Storage Inc.’s Quarterly Report on Form 10-Q for the quarter ended September 30, 2024,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1" w:lineRule="exact"/>
        <w:rPr>
          <w:sz w:val="20"/>
          <w:szCs w:val="20"/>
          <w:color w:val="auto"/>
        </w:rPr>
      </w:pPr>
    </w:p>
    <w:p>
      <w:pPr>
        <w:ind w:left="780" w:right="60" w:hanging="755"/>
        <w:spacing w:after="0" w:line="248" w:lineRule="auto"/>
        <w:tabs>
          <w:tab w:leader="none" w:pos="62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July 25,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74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July 25,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pacing w:after="0" w:line="34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X</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X</w:t>
      </w:r>
    </w:p>
    <w:p>
      <w:pPr>
        <w:spacing w:after="0" w:line="21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X</w:t>
      </w:r>
    </w:p>
    <w:p>
      <w:pPr>
        <w:spacing w:after="0" w:line="2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X</w:t>
      </w:r>
    </w:p>
    <w:p>
      <w:pPr>
        <w:spacing w:after="0" w:line="39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5920" w:space="280"/>
            <w:col w:w="3760"/>
          </w:cols>
          <w:pgMar w:left="680" w:top="1419" w:right="125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120" w:firstLine="433"/>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INC.</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Registrant</w:t>
            </w:r>
          </w:p>
        </w:tc>
      </w:tr>
      <w:tr>
        <w:trPr>
          <w:trHeight w:val="485"/>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2024</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09"/>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178"/>
        </w:trPr>
        <w:tc>
          <w:tcPr>
            <w:tcW w:w="6300" w:type="dxa"/>
            <w:vAlign w:val="bottom"/>
          </w:tcPr>
          <w:p>
            <w:pPr>
              <w:spacing w:after="0"/>
              <w:rPr>
                <w:sz w:val="15"/>
                <w:szCs w:val="15"/>
                <w:color w:val="auto"/>
              </w:rPr>
            </w:pPr>
          </w:p>
        </w:tc>
        <w:tc>
          <w:tcPr>
            <w:tcW w:w="480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91"/>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2024</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09"/>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180"/>
          </w:cols>
          <w:pgMar w:left="320" w:top="1378" w:right="3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and Guarantors of Guaranteed Securities</w:t>
      </w:r>
    </w:p>
    <w:p>
      <w:pPr>
        <w:spacing w:after="0" w:line="200" w:lineRule="exact"/>
        <w:rPr>
          <w:sz w:val="20"/>
          <w:szCs w:val="20"/>
          <w:color w:val="auto"/>
        </w:rPr>
      </w:pPr>
    </w:p>
    <w:p>
      <w:pPr>
        <w:spacing w:after="0" w:line="26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following entities are included in the Obligated Group, as defined in the Annual Report on Form 10-K of Extra Space Storage Inc. to which this document is being filed as an exhibit, for the 3.500% Senior Notes due 2026, the 3.875% Senior Notes due 2027, the 5.700% Senior Notes due 2028, the 3.900% Senior Notes due 2029, the 4.000% Senior Notes due 2029, the 2.200% Senior Notes due 2030, the 2.550% Senior Notes due 2031, the 2.400% Senior Notes due 2031, the 2.350% Senior Notes due 2032, the 5.400% Senior Notes due 2034, and the 5.350% Senior Notes due 2035 (collectively, the "Notes"). The guarantors have fully and unconditionally guaranteed the Notes on a joint and several basis.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Issuer or Guarantor</w:t>
            </w:r>
          </w:p>
        </w:tc>
        <w:tc>
          <w:tcPr>
            <w:tcW w:w="34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Reported as Issuer or Guarantor</w:t>
            </w:r>
          </w:p>
        </w:tc>
        <w:tc>
          <w:tcPr>
            <w:tcW w:w="29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State of Incorporation or Organization</w:t>
            </w:r>
          </w:p>
        </w:tc>
      </w:tr>
      <w:tr>
        <w:trPr>
          <w:trHeight w:val="24"/>
        </w:trPr>
        <w:tc>
          <w:tcPr>
            <w:tcW w:w="3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LP</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Issuer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Inc.</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Parent Guarantor</w:t>
            </w:r>
          </w:p>
        </w:tc>
        <w:tc>
          <w:tcPr>
            <w:tcW w:w="29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Maryland</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Holdings Business Trust I</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Subsidiary Guarantor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Massachusetts</w:t>
            </w: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Holdings Business Trust II</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Subsidiary Guarantor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Massachusetts</w:t>
            </w:r>
          </w:p>
        </w:tc>
      </w:tr>
    </w:tbl>
    <w:p>
      <w:pPr>
        <w:sectPr>
          <w:pgSz w:w="11900" w:h="16838" w:orient="portrait"/>
          <w:cols w:equalWidth="0" w:num="1">
            <w:col w:w="11240"/>
          </w:cols>
          <w:pgMar w:left="320" w:top="86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Joseph D. Margolis, certify that:</w:t>
      </w:r>
    </w:p>
    <w:p>
      <w:pPr>
        <w:spacing w:after="0" w:line="224" w:lineRule="exact"/>
        <w:rPr>
          <w:sz w:val="20"/>
          <w:szCs w:val="20"/>
          <w:color w:val="auto"/>
        </w:rPr>
      </w:pPr>
    </w:p>
    <w:p>
      <w:pPr>
        <w:ind w:left="640" w:hanging="635"/>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Extra Space Storage Inc.;</w:t>
      </w:r>
    </w:p>
    <w:p>
      <w:pPr>
        <w:spacing w:after="0" w:line="224" w:lineRule="exact"/>
        <w:rPr>
          <w:rFonts w:ascii="Times New Roman" w:cs="Times New Roman" w:eastAsia="Times New Roman" w:hAnsi="Times New Roman"/>
          <w:sz w:val="17"/>
          <w:szCs w:val="17"/>
          <w:color w:val="auto"/>
        </w:rPr>
      </w:pPr>
    </w:p>
    <w:p>
      <w:pPr>
        <w:jc w:val="both"/>
        <w:ind w:left="640" w:right="440" w:hanging="635"/>
        <w:spacing w:after="0" w:line="277"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7"/>
          <w:szCs w:val="17"/>
          <w:color w:val="auto"/>
        </w:rPr>
      </w:pPr>
    </w:p>
    <w:p>
      <w:pPr>
        <w:ind w:left="640" w:right="400" w:hanging="635"/>
        <w:spacing w:after="0" w:line="297"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640" w:right="20" w:hanging="635"/>
        <w:spacing w:after="0" w:line="277"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1260" w:right="100" w:hanging="626"/>
        <w:spacing w:after="0" w:line="277" w:lineRule="auto"/>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260" w:right="360" w:hanging="626"/>
        <w:spacing w:after="0" w:line="277" w:lineRule="auto"/>
        <w:tabs>
          <w:tab w:leader="none" w:pos="12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ind w:left="1260" w:right="100" w:hanging="626"/>
        <w:spacing w:after="0" w:line="277" w:lineRule="auto"/>
        <w:tabs>
          <w:tab w:leader="none" w:pos="12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640" w:right="320" w:hanging="635"/>
        <w:spacing w:after="0" w:line="297"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right="20" w:hanging="626"/>
        <w:spacing w:after="0" w:line="297" w:lineRule="auto"/>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2024</w:t>
            </w:r>
          </w:p>
        </w:tc>
        <w:tc>
          <w:tcPr>
            <w:tcW w:w="218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11"/>
        </w:trPr>
        <w:tc>
          <w:tcPr>
            <w:tcW w:w="3220" w:type="dxa"/>
            <w:vAlign w:val="bottom"/>
          </w:tcPr>
          <w:p>
            <w:pPr>
              <w:spacing w:after="0"/>
              <w:rPr>
                <w:sz w:val="18"/>
                <w:szCs w:val="18"/>
                <w:color w:val="auto"/>
              </w:rPr>
            </w:pPr>
          </w:p>
        </w:tc>
        <w:tc>
          <w:tcPr>
            <w:tcW w:w="218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Name:</w:t>
            </w: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228"/>
        </w:trPr>
        <w:tc>
          <w:tcPr>
            <w:tcW w:w="3220" w:type="dxa"/>
            <w:vAlign w:val="bottom"/>
          </w:tcPr>
          <w:p>
            <w:pPr>
              <w:spacing w:after="0"/>
              <w:rPr>
                <w:sz w:val="19"/>
                <w:szCs w:val="19"/>
                <w:color w:val="auto"/>
              </w:rPr>
            </w:pPr>
          </w:p>
        </w:tc>
        <w:tc>
          <w:tcPr>
            <w:tcW w:w="218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 Scott Stubbs, certify that:</w:t>
      </w:r>
    </w:p>
    <w:p>
      <w:pPr>
        <w:spacing w:after="0" w:line="224" w:lineRule="exact"/>
        <w:rPr>
          <w:sz w:val="20"/>
          <w:szCs w:val="20"/>
          <w:color w:val="auto"/>
        </w:rPr>
      </w:pPr>
    </w:p>
    <w:p>
      <w:pPr>
        <w:ind w:left="640" w:hanging="635"/>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Extra Space Storage Inc.;</w:t>
      </w:r>
    </w:p>
    <w:p>
      <w:pPr>
        <w:spacing w:after="0" w:line="224" w:lineRule="exact"/>
        <w:rPr>
          <w:rFonts w:ascii="Times New Roman" w:cs="Times New Roman" w:eastAsia="Times New Roman" w:hAnsi="Times New Roman"/>
          <w:sz w:val="17"/>
          <w:szCs w:val="17"/>
          <w:color w:val="auto"/>
        </w:rPr>
      </w:pPr>
    </w:p>
    <w:p>
      <w:pPr>
        <w:jc w:val="both"/>
        <w:ind w:left="640" w:right="440" w:hanging="635"/>
        <w:spacing w:after="0" w:line="277"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7"/>
          <w:szCs w:val="17"/>
          <w:color w:val="auto"/>
        </w:rPr>
      </w:pPr>
    </w:p>
    <w:p>
      <w:pPr>
        <w:ind w:left="640" w:right="400" w:hanging="635"/>
        <w:spacing w:after="0" w:line="297"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640" w:right="20" w:hanging="635"/>
        <w:spacing w:after="0" w:line="277"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1260" w:right="100" w:hanging="626"/>
        <w:spacing w:after="0" w:line="277"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260" w:right="360" w:hanging="626"/>
        <w:spacing w:after="0" w:line="277" w:lineRule="auto"/>
        <w:tabs>
          <w:tab w:leader="none" w:pos="12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ind w:left="1260" w:right="100" w:hanging="626"/>
        <w:spacing w:after="0" w:line="277" w:lineRule="auto"/>
        <w:tabs>
          <w:tab w:leader="none" w:pos="12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640" w:right="320" w:hanging="635"/>
        <w:spacing w:after="0" w:line="297"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right="20" w:hanging="626"/>
        <w:spacing w:after="0" w:line="297"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2024</w:t>
            </w:r>
          </w:p>
        </w:tc>
        <w:tc>
          <w:tcPr>
            <w:tcW w:w="218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11"/>
        </w:trPr>
        <w:tc>
          <w:tcPr>
            <w:tcW w:w="3220" w:type="dxa"/>
            <w:vAlign w:val="bottom"/>
          </w:tcPr>
          <w:p>
            <w:pPr>
              <w:spacing w:after="0"/>
              <w:rPr>
                <w:sz w:val="18"/>
                <w:szCs w:val="18"/>
                <w:color w:val="auto"/>
              </w:rPr>
            </w:pPr>
          </w:p>
        </w:tc>
        <w:tc>
          <w:tcPr>
            <w:tcW w:w="218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Name:</w:t>
            </w: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8"/>
        </w:trPr>
        <w:tc>
          <w:tcPr>
            <w:tcW w:w="3220" w:type="dxa"/>
            <w:vAlign w:val="bottom"/>
          </w:tcPr>
          <w:p>
            <w:pPr>
              <w:spacing w:after="0"/>
              <w:rPr>
                <w:sz w:val="19"/>
                <w:szCs w:val="19"/>
                <w:color w:val="auto"/>
              </w:rPr>
            </w:pPr>
          </w:p>
        </w:tc>
        <w:tc>
          <w:tcPr>
            <w:tcW w:w="218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ectPr>
          <w:pgSz w:w="11900" w:h="16838" w:orient="portrait"/>
          <w:cols w:equalWidth="0" w:num="1">
            <w:col w:w="11240"/>
          </w:cols>
          <w:pgMar w:left="320" w:top="86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11"/>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4, 2024</w:t>
            </w:r>
          </w:p>
        </w:tc>
      </w:tr>
    </w:tbl>
    <w:p>
      <w:pPr>
        <w:spacing w:after="0" w:line="28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11"/>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4, 2024</w:t>
            </w:r>
          </w:p>
        </w:tc>
      </w:tr>
    </w:tbl>
    <w:p>
      <w:pPr>
        <w:spacing w:after="0" w:line="1" w:lineRule="exact"/>
        <w:rPr>
          <w:sz w:val="20"/>
          <w:szCs w:val="20"/>
          <w:color w:val="auto"/>
        </w:rPr>
      </w:pP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9"/>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decimal"/>
      <w:start w:val="101"/>
    </w:lvl>
  </w:abstractNum>
  <w:abstractNum w:abstractNumId="15">
    <w:nsid w:val="25E45D32"/>
    <w:multiLevelType w:val="hybridMultilevel"/>
    <w:lvl w:ilvl="0">
      <w:lvlJc w:val="left"/>
      <w:lvlText w:val="%1"/>
      <w:numFmt w:val="decimal"/>
      <w:start w:val="104"/>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7" Type="http://schemas.openxmlformats.org/officeDocument/2006/relationships/image" Target="media/image55.png"/><Relationship Id="rId88" Type="http://schemas.openxmlformats.org/officeDocument/2006/relationships/image" Target="media/image56.png"/><Relationship Id="rId91" Type="http://schemas.openxmlformats.org/officeDocument/2006/relationships/image" Target="media/image57.png"/><Relationship Id="rId62" Type="http://schemas.openxmlformats.org/officeDocument/2006/relationships/hyperlink" Target="https://www.sec.gov/Archives/edgar/data/1289490/000119312524096283/d741588dex12.htm" TargetMode="External"/><Relationship Id="rId63" Type="http://schemas.openxmlformats.org/officeDocument/2006/relationships/hyperlink" Target="https://www.sec.gov/Archives/edgar/data/1289490/000119312523089776/d487333dex21.htm" TargetMode="External"/><Relationship Id="rId64" Type="http://schemas.openxmlformats.org/officeDocument/2006/relationships/hyperlink" Target="https://www.sec.gov/Archives/edgar/data/1289490/000119312523149320/d486997dex21.htm" TargetMode="External"/><Relationship Id="rId65" Type="http://schemas.openxmlformats.org/officeDocument/2006/relationships/hyperlink" Target="https://www.sec.gov/Archives/edgar/data/1289490/000119312504136936/dex31.htm" TargetMode="External"/><Relationship Id="rId66" Type="http://schemas.openxmlformats.org/officeDocument/2006/relationships/hyperlink" Target="https://www.sec.gov/Archives/edgar/data/1289490/000110465907072983/a07-25208_1ex3d1.htm" TargetMode="External"/><Relationship Id="rId67" Type="http://schemas.openxmlformats.org/officeDocument/2006/relationships/hyperlink" Target="https://www.sec.gov/Archives/edgar/data/1289490/000110465913067080/a13-19441_1ex3d1.htm" TargetMode="External"/><Relationship Id="rId68" Type="http://schemas.openxmlformats.org/officeDocument/2006/relationships/hyperlink" Target="https://www.sec.gov/Archives/edgar/data/1289490/000110465914042025/a14-13799_18k.htm" TargetMode="External"/><Relationship Id="rId69" Type="http://schemas.openxmlformats.org/officeDocument/2006/relationships/hyperlink" Target="https://www.sec.gov/Archives/edgar/data/1289490/000162828018000388/exr-form8xkxproxyaccessand.htm" TargetMode="External"/><Relationship Id="rId70" Type="http://schemas.openxmlformats.org/officeDocument/2006/relationships/hyperlink" Target="https://www.sec.gov/Archives/edgar/data/1289490/000110465913088877/a13-25830_1ex10d1.htm" TargetMode="External"/><Relationship Id="rId71" Type="http://schemas.openxmlformats.org/officeDocument/2006/relationships/hyperlink" Target="https://www.sec.gov/Archives/edgar/data/1289490/000104746910001564/a2196671zex-4_3.htm" TargetMode="External"/><Relationship Id="rId72" Type="http://schemas.openxmlformats.org/officeDocument/2006/relationships/hyperlink" Target="https://www.sec.gov/Archives/edgar/data/1289490/000162828020002202/ex46descriptionofsecur.htm" TargetMode="External"/><Relationship Id="rId73" Type="http://schemas.openxmlformats.org/officeDocument/2006/relationships/hyperlink" Target="https://www.sec.gov/Archives/edgar/data/1289490/000119312521157616/d469365dex41.htm" TargetMode="External"/><Relationship Id="rId74" Type="http://schemas.openxmlformats.org/officeDocument/2006/relationships/hyperlink" Target="https://www.sec.gov/Archives/edgar/data/1289490/000119312521157616/d469365dex42.htm" TargetMode="External"/><Relationship Id="rId75" Type="http://schemas.openxmlformats.org/officeDocument/2006/relationships/hyperlink" Target="https://www.sec.gov/Archives/edgar/data/1289490/000119312521279380/d192404dex42.htm" TargetMode="External"/><Relationship Id="rId76" Type="http://schemas.openxmlformats.org/officeDocument/2006/relationships/hyperlink" Target="https://www.sec.gov/Archives/edgar/data/1289490/000119312522092010/d323264dex42.htm" TargetMode="External"/><Relationship Id="rId78" Type="http://schemas.openxmlformats.org/officeDocument/2006/relationships/hyperlink" Target="https://www.sec.gov/Archives/edgar/data/1289490/000119312523082217/d472175dex42.htm" TargetMode="External"/><Relationship Id="rId79" Type="http://schemas.openxmlformats.org/officeDocument/2006/relationships/hyperlink" Target="https://www.sec.gov/Archives/edgar/data/1289490/000119312523168983/d523023dex42.htm" TargetMode="External"/><Relationship Id="rId80" Type="http://schemas.openxmlformats.org/officeDocument/2006/relationships/hyperlink" Target="https://www.sec.gov/Archives/edgar/data/1289490/000119312523193502/d541032dex44.htm" TargetMode="External"/><Relationship Id="rId81" Type="http://schemas.openxmlformats.org/officeDocument/2006/relationships/hyperlink" Target="https://www.sec.gov/Archives/edgar/data/1289490/000119312523193502/d541032dex45.htm" TargetMode="External"/><Relationship Id="rId82" Type="http://schemas.openxmlformats.org/officeDocument/2006/relationships/hyperlink" Target="https://www.sec.gov/Archives/edgar/data/1289490/000119312523193502/d541032dex46.htm" TargetMode="External"/><Relationship Id="rId83" Type="http://schemas.openxmlformats.org/officeDocument/2006/relationships/hyperlink" Target="https://www.sec.gov/Archives/edgar/data/1289490/000119312523193502/d541032dex47.htm" TargetMode="External"/><Relationship Id="rId84" Type="http://schemas.openxmlformats.org/officeDocument/2006/relationships/hyperlink" Target="https://www.sec.gov/Archives/edgar/data/1289490/000119312523193502/d541032dex48.htm" TargetMode="External"/><Relationship Id="rId85" Type="http://schemas.openxmlformats.org/officeDocument/2006/relationships/hyperlink" Target="https://www.sec.gov/Archives/edgar/data/1289490/000119312523287450/d931858dex42.htm" TargetMode="External"/><Relationship Id="rId86" Type="http://schemas.openxmlformats.org/officeDocument/2006/relationships/hyperlink" Target="https://www.sec.gov/Archives/edgar/data/1289490/000119312524011229/d698894dex42.htm" TargetMode="External"/><Relationship Id="rId87" Type="http://schemas.openxmlformats.org/officeDocument/2006/relationships/hyperlink" Target="https://www.sec.gov/Archives/edgar/data/1289490/000119312524198858/d697086dex42.htm" TargetMode="External"/><Relationship Id="rId89" Type="http://schemas.openxmlformats.org/officeDocument/2006/relationships/hyperlink" Target="https://www.sec.gov/Archives/edgar/data/944314/000119312516626433/d212449dex41.htm" TargetMode="External"/><Relationship Id="rId90" Type="http://schemas.openxmlformats.org/officeDocument/2006/relationships/hyperlink" Target="https://www.sec.gov/Archives/edgar/data/1289490/000119312523193502/d54103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2024-11-04T16:10:38Z</dcterms:created>
  <dcterms:modified xsi:type="dcterms:W3CDTF">2024-11-04T16:10:38Z</dcterms:modified>
</cp:coreProperties>
</file>