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260" w:hanging="448"/>
        <w:spacing w:after="0" w:line="256" w:lineRule="auto"/>
        <w:tabs>
          <w:tab w:leader="none" w:pos="65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220" w:hanging="448"/>
        <w:spacing w:after="0" w:line="256" w:lineRule="auto"/>
        <w:tabs>
          <w:tab w:leader="none" w:pos="69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80" w:space="720"/>
            <w:col w:w="200" w:space="720"/>
            <w:col w:w="3700"/>
          </w:cols>
          <w:pgMar w:left="240" w:top="233"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001-32269</w:t>
      </w:r>
    </w:p>
    <w:p>
      <w:pPr>
        <w:sectPr>
          <w:pgSz w:w="11900" w:h="16838" w:orient="portrait"/>
          <w:cols w:equalWidth="0" w:num="1">
            <w:col w:w="11420"/>
          </w:cols>
          <w:pgMar w:left="240" w:top="233"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The number of shares outstanding of the registrant’s common stock, par value $0.01 per share, as of October 29, 2010 was 87,546,587.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442595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17"/>
                <w:szCs w:val="17"/>
                <w:color w:val="auto"/>
              </w:rPr>
            </w:pPr>
          </w:p>
        </w:tc>
      </w:tr>
      <w:tr>
        <w:trPr>
          <w:trHeight w:val="453"/>
        </w:trPr>
        <w:tc>
          <w:tcPr>
            <w:tcW w:w="2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8"/>
              </w:rPr>
              <w:t>EXTRA SPACE STORAGE INC.</w:t>
            </w:r>
          </w:p>
        </w:tc>
        <w:tc>
          <w:tcPr>
            <w:tcW w:w="224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4"/>
                <w:szCs w:val="24"/>
                <w:color w:val="auto"/>
              </w:rPr>
            </w:pPr>
          </w:p>
        </w:tc>
      </w:tr>
      <w:tr>
        <w:trPr>
          <w:trHeight w:val="392"/>
        </w:trPr>
        <w:tc>
          <w:tcPr>
            <w:tcW w:w="9180" w:type="dxa"/>
            <w:vAlign w:val="bottom"/>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gridSpan w:val="2"/>
          </w:tcPr>
          <w:p>
            <w:pPr>
              <w:spacing w:after="0"/>
              <w:rPr>
                <w:sz w:val="17"/>
                <w:szCs w:val="17"/>
                <w:color w:val="auto"/>
              </w:rPr>
            </w:pPr>
          </w:p>
        </w:tc>
        <w:tc>
          <w:tcPr>
            <w:tcW w:w="4480" w:type="dxa"/>
            <w:vAlign w:val="bottom"/>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0" w:type="dxa"/>
            <w:vAlign w:val="bottom"/>
          </w:tcPr>
          <w:p>
            <w:pPr>
              <w:spacing w:after="0"/>
              <w:rPr>
                <w:sz w:val="17"/>
                <w:szCs w:val="17"/>
                <w:color w:val="auto"/>
              </w:rPr>
            </w:pPr>
          </w:p>
        </w:tc>
        <w:tc>
          <w:tcPr>
            <w:tcW w:w="282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2">
              <w:r>
                <w:rPr>
                  <w:rFonts w:ascii="Arial" w:cs="Arial" w:eastAsia="Arial" w:hAnsi="Arial"/>
                  <w:sz w:val="18"/>
                  <w:szCs w:val="18"/>
                  <w:color w:val="0000EE"/>
                  <w:w w:val="97"/>
                </w:rPr>
                <w:t>ITEM 1. FINANCIAL STATEMENTS</w:t>
              </w:r>
            </w:hyperlink>
          </w:p>
        </w:tc>
        <w:tc>
          <w:tcPr>
            <w:tcW w:w="6080" w:type="dxa"/>
            <w:vAlign w:val="bottom"/>
            <w:gridSpan w:val="2"/>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026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260" w:type="dxa"/>
            <w:vAlign w:val="bottom"/>
            <w:gridSpan w:val="1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00" w:type="dxa"/>
            <w:vAlign w:val="bottom"/>
          </w:tcPr>
          <w:p>
            <w:pPr>
              <w:spacing w:after="0"/>
              <w:rPr>
                <w:sz w:val="17"/>
                <w:szCs w:val="17"/>
                <w:color w:val="auto"/>
              </w:rPr>
            </w:pPr>
          </w:p>
        </w:tc>
        <w:tc>
          <w:tcPr>
            <w:tcW w:w="95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7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00" w:type="dxa"/>
            <w:vAlign w:val="bottom"/>
          </w:tcPr>
          <w:p>
            <w:pPr>
              <w:spacing w:after="0"/>
              <w:rPr>
                <w:sz w:val="17"/>
                <w:szCs w:val="17"/>
                <w:color w:val="auto"/>
              </w:rPr>
            </w:pPr>
          </w:p>
        </w:tc>
        <w:tc>
          <w:tcPr>
            <w:tcW w:w="67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34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3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778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00" w:type="dxa"/>
            <w:vAlign w:val="bottom"/>
          </w:tcPr>
          <w:p>
            <w:pPr>
              <w:spacing w:after="0"/>
              <w:rPr>
                <w:sz w:val="17"/>
                <w:szCs w:val="17"/>
                <w:color w:val="auto"/>
              </w:rPr>
            </w:pPr>
          </w:p>
        </w:tc>
        <w:tc>
          <w:tcPr>
            <w:tcW w:w="10260" w:type="dxa"/>
            <w:vAlign w:val="bottom"/>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00" w:type="dxa"/>
            <w:vAlign w:val="bottom"/>
          </w:tcPr>
          <w:p>
            <w:pPr>
              <w:spacing w:after="0"/>
              <w:rPr>
                <w:sz w:val="17"/>
                <w:szCs w:val="17"/>
                <w:color w:val="auto"/>
              </w:rPr>
            </w:pPr>
          </w:p>
        </w:tc>
        <w:tc>
          <w:tcPr>
            <w:tcW w:w="2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774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3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7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2. UNREGISTERED SALES OF EQUITY SECURITIES AND USE OF PROCEEDS</w:t>
              </w:r>
            </w:hyperlink>
          </w:p>
        </w:tc>
        <w:tc>
          <w:tcPr>
            <w:tcW w:w="354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00" w:type="dxa"/>
            <w:vAlign w:val="bottom"/>
          </w:tcPr>
          <w:p>
            <w:pPr>
              <w:spacing w:after="0"/>
              <w:rPr>
                <w:sz w:val="17"/>
                <w:szCs w:val="17"/>
                <w:color w:val="auto"/>
              </w:rPr>
            </w:pPr>
          </w:p>
        </w:tc>
        <w:tc>
          <w:tcPr>
            <w:tcW w:w="384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3. DEFAULTS UPON SENIOR SECURITIES</w:t>
              </w:r>
            </w:hyperlink>
          </w:p>
        </w:tc>
        <w:tc>
          <w:tcPr>
            <w:tcW w:w="642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0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4. REMOVED AND RESERVED</w:t>
              </w:r>
            </w:hyperlink>
          </w:p>
        </w:tc>
        <w:tc>
          <w:tcPr>
            <w:tcW w:w="732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0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ITEM 5. OTHER INFORMATION</w:t>
              </w:r>
            </w:hyperlink>
          </w:p>
        </w:tc>
        <w:tc>
          <w:tcPr>
            <w:tcW w:w="772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00" w:type="dxa"/>
            <w:vAlign w:val="bottom"/>
          </w:tcPr>
          <w:p>
            <w:pPr>
              <w:spacing w:after="0"/>
              <w:rPr>
                <w:sz w:val="17"/>
                <w:szCs w:val="17"/>
                <w:color w:val="auto"/>
              </w:rPr>
            </w:pPr>
          </w:p>
        </w:tc>
        <w:tc>
          <w:tcPr>
            <w:tcW w:w="10260" w:type="dxa"/>
            <w:vAlign w:val="bottom"/>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6. EXHIBITS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00" w:type="dxa"/>
            <w:vAlign w:val="bottom"/>
          </w:tcPr>
          <w:p>
            <w:pPr>
              <w:spacing w:after="0"/>
              <w:rPr>
                <w:sz w:val="17"/>
                <w:szCs w:val="17"/>
                <w:color w:val="auto"/>
              </w:rPr>
            </w:pPr>
          </w:p>
        </w:tc>
        <w:tc>
          <w:tcPr>
            <w:tcW w:w="14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880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453"/>
        </w:trPr>
        <w:tc>
          <w:tcPr>
            <w:tcW w:w="30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5380" w:type="dxa"/>
            <w:vAlign w:val="bottom"/>
            <w:gridSpan w:val="9"/>
          </w:tcPr>
          <w:p>
            <w:pPr>
              <w:jc w:val="right"/>
              <w:ind w:right="10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32"/>
        </w:trPr>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conditions, the real estate industry and the markets in which we operate;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self-storage facilities or other storage alternatives, which could cause rents and occupancy rates to decline;</w:t>
      </w:r>
    </w:p>
    <w:p>
      <w:pPr>
        <w:spacing w:after="0" w:line="236" w:lineRule="exact"/>
        <w:rPr>
          <w:rFonts w:ascii="Arial" w:cs="Arial" w:eastAsia="Arial" w:hAnsi="Arial"/>
          <w:sz w:val="17"/>
          <w:szCs w:val="17"/>
          <w:color w:val="auto"/>
        </w:rPr>
      </w:pPr>
    </w:p>
    <w:p>
      <w:pPr>
        <w:ind w:left="660" w:right="3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and developments successfully and to lease up those properties, which could adversely affect our profitability;</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as well as national, state, and local laws and regulations including, without limitation, those governing real estate investment trusts (“REITS”), which could increase our expenses and reduce our cash available for distribution;</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at reasonable rates or at all, which could impede our ability to grow;</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 and operating costs;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our joint venture partners to fulfill their obligations to us or their pursuit of actions that are inconsistent with our objectives;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federal income tax purposes;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attract and retain qualified personnel and management members.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September 30, 2010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December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Real estate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1,873,161</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Real estate under development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29,537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34,427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1,902,698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144,121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21,798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131,950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24,593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2,175,150</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2,407,556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851,812</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Notes payable to trusts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119,590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119,590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Discount on exchangeable senior notes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(2,633)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37,445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33,386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1,241,118</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1,461,337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Extra Space Storage Inc. stockholders’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w w:val="95"/>
              </w:rPr>
              <w:t>Preferred stock, $0.01 par value, 50,000,000 shares authorized, no shares issued or outstanding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$0.01 par value, 300,000,000 shares authorized, 87,545,312 and 86,721,841 shares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September 30, 2010 and December 31, 2009,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1,146,903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1,138,243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(262,666)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(253,875)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Extra Space Storage Inc. stockholders’ equity</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876,582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Pr>
          <w:p>
            <w:pPr>
              <w:ind w:left="160"/>
              <w:spacing w:after="0" w:line="201" w:lineRule="exact"/>
              <w:rPr>
                <w:sz w:val="20"/>
                <w:szCs w:val="20"/>
                <w:color w:val="auto"/>
              </w:rPr>
            </w:pPr>
            <w:r>
              <w:rPr>
                <w:rFonts w:ascii="Arial" w:cs="Arial" w:eastAsia="Arial" w:hAnsi="Arial"/>
                <w:sz w:val="18"/>
                <w:szCs w:val="18"/>
                <w:color w:val="auto"/>
                <w:w w:val="94"/>
              </w:rPr>
              <w:t>Noncontrolling interest represented by Preferred Operating Partnership units, net of $100,000 note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receivable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29,701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29,886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 in Operating Partnership</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Other noncontrolling interests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noncontrolling interests and equity</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934,032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Arial" w:cs="Arial" w:eastAsia="Arial" w:hAnsi="Arial"/>
                <w:sz w:val="18"/>
                <w:szCs w:val="18"/>
                <w:color w:val="auto"/>
              </w:rPr>
              <w:t>Total liabilities, noncontrolling interests and equity</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2,175,150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2,407,556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Three months ended 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Property rental</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59,332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60,380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172,261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and franchise fees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17,056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19,026</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208,343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Property operations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21,334</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64,231</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Unrecovered development and acquisition costs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sublease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Severance costs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10,618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32,903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12,519</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37,140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39,160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52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104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9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10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9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48,418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141,113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23,561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67,230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(15,702)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(49,209)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color w:val="auto"/>
              </w:rPr>
              <w:t>Non-cash interest expense related to amortization of discount on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exchangeable senior notes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color w:val="auto"/>
              </w:rPr>
              <w:t>Interest income on note receivable from Preferred Operating</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Partnership unit holder</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3,638</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exchangeable senior notes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80" w:type="dxa"/>
            <w:vAlign w:val="bottom"/>
          </w:tcPr>
          <w:p>
            <w:pPr>
              <w:spacing w:after="0" w:line="182" w:lineRule="exact"/>
              <w:rPr>
                <w:sz w:val="20"/>
                <w:szCs w:val="20"/>
                <w:color w:val="auto"/>
              </w:rPr>
            </w:pPr>
            <w:r>
              <w:rPr>
                <w:rFonts w:ascii="Arial" w:cs="Arial" w:eastAsia="Arial" w:hAnsi="Arial"/>
                <w:sz w:val="18"/>
                <w:szCs w:val="18"/>
                <w:color w:val="auto"/>
                <w:w w:val="92"/>
              </w:rPr>
              <w:t>Income before equity in earnings of real estate ventures and income tax</w:t>
            </w: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8,834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6,548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21,137</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4,796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22,586</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allocated to Preferred Operating Partnership</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(1,524)</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(4,510)</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color w:val="auto"/>
              </w:rPr>
              <w:t>Net income allocated to Operating Partnership and other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87,484,731</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86,437,877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87,244,161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86,260,442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92,189,852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91,548,984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91,969,869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91,321,503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Noncontrolling Interests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11"/>
          </w:tcPr>
          <w:p>
            <w:pPr>
              <w:jc w:val="right"/>
              <w:ind w:right="80"/>
              <w:spacing w:after="0"/>
              <w:rPr>
                <w:sz w:val="20"/>
                <w:szCs w:val="20"/>
                <w:color w:val="auto"/>
              </w:rPr>
            </w:pPr>
            <w:r>
              <w:rPr>
                <w:rFonts w:ascii="Arial" w:cs="Arial" w:eastAsia="Arial" w:hAnsi="Arial"/>
                <w:sz w:val="14"/>
                <w:szCs w:val="14"/>
                <w:b w:val="1"/>
                <w:bCs w:val="1"/>
                <w:color w:val="auto"/>
                <w:w w:val="93"/>
              </w:rPr>
              <w:t>Extra Space Storage Inc. Stockholders’ Equity</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7"/>
              </w:rPr>
              <w:t>Par Value</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Partnership</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Partnership</w:t>
            </w: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2009</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29,886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31,381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86,721,841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$ 1,138,243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(253,875)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$ 946,219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the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options</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442,990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5,097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Restricted stock grants issued</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442,330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cancelled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(61,849)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1"/>
              </w:rPr>
              <w:t>Compensation expense related to stock-</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based awards</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3,457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Deconsolidation of noncontrolling</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9"/>
              </w:rPr>
              <w:t>Redemption of Operating Partnership</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units for cash</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(4,116)</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Investments from other noncontrolling</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Purchase of noncontrolling interest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4,510</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17,415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22,586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interest rate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swap</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(7,474)</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effect from vesting of restricted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grants and stock option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exercises</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5"/>
              </w:rPr>
              <w:t>Tax effect from contribution of property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to Taxable REIT Subsidiary</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(889)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Distributions to Operating Partnership</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units held by noncontrolling interests</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w w:val="99"/>
              </w:rPr>
              <w:t>Dividends paid on common stock at</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(26,206)</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(26,206)</w:t>
            </w:r>
          </w:p>
        </w:tc>
      </w:tr>
      <w:tr>
        <w:trPr>
          <w:trHeight w:val="230"/>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$0.30 per share</w:t>
            </w:r>
          </w:p>
        </w:tc>
        <w:tc>
          <w:tcPr>
            <w:tcW w:w="2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2010</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29,701</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26,608</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87,545,312</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$ 1,146,903</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(262,666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$ 934,032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22,586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37,140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w w:val="98"/>
              </w:rPr>
              <w:t>Non-cash interest expense related to amortization of discount on exchangeable senior notes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1,236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repurchase of exchangeable senior notes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Compensation expense related to stock-based awards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unrecovered development and acquisition costs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Loss on sublease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Severance costs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4,830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(1,237)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2,059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66,092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real estate assets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(28,523)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properties to joint venture (Note 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Investments in real estate ventures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(9,371)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of investment in real estate ventures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Change in restricted cash</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6,315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equipment and fixtures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(87,360)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exchangeable senior notes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Proceeds from notes payable and lines of credit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131,124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382,879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notes payable and lines of credit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(2,674)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from other noncontrolling interests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Redemption of Operating Partnership units held by noncontrolling interest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(4,116)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(26,206)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 in Operating Partnership</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(150,387)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58,288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131,950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6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45,593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joint ventures due to application of Accounting Standards Codification 810: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Real estate assets, net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(42,739)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in real estate ventures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21,142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 and other liabilities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Notes payable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21,348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noncontrolling interests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Conversion of Operating Partnership units held by noncontrolling interests for common stock</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real estate assets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Real estate assets, net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6,475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Extra Space Storage Inc. (the “Company”) is a self-administered and self-managed real estate investment trust (“REIT”), formed as a Maryland corporation on April 30, 2004 to own, operate, manage, acquire, develop and redevelop professionally managed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To the extent the Company continues to qualify as a REIT, it will not be subject to tax, with certain limited exceptions, on the taxable income that is distributed to its stockholders.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invests in self-storage facilities by acquiring or developing wholly-owned facilities or by acquiring an equity interest in real estate entities. At September 30, 2010, the Company had direct and indirect equity interests in 652 operating storage facilities. In addition, the Company managed 157 properties for franchisees and third parties, bringing the total number of operating properties which it owns and/or manages to 809 located in 34 states and Washington, D.C.</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operates in three distinct segments: (1) property management, acquisition and development; (2) rental operations; and (3) tenant reinsurance. The Company’s property management, acquisition and development activities include managing, acquiring, developing and selling self-storage facilities. On June 2, 2009, the Company announced the wind-down of its development activities. As of September 30, 2010, there were six development projects in process that the Company expects to complete by the end of the second quarter of 2011. The rental operations activities include rental operations of self-storage facilities. No single tenant accounts for more than 5% of rental income. Tenant reinsurance activities include the reinsurance of risks relating to the loss of goods stored by tenants in the Company’s self storage facilities.</w:t>
      </w:r>
    </w:p>
    <w:p>
      <w:pPr>
        <w:spacing w:after="0" w:line="17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unaudited condensed consolidated financial statements of the Company are presented on the accrual basis of accounting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U.S. generally accepted accounting principles (“GAAP”) for interim financial information and in accordance with the instructions to Form 10-Q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Article 10 of Regulation S-X. Accordingly, they may not include all of the information and footnotes required by GAAP for complete financial statements.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opinion of management, all adjustments (including normal recurring accruals) considered necessary for a fair presentation have been included.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results for the three and nine months ended September 30, 2010 are not necessarily indicative of results that may be expected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The Condensed Consolidated Balance Sheet as of December 31, 2009 has been derived from the Company’s audited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that date, but does not include all of the information and footnotes required by GAAP for complete financial statements. For further information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and footnotes thereto included in the Company’s Annual Report on Form 10-K for the year ended December 31, 2009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filed with the Securities and Exchange Commission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June 2009, the Financial Accounting Standards Board (“FASB”) issued changes to Accounting Standards Codification (“ASC”) 810, “</w:t>
      </w:r>
      <w:r>
        <w:rPr>
          <w:rFonts w:ascii="Arial" w:cs="Arial" w:eastAsia="Arial" w:hAnsi="Arial"/>
          <w:sz w:val="17"/>
          <w:szCs w:val="17"/>
          <w:i w:val="1"/>
          <w:iCs w:val="1"/>
          <w:color w:val="auto"/>
        </w:rPr>
        <w:t>Consolidation,</w:t>
      </w:r>
      <w:r>
        <w:rPr>
          <w:rFonts w:ascii="Arial" w:cs="Arial" w:eastAsia="Arial" w:hAnsi="Arial"/>
          <w:sz w:val="17"/>
          <w:szCs w:val="17"/>
          <w:color w:val="auto"/>
        </w:rPr>
        <w:t>” which amended guidance for determining whether an entity is a variable interest entity (“VIE”), and requires the performance of a qualitative rather than a quantitative analysis to determine the primary beneficiary of a VIE. Under this guidance, an entity would be required to consolidate a VIE if it has (i) the power to direct the activities that most significantly impact the entity’s economic performance and (ii) the obligation to absorb losses of the VIE or the right to receive benefits from the VIE that could be significant to the VIE. This guidance became effective for the first annual reporting period that began after November 15, 2009, with early adoption prohibited. The Company adopted this guidance effective January 1, 2010 and reviewed the terms for all joint ventures in relation to the new guidance. As a result of this analysis, the Company determined that five joint ventures that were consolidated under the previous accounting guidance should be deconsolidated as of January 1, 2010. The assets and liabilities associated with these joint ventures were removed from the Company’s financial statements and the Company’s investments in these joint ventures were recorded under the equity method of accounting during the three and nine months ended September 30, 2010.</w:t>
      </w:r>
    </w:p>
    <w:p>
      <w:pPr>
        <w:sectPr>
          <w:pgSz w:w="11900" w:h="16838" w:orient="portrait"/>
          <w:cols w:equalWidth="0" w:num="1">
            <w:col w:w="11420"/>
          </w:cols>
          <w:pgMar w:left="240" w:top="118"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Certain amounts in the 2009 financial statements and supporting note disclosures have been reclassified to conform to the current year presentation. Such reclassifications did not impact previously reported net income or accumulated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80" w:type="dxa"/>
            <w:vAlign w:val="bottom"/>
            <w:gridSpan w:val="9"/>
          </w:tcPr>
          <w:p>
            <w:pPr>
              <w:ind w:left="12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Borders>
              <w:top w:val="single" w:sz="8" w:color="auto"/>
            </w:tcBorders>
          </w:tcPr>
          <w:p>
            <w:pPr>
              <w:jc w:val="center"/>
              <w:ind w:left="128"/>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Significant Other</w:t>
            </w: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64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91"/>
              </w:rPr>
              <w:t>September 30, 2010</w:t>
            </w:r>
          </w:p>
        </w:tc>
        <w:tc>
          <w:tcPr>
            <w:tcW w:w="17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Assets (Level 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 Swap Agreement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(2,351)</w:t>
            </w:r>
          </w:p>
        </w:tc>
        <w:tc>
          <w:tcPr>
            <w:tcW w:w="1720" w:type="dxa"/>
            <w:vAlign w:val="bottom"/>
            <w:shd w:val="clear" w:color="auto" w:fill="CCEEFF"/>
          </w:tcPr>
          <w:p>
            <w:pPr>
              <w:jc w:val="right"/>
              <w:ind w:right="1568"/>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Other liabilities - Swap Agreement 2</w:t>
            </w:r>
          </w:p>
        </w:tc>
        <w:tc>
          <w:tcPr>
            <w:tcW w:w="12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(1,909)</w:t>
            </w:r>
          </w:p>
        </w:tc>
        <w:tc>
          <w:tcPr>
            <w:tcW w:w="17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 Swap Agreement 3</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(957)</w:t>
            </w:r>
          </w:p>
        </w:tc>
        <w:tc>
          <w:tcPr>
            <w:tcW w:w="1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Other liabilities - Swap Agreement 4</w:t>
            </w:r>
          </w:p>
        </w:tc>
        <w:tc>
          <w:tcPr>
            <w:tcW w:w="12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(679)</w:t>
            </w:r>
          </w:p>
        </w:tc>
        <w:tc>
          <w:tcPr>
            <w:tcW w:w="17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 Swap Agreement 5</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(1,063)</w:t>
            </w:r>
          </w:p>
        </w:tc>
        <w:tc>
          <w:tcPr>
            <w:tcW w:w="1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Other liabilities - Swap Agreement 6</w:t>
            </w:r>
          </w:p>
        </w:tc>
        <w:tc>
          <w:tcPr>
            <w:tcW w:w="12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(2,014)</w:t>
            </w:r>
          </w:p>
        </w:tc>
        <w:tc>
          <w:tcPr>
            <w:tcW w:w="17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30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ind w:right="156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fair value of our derivatives is based on quoted market prices of similar instruments from various banking institutions or an independent third party provider for similar instruments. In determining the fair value, we consider our non-performance risk and that of our counterparties.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(Level 3) for the three and nine months ended September 30,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Long-lived assets held for use are evaluated for impairment when events or circumstances indicate there may be impairment. The Company reviews each self-storage facility at least annually to determine if any such events or circumstances have occurred or exist. The Company focuses on facilities where occupancy and/or rental income have decreased by a significant amount. For these facilities, the Company determines whether the decrease is temporary or permanent and whether the facility will likely recover the lost occupancy and/or revenue in the short term. In addition, the Company carefully reviews facilities in the lease-up stage and compares actual operating results to original projections.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then a valuation allowance is established. The operations of assets held for sale or sold during the period are generally presented as discontinued operations for all periods presented.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assesses whether there are any indicators that the value of its investments in unconsolidated real estate ventures may be impaired annually and when events or circumstances indicate there may be impairment. An investment is impaired if the Company’s estimate of the fair value of the investment is less than its carrying value. To the extent impairment has occurred, and is considered to be other-than-temporary, the loss is measured as the excess of the carrying amount over the fair value of the investment.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treats property acquisitions as businesses and records the related assets and liabilities at their fair values as of the acquisition date. Acquisition-related transaction costs are expensed as incurred. Intangible assets, which represent the value of existing tenant relationships, are recorded at their fair values based on the avoided cost to replace the current leases. The Company measures the value of tenant relationships based on the Company’s historical experience with turnover in its facilities. Debt assumed as part of an acquisition is recorded at fair value based on current interest rates compared to contractual rates.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On June 2, 2009, the Company announced the wind-down of its development activities. As a result of this decision, the Company reviewed its properties under construction, unimproved land and its investments in development joint ventures for potential impairments. This review included the preparation of updated models based on current market conditions, obtaining appraisals and reviewing recent sales and list prices of undeveloped land and mature self storage facilities. Based on this review, the Company identified certain assets as being impaired. The impairments relating to long lived assets where the Company intends to complete the development and hold the assets are the result of the estimated future undiscounted cash flows being less than the current carrying value of the assets. The Company compared the carrying value of certain undeveloped land and seven vacant condominiums that the Company</w:t>
      </w:r>
    </w:p>
    <w:p>
      <w:pPr>
        <w:sectPr>
          <w:pgSz w:w="11900" w:h="16838" w:orient="portrait"/>
          <w:cols w:equalWidth="0" w:num="1">
            <w:col w:w="11400"/>
          </w:cols>
          <w:pgMar w:left="240" w:top="341" w:right="259" w:bottom="0" w:gutter="0" w:footer="0" w:header="0"/>
        </w:sectPr>
      </w:pPr>
    </w:p>
    <w:bookmarkStart w:id="7" w:name="page8"/>
    <w:bookmarkEnd w:id="7"/>
    <w:p>
      <w:pPr>
        <w:ind w:right="160"/>
        <w:spacing w:after="0" w:line="272" w:lineRule="auto"/>
        <w:rPr>
          <w:sz w:val="20"/>
          <w:szCs w:val="20"/>
          <w:color w:val="auto"/>
        </w:rPr>
      </w:pPr>
      <w:r>
        <w:rPr>
          <w:rFonts w:ascii="Arial" w:cs="Arial" w:eastAsia="Arial" w:hAnsi="Arial"/>
          <w:sz w:val="17"/>
          <w:szCs w:val="17"/>
          <w:color w:val="auto"/>
        </w:rPr>
        <w:t>intends to sell to the fair value of similar undeveloped land and condominiums. For the assets that the Company intends to sell, where the current estimated fair market value less costs to sell was below the carrying value, the Company reduced the carrying value of the assets to the current fair market value less selling costs and recorded an impairment charge. These assets are classified as held for sale. The impairments relating to investments in development joint ventures are the result of the Company comparing the estimated current fair value to the carrying value of the investment. For those investments in development joint ventures where the current estimated fair market value was below the carrying value, the Company reduced the investment to the current fair market value through an impairment charge. Losses relating to changes in fair value have been included in unrecovered development and acquisition costs on the Company’s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 rate notes payable and notes payable to trusts, lines of credit and other liabilities reflected in the condensed consolidated balance sheets at September 30, 2010 and December 31, 2009 approximate fair value. The fair values of the Company’s notes receivable and fixed rate notes payable and notes payable to trusts are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 2010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December 31, 2009</w:t>
            </w:r>
          </w:p>
        </w:tc>
      </w:tr>
      <w:tr>
        <w:trPr>
          <w:trHeight w:val="119"/>
        </w:trPr>
        <w:tc>
          <w:tcPr>
            <w:tcW w:w="4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78"/>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58"/>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Value</w:t>
            </w:r>
          </w:p>
        </w:tc>
      </w:tr>
      <w:tr>
        <w:trPr>
          <w:trHeight w:val="182"/>
        </w:trPr>
        <w:tc>
          <w:tcPr>
            <w:tcW w:w="4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Note receivable from Preferred Operating Partnership unit</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117,782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112,740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733,423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677,678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1,067,653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1,015,063</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122,918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87,663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110,122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87,663</w:t>
            </w: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Basic net income per common share is computed by dividing net income by the weighted average common shares outstanding including unvested share based payment awards that contain a non-forfeitable right to dividends or dividend equivalents. Diluted net income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treasury stock or if-converted method. Potential common shares are securities (such as options, warrants, convertible debt,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those which reduce earnings per share, are included.</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Operating Partnership has $87,663 of exchangeable senior notes issued and outstanding as of September 30, 2010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$23.45 per share at September 30, 2010, and could change over time as described in the indenture. The price of the Company’s common stock did not exceed 130% of the exchange price for the specified period of time during the third quarter of 2010; therefore holders of the exchangeable senior notes may not elect to convert them during the fourth quarter of 2010.</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were included in the computations for the three and nine months ended September 30, 2010 or 2009 because there was no excess over the accreted principal for these periods.</w:t>
      </w:r>
    </w:p>
    <w:p>
      <w:pPr>
        <w:spacing w:after="0" w:line="17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ASC 260-10-45-46.</w:t>
      </w:r>
    </w:p>
    <w:p>
      <w:pPr>
        <w:spacing w:after="0" w:line="18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For the three months ended September 30, 2010 and 2009, options to purchase 1,161,799 and 4,458,370 shares of common stock and for the nine months ended September 30, 2010 and 2009, options to purchase 2,187,449 and 5,237,237 shares of common stock, respectively, were excluded from the computation of earnings per share as their effect would have been anti-dilutive. All restricted stock grants have been included in basic and diluted shares outstanding because such shares earn a non-forfeitable dividend and carry voting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per common share is as follows:</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4"/>
                <w:szCs w:val="14"/>
                <w:color w:val="auto"/>
              </w:rPr>
            </w:pPr>
          </w:p>
        </w:tc>
        <w:tc>
          <w:tcPr>
            <w:tcW w:w="26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5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w:t>
            </w:r>
          </w:p>
        </w:tc>
        <w:tc>
          <w:tcPr>
            <w:tcW w:w="120" w:type="dxa"/>
            <w:vAlign w:val="bottom"/>
            <w:shd w:val="clear" w:color="auto" w:fill="CCEEFF"/>
          </w:tcPr>
          <w:p>
            <w:pPr>
              <w:spacing w:after="0"/>
              <w:rPr>
                <w:sz w:val="18"/>
                <w:szCs w:val="18"/>
                <w:color w:val="auto"/>
              </w:rPr>
            </w:pPr>
          </w:p>
        </w:tc>
      </w:tr>
      <w:tr>
        <w:trPr>
          <w:trHeight w:val="202"/>
        </w:trPr>
        <w:tc>
          <w:tcPr>
            <w:tcW w:w="5100" w:type="dxa"/>
            <w:vAlign w:val="bottom"/>
          </w:tcPr>
          <w:p>
            <w:pPr>
              <w:ind w:left="180"/>
              <w:spacing w:after="0" w:line="201" w:lineRule="exact"/>
              <w:rPr>
                <w:sz w:val="20"/>
                <w:szCs w:val="20"/>
                <w:color w:val="auto"/>
              </w:rPr>
            </w:pPr>
            <w:r>
              <w:rPr>
                <w:rFonts w:ascii="Arial" w:cs="Arial" w:eastAsia="Arial" w:hAnsi="Arial"/>
                <w:sz w:val="18"/>
                <w:szCs w:val="18"/>
                <w:color w:val="auto"/>
              </w:rPr>
              <w:t>Add: Income allocated to noncontrolling interest - Preferred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Operating Partnership and Operating Partnership</w:t>
            </w:r>
          </w:p>
        </w:tc>
        <w:tc>
          <w:tcPr>
            <w:tcW w:w="16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1,827</w:t>
            </w: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1,777</w:t>
            </w:r>
          </w:p>
        </w:tc>
        <w:tc>
          <w:tcPr>
            <w:tcW w:w="1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5,217</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6,250</w:t>
            </w:r>
          </w:p>
        </w:tc>
      </w:tr>
      <w:tr>
        <w:trPr>
          <w:trHeight w:val="202"/>
        </w:trPr>
        <w:tc>
          <w:tcPr>
            <w:tcW w:w="5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Subtract: Fixed component of income allocated to</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 - Preferred Operating Partnership</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(4,313)</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(4,313)</w:t>
            </w:r>
          </w:p>
        </w:tc>
      </w:tr>
      <w:tr>
        <w:trPr>
          <w:trHeight w:val="20"/>
        </w:trPr>
        <w:tc>
          <w:tcPr>
            <w:tcW w:w="5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0" w:type="dxa"/>
            <w:vAlign w:val="bottom"/>
          </w:tcPr>
          <w:p>
            <w:pPr>
              <w:spacing w:after="0"/>
              <w:rPr>
                <w:sz w:val="23"/>
                <w:szCs w:val="23"/>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Net income for diluted computations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8,056</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6,306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18,319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27,982</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Average number of common shares outstanding - basic</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87,484,731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86,437,877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87,244,161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86,260,442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rPr>
              <w:t>Operating Partnership units</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3,356,963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3,917,941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3,356,963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3,917,941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Operating Partnership units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989,980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989,980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989,980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rPr>
              <w:t>Dilutive and cancelled stock options</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358,178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203,186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378,765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153,140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510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Average number of common shares outstanding - diluted</w:t>
            </w: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92,189,852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91,548,984</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91,969,869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91,321,503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0.30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6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gridSpan w:val="2"/>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4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3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gridSpan w:val="4"/>
          </w:tcPr>
          <w:p>
            <w:pPr>
              <w:spacing w:after="0"/>
              <w:rPr>
                <w:sz w:val="20"/>
                <w:szCs w:val="20"/>
                <w:color w:val="auto"/>
              </w:rPr>
            </w:pPr>
            <w:r>
              <w:rPr>
                <w:rFonts w:ascii="Arial" w:cs="Arial" w:eastAsia="Arial" w:hAnsi="Arial"/>
                <w:sz w:val="18"/>
                <w:szCs w:val="18"/>
                <w:b w:val="1"/>
                <w:bCs w:val="1"/>
                <w:color w:val="auto"/>
              </w:rPr>
              <w:t>4.  REAL ESTATE ASSETS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4"/>
          </w:tcPr>
          <w:p>
            <w:pPr>
              <w:spacing w:after="0"/>
              <w:rPr>
                <w:sz w:val="20"/>
                <w:szCs w:val="20"/>
                <w:color w:val="auto"/>
              </w:rPr>
            </w:pPr>
            <w:r>
              <w:rPr>
                <w:rFonts w:ascii="Arial" w:cs="Arial" w:eastAsia="Arial" w:hAnsi="Arial"/>
                <w:sz w:val="18"/>
                <w:szCs w:val="18"/>
                <w:color w:val="auto"/>
              </w:rPr>
              <w:t>The components of real estate assets are summarized as follows: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2010</w:t>
            </w:r>
          </w:p>
        </w:tc>
        <w:tc>
          <w:tcPr>
            <w:tcW w:w="140" w:type="dxa"/>
            <w:vAlign w:val="bottom"/>
          </w:tcPr>
          <w:p>
            <w:pPr>
              <w:spacing w:after="0"/>
              <w:rPr>
                <w:sz w:val="24"/>
                <w:szCs w:val="24"/>
                <w:color w:val="auto"/>
              </w:rPr>
            </w:pPr>
          </w:p>
        </w:tc>
        <w:tc>
          <w:tcPr>
            <w:tcW w:w="2340" w:type="dxa"/>
            <w:vAlign w:val="bottom"/>
            <w:gridSpan w:val="8"/>
          </w:tcPr>
          <w:p>
            <w:pPr>
              <w:ind w:left="280"/>
              <w:spacing w:after="0"/>
              <w:rPr>
                <w:sz w:val="20"/>
                <w:szCs w:val="20"/>
                <w:color w:val="auto"/>
              </w:rPr>
            </w:pPr>
            <w:r>
              <w:rPr>
                <w:rFonts w:ascii="Arial" w:cs="Arial" w:eastAsia="Arial" w:hAnsi="Arial"/>
                <w:sz w:val="14"/>
                <w:szCs w:val="14"/>
                <w:b w:val="1"/>
                <w:bCs w:val="1"/>
                <w:color w:val="auto"/>
              </w:rPr>
              <w:t>December 31, 2009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0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 operating</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476,355</w:t>
            </w:r>
          </w:p>
        </w:tc>
        <w:tc>
          <w:tcPr>
            <w:tcW w:w="880" w:type="dxa"/>
            <w:vAlign w:val="bottom"/>
            <w:gridSpan w:val="2"/>
            <w:shd w:val="clear" w:color="auto" w:fill="CCEEFF"/>
          </w:tcPr>
          <w:p>
            <w:pPr>
              <w:jc w:val="right"/>
              <w:ind w:right="58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501,674</w:t>
            </w: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Land - development</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jc w:val="right"/>
              <w:ind w:right="140"/>
              <w:spacing w:after="0"/>
              <w:rPr>
                <w:sz w:val="20"/>
                <w:szCs w:val="20"/>
                <w:color w:val="auto"/>
              </w:rPr>
            </w:pPr>
            <w:r>
              <w:rPr>
                <w:rFonts w:ascii="Arial" w:cs="Arial" w:eastAsia="Arial" w:hAnsi="Arial"/>
                <w:sz w:val="18"/>
                <w:szCs w:val="18"/>
                <w:color w:val="auto"/>
              </w:rPr>
              <w:t>24,284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1,585,480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1,675,340</w:t>
            </w: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Intangible assets - tenant relationships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jc w:val="right"/>
              <w:ind w:right="140"/>
              <w:spacing w:after="0"/>
              <w:rPr>
                <w:sz w:val="20"/>
                <w:szCs w:val="20"/>
                <w:color w:val="auto"/>
              </w:rPr>
            </w:pPr>
            <w:r>
              <w:rPr>
                <w:rFonts w:ascii="Arial" w:cs="Arial" w:eastAsia="Arial" w:hAnsi="Arial"/>
                <w:sz w:val="18"/>
                <w:szCs w:val="18"/>
                <w:color w:val="auto"/>
              </w:rPr>
              <w:t>31,214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lease rights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8"/>
              </w:rPr>
              <w:t>6,150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2,123,483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2,249,262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(250,322)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(233,830)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Net operating real estate assets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1,873,161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2,015,432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under development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29,537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34,427</w:t>
            </w: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real estate assets</w:t>
            </w:r>
          </w:p>
        </w:tc>
        <w:tc>
          <w:tcPr>
            <w:tcW w:w="18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1,902,698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2,049,859</w:t>
            </w:r>
          </w:p>
        </w:tc>
        <w:tc>
          <w:tcPr>
            <w:tcW w:w="100" w:type="dxa"/>
            <w:vAlign w:val="bottom"/>
            <w:tcBorders>
              <w:bottom w:val="single" w:sz="8" w:color="CCEEFF"/>
            </w:tcBorders>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400" w:type="dxa"/>
            <w:vAlign w:val="bottom"/>
            <w:vMerge w:val="restart"/>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0"/>
              </w:rPr>
              <w:t>Real estate assets held for sale included in net real estate assets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140"/>
              <w:spacing w:after="0"/>
              <w:rPr>
                <w:sz w:val="20"/>
                <w:szCs w:val="20"/>
                <w:color w:val="auto"/>
              </w:rPr>
            </w:pPr>
            <w:r>
              <w:rPr>
                <w:rFonts w:ascii="Arial" w:cs="Arial" w:eastAsia="Arial" w:hAnsi="Arial"/>
                <w:sz w:val="18"/>
                <w:szCs w:val="18"/>
                <w:color w:val="auto"/>
              </w:rPr>
              <w:t>11,275</w:t>
            </w:r>
          </w:p>
        </w:tc>
        <w:tc>
          <w:tcPr>
            <w:tcW w:w="88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-3037205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-3037205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Real estate assets held for sale include five parcels of vacant land and seven vacant condominiums.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January 21, 2010, the Company entered into a joint venture with Harrison Street Real Estate Capital, LLC (“Harrison Street”). Harrison Street contributed $15,750 in cash to the joint venture in return for a 50% ownership interest. The Company contributed 19 wholly-owned properties with a fair market value of approximately $132,000 and received $15,750 in cash and a 50% ownership interest in the joint venture. There was no step up in basis for the 50% ownership retained by the Company. The joint venture assumed $101,000 of existing debt which is secured by the properties. The properties are located in California, Florida, Nevada, Ohio, Pennsylvania, Tennessee, Texas and Virginia. The Company deconsolidated the 19 properties as of the acquisition date and will continue to manage the properties in exchange for a management fee.</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transaction met all of the criteria for sale accounting and profit recognition under the partial sale criteria of ASC 360-40, “</w:t>
      </w:r>
      <w:r>
        <w:rPr>
          <w:rFonts w:ascii="Arial" w:cs="Arial" w:eastAsia="Arial" w:hAnsi="Arial"/>
          <w:sz w:val="17"/>
          <w:szCs w:val="17"/>
          <w:i w:val="1"/>
          <w:iCs w:val="1"/>
          <w:color w:val="auto"/>
        </w:rPr>
        <w:t>Real Estate Sales,”</w:t>
      </w:r>
      <w:r>
        <w:rPr>
          <w:rFonts w:ascii="Arial" w:cs="Arial" w:eastAsia="Arial" w:hAnsi="Arial"/>
          <w:sz w:val="17"/>
          <w:szCs w:val="17"/>
          <w:color w:val="auto"/>
        </w:rPr>
        <w:t xml:space="preserve"> except for a provision in the agreement that was deemed to be a seller “guarantee.” Accordingly, the Company was required to assess the substance of the transaction to determine, first whether it was a sale, and second, whether there could be any partial profit recognition. Based on its review of the terms of the arrangement and a review of the property operating projections, the Company concluded that the transaction qualified as a sale and could potentially qualify for some profit recognition under the cost recovery or installment methods; however, because there are preferences on cash distributions, the Company can only recognize profit to the extent that the $15,750 invested by Harrison Street exceeded 100% of the Company’s basis. Since the Company’s basis was in excess of the $15,750, there was no profit recognition even though the transaction qualified for sale accounting. The Company recorded the deferred gain of $3,951 as a reduction of its investment in the joint venture with Harrison Street. The Company applied the guidance under ASC 810 and concluded that the joint venture with Harrison Street should be accounted for under the equity method of accounting.</w:t>
      </w:r>
    </w:p>
    <w:p>
      <w:pPr>
        <w:spacing w:after="0" w:line="17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the Company’s acquisitions of operating properties for the nine months ended September 30, 2010, and does not include purchases of raw land or improvements made to existing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Consideration Paid</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5"/>
              </w:rPr>
              <w:t>Acquisition Date Fair Value</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Net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Liabilities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Closing</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Date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Loan</w:t>
            </w:r>
          </w:p>
        </w:tc>
        <w:tc>
          <w:tcPr>
            <w:tcW w:w="6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(Assets)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costs -</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Property Location</w:t>
            </w:r>
          </w:p>
        </w:tc>
        <w:tc>
          <w:tcPr>
            <w:tcW w:w="720" w:type="dxa"/>
            <w:vAlign w:val="bottom"/>
          </w:tcPr>
          <w:p>
            <w:pPr>
              <w:ind w:left="120"/>
              <w:spacing w:after="0"/>
              <w:rPr>
                <w:sz w:val="20"/>
                <w:szCs w:val="20"/>
                <w:color w:val="auto"/>
              </w:rPr>
            </w:pPr>
            <w:r>
              <w:rPr>
                <w:rFonts w:ascii="Arial" w:cs="Arial" w:eastAsia="Arial" w:hAnsi="Arial"/>
                <w:sz w:val="13"/>
                <w:szCs w:val="13"/>
                <w:b w:val="1"/>
                <w:bCs w:val="1"/>
                <w:color w:val="auto"/>
                <w:w w:val="90"/>
              </w:rPr>
              <w:t>Properties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4"/>
              </w:rPr>
              <w:t>Acquisition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Total Paid</w:t>
            </w: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5"/>
              </w:rPr>
              <w:t>Cash Paid</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Assumed</w:t>
            </w:r>
          </w:p>
        </w:tc>
        <w:tc>
          <w:tcPr>
            <w:tcW w:w="6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Assumed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Land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Building</w:t>
            </w:r>
          </w:p>
        </w:tc>
        <w:tc>
          <w:tcPr>
            <w:tcW w:w="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7"/>
              </w:rPr>
              <w:t>Intangible</w:t>
            </w:r>
          </w:p>
        </w:tc>
        <w:tc>
          <w:tcPr>
            <w:tcW w:w="6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expensed</w:t>
            </w: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Source of Acquisition</w:t>
            </w:r>
          </w:p>
        </w:tc>
      </w:tr>
      <w:tr>
        <w:trPr>
          <w:trHeight w:val="129"/>
        </w:trPr>
        <w:tc>
          <w:tcPr>
            <w:tcW w:w="1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New York</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5/21/2010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9,629</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6,475</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6,536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220</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w:t>
            </w:r>
          </w:p>
        </w:tc>
        <w:tc>
          <w:tcPr>
            <w:tcW w:w="1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Unrelated third party</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1560" w:type="dxa"/>
            <w:vAlign w:val="bottom"/>
            <w:gridSpan w:val="2"/>
          </w:tcPr>
          <w:p>
            <w:pPr>
              <w:spacing w:after="0" w:line="135" w:lineRule="exact"/>
              <w:rPr>
                <w:sz w:val="20"/>
                <w:szCs w:val="20"/>
                <w:color w:val="auto"/>
              </w:rPr>
            </w:pPr>
            <w:r>
              <w:rPr>
                <w:rFonts w:ascii="Arial" w:cs="Arial" w:eastAsia="Arial" w:hAnsi="Arial"/>
                <w:sz w:val="13"/>
                <w:szCs w:val="13"/>
                <w:color w:val="auto"/>
              </w:rPr>
              <w:t>Georgia</w:t>
            </w:r>
          </w:p>
        </w:tc>
        <w:tc>
          <w:tcPr>
            <w:tcW w:w="720" w:type="dxa"/>
            <w:vAlign w:val="bottom"/>
          </w:tcPr>
          <w:p>
            <w:pPr>
              <w:spacing w:after="0"/>
              <w:rPr>
                <w:sz w:val="11"/>
                <w:szCs w:val="11"/>
                <w:color w:val="auto"/>
              </w:rPr>
            </w:pPr>
          </w:p>
        </w:tc>
        <w:tc>
          <w:tcPr>
            <w:tcW w:w="2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9"/>
              </w:rPr>
              <w:t>6/17/2010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7,661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7,551</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4,487</w:t>
            </w: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318</w:t>
            </w:r>
          </w:p>
        </w:tc>
        <w:tc>
          <w:tcPr>
            <w:tcW w:w="6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87</w:t>
            </w: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35"/>
        </w:trPr>
        <w:tc>
          <w:tcPr>
            <w:tcW w:w="1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7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7/15/2010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2,759</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2,133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w:t>
            </w:r>
          </w:p>
        </w:tc>
        <w:tc>
          <w:tcPr>
            <w:tcW w:w="15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60"/>
        </w:trPr>
        <w:tc>
          <w:tcPr>
            <w:tcW w:w="1560" w:type="dxa"/>
            <w:vAlign w:val="bottom"/>
            <w:gridSpan w:val="2"/>
          </w:tcPr>
          <w:p>
            <w:pPr>
              <w:spacing w:after="0"/>
              <w:rPr>
                <w:sz w:val="20"/>
                <w:szCs w:val="20"/>
                <w:color w:val="auto"/>
              </w:rPr>
            </w:pPr>
            <w:r>
              <w:rPr>
                <w:rFonts w:ascii="Arial" w:cs="Arial" w:eastAsia="Arial" w:hAnsi="Arial"/>
                <w:sz w:val="13"/>
                <w:szCs w:val="13"/>
                <w:color w:val="auto"/>
              </w:rPr>
              <w:t>Alabama</w:t>
            </w:r>
          </w:p>
        </w:tc>
        <w:tc>
          <w:tcPr>
            <w:tcW w:w="720" w:type="dxa"/>
            <w:vAlign w:val="bottom"/>
          </w:tcPr>
          <w:p>
            <w:pPr>
              <w:spacing w:after="0"/>
              <w:rPr>
                <w:sz w:val="13"/>
                <w:szCs w:val="13"/>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8/23/2010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2,593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2,534</w:t>
            </w: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416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2,033</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140</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Unrelated third party</w:t>
            </w:r>
          </w:p>
        </w:tc>
      </w:tr>
    </w:tbl>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 treats property acquisitions as businesses and records the related assets and liabilities at their fair values as of the acquisition date. Acquisition-related transaction costs are expensed as incurred.</w:t>
      </w:r>
    </w:p>
    <w:p>
      <w:pPr>
        <w:sectPr>
          <w:pgSz w:w="11900" w:h="16838" w:orient="portrait"/>
          <w:cols w:equalWidth="0" w:num="1">
            <w:col w:w="11460"/>
          </w:cols>
          <w:pgMar w:left="240" w:top="125" w:right="199" w:bottom="0" w:gutter="0" w:footer="0" w:header="0"/>
        </w:sectPr>
      </w:pPr>
    </w:p>
    <w:bookmarkStart w:id="9" w:name="page10"/>
    <w:bookmarkEnd w:id="9"/>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INVESTMENTS IN REAL ESTATE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ventures consisted of the following:</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Excess Profit</w:t>
            </w:r>
          </w:p>
        </w:tc>
        <w:tc>
          <w:tcPr>
            <w:tcW w:w="360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Investment balance at</w:t>
            </w:r>
          </w:p>
        </w:tc>
      </w:tr>
      <w:tr>
        <w:trPr>
          <w:trHeight w:val="142"/>
        </w:trPr>
        <w:tc>
          <w:tcPr>
            <w:tcW w:w="4400" w:type="dxa"/>
            <w:vAlign w:val="bottom"/>
          </w:tcPr>
          <w:p>
            <w:pPr>
              <w:spacing w:after="0"/>
              <w:rPr>
                <w:sz w:val="12"/>
                <w:szCs w:val="12"/>
                <w:color w:val="auto"/>
              </w:rPr>
            </w:pPr>
          </w:p>
        </w:tc>
        <w:tc>
          <w:tcPr>
            <w:tcW w:w="15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Ownership %</w:t>
            </w:r>
          </w:p>
        </w:tc>
        <w:tc>
          <w:tcPr>
            <w:tcW w:w="15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Participation %</w:t>
            </w:r>
          </w:p>
        </w:tc>
        <w:tc>
          <w:tcPr>
            <w:tcW w:w="188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September 30, 2010</w:t>
            </w:r>
          </w:p>
        </w:tc>
        <w:tc>
          <w:tcPr>
            <w:tcW w:w="1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December 31, 2009</w:t>
            </w:r>
          </w:p>
        </w:tc>
        <w:tc>
          <w:tcPr>
            <w:tcW w:w="120" w:type="dxa"/>
            <w:vAlign w:val="bottom"/>
          </w:tcPr>
          <w:p>
            <w:pPr>
              <w:spacing w:after="0"/>
              <w:rPr>
                <w:sz w:val="12"/>
                <w:szCs w:val="12"/>
                <w:color w:val="auto"/>
              </w:rPr>
            </w:pPr>
          </w:p>
        </w:tc>
      </w:tr>
      <w:tr>
        <w:trPr>
          <w:trHeight w:val="210"/>
        </w:trPr>
        <w:tc>
          <w:tcPr>
            <w:tcW w:w="44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$1,198</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Extra Space West Two LLC (“ESW II”)</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4,645</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4,749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Extra Space Northern Properties Six LLC (“ESNPS”)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1,184</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48%</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2,919</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2,419</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Clarendon Storage Associates Limited Partnership</w:t>
            </w: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(“Clarendon”)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2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HSRE-ESP IA, LLC (“HSRE”)</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12,691</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PRISA Self Storage LLC (“PRISA”)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PRISA II Self Storage LLC (“PRISA II”)</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9,912</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10,239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PRISA III Self Storage LLC (“PRISA III”)</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3,643</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VRS Self Storage LLC (“VRS”)</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45%</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54%</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44,824</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45,579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WCOT Self Storage LLC (“WCOT”)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4,849</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Storage Portfolio I LLC (“SP I”)</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25-40%</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15,095</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16,049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Storage Portfolio Bravo II (“SPB II”)</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20-45%</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14,828</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15,104</w:t>
            </w: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Extra Space Joint Ventures with Everest Real Estate</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Fund (“Everest”)</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10-58%</w:t>
            </w:r>
          </w:p>
        </w:tc>
        <w:tc>
          <w:tcPr>
            <w:tcW w:w="2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35-50%</w:t>
            </w:r>
          </w:p>
        </w:tc>
        <w:tc>
          <w:tcPr>
            <w:tcW w:w="28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5,517</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1,558</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U-Storage de Mexico S.A. and related entities (“U-</w:t>
            </w: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Storage”)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2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minority owned properties</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10-70%</w:t>
            </w: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10-50%</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1,956</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2,095</w:t>
            </w:r>
          </w:p>
        </w:tc>
      </w:tr>
      <w:tr>
        <w:trPr>
          <w:trHeight w:val="210"/>
        </w:trPr>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accordance with ASC 810, the Company reviews all of its joint venture relationships quarterly to ensure that there are no entities that require consolidation. As of September 30, 2010, there were no previously unconsolidated entities that were required to be consolidated as a result of this review.</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June 15, 2010, the Company paid $193 to obtain an additional 7.2% percentage interest in ESSM, increasing the Company’s interest in the venture from 41.0% to 48.2%.</w:t>
      </w:r>
    </w:p>
    <w:p>
      <w:pPr>
        <w:spacing w:after="0" w:line="17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On June 28, 2010, the Company contributed $6,660 to ESW as a result of a capital call related to the joint venture’s repayment of its $16,650 loan. On August 25, 2010, ESW closed on a new loan and on August 30, 2010, ESW returned $6,660 of investment capital to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(losses) of real estate ventures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130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in losses of ESW II</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ESNPS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in losses of ESSM</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Clarendon</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in losses of HSRE</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in earnings of PRISA II</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 III</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in earnings of VRS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583</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1,632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WCOT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in earnings of SP I</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SPB II</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in earnings (losses) of Everest</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U-Storage</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in earnings (losses) of other minority owned properties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Equity in earnings (losses) of ESW II, HSRE, SP I and SPB II and a minority owned property in Annapolis, Maryland includes the amortization of the Company’s excess purchase price of $26,075 of these equity investments over its original basis. The excess basis is amortized over 40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Unconsolidated Real Estate Joint Ventures:</w:t>
      </w:r>
    </w:p>
    <w:p>
      <w:pPr>
        <w:sectPr>
          <w:pgSz w:w="11900" w:h="16838" w:orient="portrait"/>
          <w:cols w:equalWidth="0" w:num="1">
            <w:col w:w="11420"/>
          </w:cols>
          <w:pgMar w:left="240" w:top="337" w:right="239" w:bottom="208" w:gutter="0" w:footer="0" w:header="0"/>
        </w:sectPr>
      </w:pPr>
    </w:p>
    <w:bookmarkStart w:id="10" w:name="page11"/>
    <w:bookmarkEnd w:id="10"/>
    <w:p>
      <w:pPr>
        <w:spacing w:after="0" w:line="11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has interests in four unconsolidated joint ventures with unrelated third parties which are VIEs (the “VIE JVs”). The Company holds 18-70% equity interests in the VIE JVs, and has 50% of the voting rights in each of the VIE JVs. Qualification as a VIE was based on the determination that the equity investments at risk for each of these joint ventures was not sufficient based on a qualitative and quantitative analysis performed by the Company. The Company performed a qualitative analysis for these joint ventures to determine which party was the primary beneficiary of each VIE. The Company determined that since the powers to direct the activities most significant to the economic performance of these entities are shared equally by the Company and its joint venture partners, there is no primary beneficiary. Accordingly, these interests are recorded using the equity method.</w:t>
      </w:r>
    </w:p>
    <w:p>
      <w:pPr>
        <w:spacing w:after="0" w:line="16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VIE JVs each own a single pre-stabilized self-storage property. These joint ventures are financed through a combination of (1) equity contributions from the Company and its joint venture partners, (2) mortgage notes payable and (3) payables to the Company. The payables to the Company consist of amounts owed for expenses paid on behalf of the joint ventures by the Company as manager and mortgage notes payable to the Company. The Company performs management services for the VIE JVs in exchange for a management fee of approximately 6% of cash collected by the properties. The Company has not provided financial or other support during the periods presented to the VIE JVs that it was not previously contractually obligated to provide.</w:t>
      </w:r>
    </w:p>
    <w:p>
      <w:pPr>
        <w:spacing w:after="0" w:line="15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Company guarantees the mortgage notes payable for the VIE JVs. The Company’s maximum exposure to loss for these joint ventures as of September 30, 2010 is the total of the guaranteed loan balances, the payables due to the Company and the Company’s investment balances in the joint ventures. The Company believes that the risk of incurring a loss as a result of having to perform on the loan guarantees is unlikely and therefore no liability has been recorded related to these guarantees. Also, repossessing and/or selling the self-storage facility and land that collateralize the loans could provide funds sufficient to reimburse the Company. Additionally, the Company believes the payables to the Company are collectible.</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the liability balance and the maximum exposure to loss related to the VIE JVs as of September 30,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vMerge w:val="restart"/>
          </w:tcPr>
          <w:p>
            <w:pPr>
              <w:jc w:val="right"/>
              <w:ind w:right="385"/>
              <w:spacing w:after="0"/>
              <w:rPr>
                <w:sz w:val="20"/>
                <w:szCs w:val="20"/>
                <w:color w:val="auto"/>
              </w:rPr>
            </w:pPr>
            <w:r>
              <w:rPr>
                <w:rFonts w:ascii="Arial" w:cs="Arial" w:eastAsia="Arial" w:hAnsi="Arial"/>
                <w:sz w:val="14"/>
                <w:szCs w:val="14"/>
                <w:b w:val="1"/>
                <w:bCs w:val="1"/>
                <w:color w:val="auto"/>
              </w:rPr>
              <w:t>Investment</w:t>
            </w:r>
          </w:p>
        </w:tc>
        <w:tc>
          <w:tcPr>
            <w:tcW w:w="138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0"/>
              </w:rPr>
              <w:t>Balance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Payables to</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80" w:type="dxa"/>
            <w:vAlign w:val="bottom"/>
            <w:gridSpan w:val="4"/>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Guaranteed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Exposure</w:t>
            </w:r>
          </w:p>
        </w:tc>
        <w:tc>
          <w:tcPr>
            <w:tcW w:w="140" w:type="dxa"/>
            <w:vAlign w:val="bottom"/>
          </w:tcPr>
          <w:p>
            <w:pPr>
              <w:spacing w:after="0"/>
              <w:rPr>
                <w:sz w:val="12"/>
                <w:szCs w:val="12"/>
                <w:color w:val="auto"/>
              </w:rPr>
            </w:pPr>
          </w:p>
        </w:tc>
        <w:tc>
          <w:tcPr>
            <w:tcW w:w="122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Difference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right"/>
              <w:ind w:right="485"/>
              <w:spacing w:after="0"/>
              <w:rPr>
                <w:sz w:val="20"/>
                <w:szCs w:val="20"/>
                <w:color w:val="auto"/>
              </w:rPr>
            </w:pPr>
            <w:r>
              <w:rPr>
                <w:rFonts w:ascii="Arial" w:cs="Arial" w:eastAsia="Arial" w:hAnsi="Arial"/>
                <w:sz w:val="14"/>
                <w:szCs w:val="14"/>
                <w:b w:val="1"/>
                <w:bCs w:val="1"/>
                <w:color w:val="auto"/>
              </w:rPr>
              <w:t>Balance</w:t>
            </w:r>
          </w:p>
        </w:tc>
        <w:tc>
          <w:tcPr>
            <w:tcW w:w="420" w:type="dxa"/>
            <w:vAlign w:val="bottom"/>
          </w:tcPr>
          <w:p>
            <w:pPr>
              <w:spacing w:after="0"/>
              <w:rPr>
                <w:sz w:val="14"/>
                <w:szCs w:val="14"/>
                <w:color w:val="auto"/>
              </w:rPr>
            </w:pPr>
          </w:p>
        </w:tc>
        <w:tc>
          <w:tcPr>
            <w:tcW w:w="960" w:type="dxa"/>
            <w:vAlign w:val="bottom"/>
            <w:gridSpan w:val="3"/>
          </w:tcPr>
          <w:p>
            <w:pPr>
              <w:jc w:val="center"/>
              <w:ind w:right="568"/>
              <w:spacing w:after="0"/>
              <w:rPr>
                <w:sz w:val="20"/>
                <w:szCs w:val="20"/>
                <w:color w:val="auto"/>
              </w:rPr>
            </w:pPr>
            <w:r>
              <w:rPr>
                <w:rFonts w:ascii="Arial" w:cs="Arial" w:eastAsia="Arial" w:hAnsi="Arial"/>
                <w:sz w:val="14"/>
                <w:szCs w:val="14"/>
                <w:b w:val="1"/>
                <w:bCs w:val="1"/>
                <w:color w:val="auto"/>
                <w:w w:val="95"/>
              </w:rPr>
              <w:t>Loan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to Loss</w:t>
            </w:r>
          </w:p>
        </w:tc>
        <w:tc>
          <w:tcPr>
            <w:tcW w:w="1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Extra Space of Elk Grove</w:t>
            </w: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7"/>
          </w:tcPr>
          <w:p>
            <w:pPr>
              <w:spacing w:after="0"/>
              <w:rPr>
                <w:sz w:val="20"/>
                <w:szCs w:val="20"/>
                <w:color w:val="auto"/>
              </w:rPr>
            </w:pPr>
            <w:r>
              <w:rPr>
                <w:rFonts w:ascii="Arial" w:cs="Arial" w:eastAsia="Arial" w:hAnsi="Arial"/>
                <w:sz w:val="18"/>
                <w:szCs w:val="18"/>
                <w:color w:val="auto"/>
              </w:rPr>
              <w:t>ESS of Sacramento One LLC</w:t>
            </w:r>
          </w:p>
        </w:tc>
        <w:tc>
          <w:tcPr>
            <w:tcW w:w="9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85"/>
              <w:spacing w:after="0"/>
              <w:rPr>
                <w:sz w:val="20"/>
                <w:szCs w:val="20"/>
                <w:color w:val="auto"/>
              </w:rPr>
            </w:pPr>
            <w:r>
              <w:rPr>
                <w:rFonts w:ascii="Arial" w:cs="Arial" w:eastAsia="Arial" w:hAnsi="Arial"/>
                <w:sz w:val="18"/>
                <w:szCs w:val="18"/>
                <w:color w:val="auto"/>
              </w:rPr>
              <w:t>(765)</w:t>
            </w:r>
          </w:p>
        </w:tc>
        <w:tc>
          <w:tcPr>
            <w:tcW w:w="420" w:type="dxa"/>
            <w:vAlign w:val="bottom"/>
          </w:tcPr>
          <w:p>
            <w:pPr>
              <w:spacing w:after="0"/>
              <w:rPr>
                <w:sz w:val="18"/>
                <w:szCs w:val="18"/>
                <w:color w:val="auto"/>
              </w:rPr>
            </w:pPr>
          </w:p>
        </w:tc>
        <w:tc>
          <w:tcPr>
            <w:tcW w:w="960" w:type="dxa"/>
            <w:vAlign w:val="bottom"/>
            <w:gridSpan w:val="3"/>
          </w:tcPr>
          <w:p>
            <w:pPr>
              <w:jc w:val="right"/>
              <w:ind w:right="148"/>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5,348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9,583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(9,583)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ES of Washington Avenue LLC</w:t>
            </w:r>
          </w:p>
        </w:tc>
        <w:tc>
          <w:tcPr>
            <w:tcW w:w="9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9,430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7"/>
          </w:tcPr>
          <w:p>
            <w:pPr>
              <w:spacing w:after="0"/>
              <w:rPr>
                <w:sz w:val="20"/>
                <w:szCs w:val="20"/>
                <w:color w:val="auto"/>
              </w:rPr>
            </w:pPr>
            <w:r>
              <w:rPr>
                <w:rFonts w:ascii="Arial" w:cs="Arial" w:eastAsia="Arial" w:hAnsi="Arial"/>
                <w:sz w:val="18"/>
                <w:szCs w:val="18"/>
                <w:color w:val="auto"/>
              </w:rPr>
              <w:t>ES of Franklin Blvd LLC</w:t>
            </w:r>
          </w:p>
        </w:tc>
        <w:tc>
          <w:tcPr>
            <w:tcW w:w="9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85"/>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18"/>
                <w:szCs w:val="18"/>
                <w:color w:val="auto"/>
              </w:rPr>
            </w:pPr>
          </w:p>
        </w:tc>
        <w:tc>
          <w:tcPr>
            <w:tcW w:w="960" w:type="dxa"/>
            <w:vAlign w:val="bottom"/>
            <w:gridSpan w:val="3"/>
          </w:tcPr>
          <w:p>
            <w:pPr>
              <w:jc w:val="right"/>
              <w:ind w:right="148"/>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7,212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(34,383)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60" w:type="dxa"/>
            <w:vAlign w:val="bottom"/>
            <w:gridSpan w:val="19"/>
          </w:tcPr>
          <w:p>
            <w:pPr>
              <w:spacing w:after="0"/>
              <w:rPr>
                <w:sz w:val="20"/>
                <w:szCs w:val="20"/>
                <w:color w:val="auto"/>
              </w:rPr>
            </w:pPr>
            <w:r>
              <w:rPr>
                <w:rFonts w:ascii="Arial" w:cs="Arial" w:eastAsia="Arial" w:hAnsi="Arial"/>
                <w:sz w:val="18"/>
                <w:szCs w:val="18"/>
                <w:color w:val="auto"/>
                <w:w w:val="90"/>
              </w:rPr>
              <w:t>The Company had no consolidated VIEs during the three and nine months ended September 30, 2010.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b w:val="1"/>
                <w:bCs w:val="1"/>
                <w:color w:val="auto"/>
              </w:rPr>
              <w:t>7.</w:t>
            </w:r>
          </w:p>
        </w:tc>
        <w:tc>
          <w:tcPr>
            <w:tcW w:w="3100" w:type="dxa"/>
            <w:vAlign w:val="bottom"/>
            <w:gridSpan w:val="6"/>
          </w:tcPr>
          <w:p>
            <w:pPr>
              <w:ind w:left="100"/>
              <w:spacing w:after="0"/>
              <w:rPr>
                <w:sz w:val="20"/>
                <w:szCs w:val="20"/>
                <w:color w:val="auto"/>
              </w:rPr>
            </w:pPr>
            <w:r>
              <w:rPr>
                <w:rFonts w:ascii="Arial" w:cs="Arial" w:eastAsia="Arial" w:hAnsi="Arial"/>
                <w:sz w:val="18"/>
                <w:szCs w:val="18"/>
                <w:b w:val="1"/>
                <w:bCs w:val="1"/>
                <w:color w:val="auto"/>
              </w:rPr>
              <w:t>OTHER ASSETS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00" w:type="dxa"/>
            <w:vAlign w:val="bottom"/>
            <w:gridSpan w:val="8"/>
          </w:tcPr>
          <w:p>
            <w:pPr>
              <w:spacing w:after="0"/>
              <w:rPr>
                <w:sz w:val="20"/>
                <w:szCs w:val="20"/>
                <w:color w:val="auto"/>
              </w:rPr>
            </w:pPr>
            <w:r>
              <w:rPr>
                <w:rFonts w:ascii="Arial" w:cs="Arial" w:eastAsia="Arial" w:hAnsi="Arial"/>
                <w:sz w:val="18"/>
                <w:szCs w:val="18"/>
                <w:color w:val="auto"/>
                <w:w w:val="89"/>
              </w:rPr>
              <w:t>The components of other assets are summarized as follows: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9"/>
          </w:tcPr>
          <w:p>
            <w:pPr>
              <w:ind w:left="260"/>
              <w:spacing w:after="0"/>
              <w:rPr>
                <w:sz w:val="20"/>
                <w:szCs w:val="20"/>
                <w:color w:val="auto"/>
              </w:rPr>
            </w:pPr>
            <w:r>
              <w:rPr>
                <w:rFonts w:ascii="Arial" w:cs="Arial" w:eastAsia="Arial" w:hAnsi="Arial"/>
                <w:sz w:val="14"/>
                <w:szCs w:val="14"/>
                <w:b w:val="1"/>
                <w:bCs w:val="1"/>
                <w:color w:val="auto"/>
              </w:rPr>
              <w:t>December 31, 2009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and fixtures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13,057</w:t>
            </w:r>
          </w:p>
        </w:tc>
        <w:tc>
          <w:tcPr>
            <w:tcW w:w="96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(10,065)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(9,046)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3,343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Deferred financing costs,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14,065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15,458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deposits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7,856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12,007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15,086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Trusts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3,590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auto"/>
              </w:rPr>
              <w:t>5,194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5,576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49,047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tcPr>
          <w:p>
            <w:pPr>
              <w:spacing w:after="0"/>
              <w:rPr>
                <w:sz w:val="20"/>
                <w:szCs w:val="20"/>
                <w:color w:val="auto"/>
              </w:rPr>
            </w:pPr>
            <w:r>
              <w:rPr>
                <w:rFonts w:ascii="Arial" w:cs="Arial" w:eastAsia="Arial" w:hAnsi="Arial"/>
                <w:sz w:val="18"/>
                <w:szCs w:val="18"/>
                <w:b w:val="1"/>
                <w:bCs w:val="1"/>
                <w:color w:val="auto"/>
              </w:rPr>
              <w:t>8.</w:t>
            </w:r>
          </w:p>
        </w:tc>
        <w:tc>
          <w:tcPr>
            <w:tcW w:w="3100" w:type="dxa"/>
            <w:vAlign w:val="bottom"/>
            <w:gridSpan w:val="6"/>
          </w:tcPr>
          <w:p>
            <w:pPr>
              <w:ind w:left="100"/>
              <w:spacing w:after="0"/>
              <w:rPr>
                <w:sz w:val="20"/>
                <w:szCs w:val="20"/>
                <w:color w:val="auto"/>
              </w:rPr>
            </w:pPr>
            <w:r>
              <w:rPr>
                <w:rFonts w:ascii="Arial" w:cs="Arial" w:eastAsia="Arial" w:hAnsi="Arial"/>
                <w:sz w:val="18"/>
                <w:szCs w:val="18"/>
                <w:b w:val="1"/>
                <w:bCs w:val="1"/>
                <w:color w:val="auto"/>
              </w:rPr>
              <w:t>NOTES PAYABLE</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10"/>
          </w:tcPr>
          <w:p>
            <w:pPr>
              <w:spacing w:after="0"/>
              <w:rPr>
                <w:sz w:val="20"/>
                <w:szCs w:val="20"/>
                <w:color w:val="auto"/>
              </w:rPr>
            </w:pPr>
            <w:r>
              <w:rPr>
                <w:rFonts w:ascii="Arial" w:cs="Arial" w:eastAsia="Arial" w:hAnsi="Arial"/>
                <w:sz w:val="18"/>
                <w:szCs w:val="18"/>
                <w:color w:val="auto"/>
                <w:w w:val="93"/>
              </w:rPr>
              <w:t>The components of notes payable are summarized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September 30, 2010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6"/>
          </w:tcPr>
          <w:p>
            <w:pPr>
              <w:jc w:val="right"/>
              <w:ind w:right="206"/>
              <w:spacing w:after="0"/>
              <w:rPr>
                <w:sz w:val="20"/>
                <w:szCs w:val="20"/>
                <w:color w:val="auto"/>
              </w:rPr>
            </w:pPr>
            <w:r>
              <w:rPr>
                <w:rFonts w:ascii="Arial" w:cs="Arial" w:eastAsia="Arial" w:hAnsi="Arial"/>
                <w:sz w:val="14"/>
                <w:szCs w:val="14"/>
                <w:b w:val="1"/>
                <w:bCs w:val="1"/>
                <w:color w:val="auto"/>
              </w:rPr>
              <w:t>December 31, 2009</w:t>
            </w:r>
          </w:p>
        </w:tc>
        <w:tc>
          <w:tcPr>
            <w:tcW w:w="100" w:type="dxa"/>
            <w:vAlign w:val="bottom"/>
            <w:tcBorders>
              <w:bottom w:val="single" w:sz="8" w:color="CCEEFF"/>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Fixed Rate</w:t>
            </w:r>
          </w:p>
        </w:tc>
        <w:tc>
          <w:tcPr>
            <w:tcW w:w="204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16"/>
          </w:tcPr>
          <w:p>
            <w:pPr>
              <w:spacing w:after="0" w:line="201" w:lineRule="exact"/>
              <w:rPr>
                <w:sz w:val="20"/>
                <w:szCs w:val="20"/>
                <w:color w:val="auto"/>
              </w:rPr>
            </w:pPr>
            <w:r>
              <w:rPr>
                <w:rFonts w:ascii="Arial" w:cs="Arial" w:eastAsia="Arial" w:hAnsi="Arial"/>
                <w:sz w:val="18"/>
                <w:szCs w:val="18"/>
                <w:color w:val="auto"/>
              </w:rPr>
              <w:t>Mortgage and construction loans with banks (inclulding loans subject to interest rate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gridSpan w:val="13"/>
          </w:tcPr>
          <w:p>
            <w:pPr>
              <w:ind w:left="160"/>
              <w:spacing w:after="0"/>
              <w:rPr>
                <w:sz w:val="20"/>
                <w:szCs w:val="20"/>
                <w:color w:val="auto"/>
              </w:rPr>
            </w:pPr>
            <w:r>
              <w:rPr>
                <w:rFonts w:ascii="Arial" w:cs="Arial" w:eastAsia="Arial" w:hAnsi="Arial"/>
                <w:sz w:val="18"/>
                <w:szCs w:val="18"/>
                <w:color w:val="auto"/>
                <w:w w:val="95"/>
              </w:rPr>
              <w:t>swaps) bearing interest at fixed rates between 4.2% and 7.3%. The loans are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gridSpan w:val="13"/>
          </w:tcPr>
          <w:p>
            <w:pPr>
              <w:ind w:left="160"/>
              <w:spacing w:after="0"/>
              <w:rPr>
                <w:sz w:val="20"/>
                <w:szCs w:val="20"/>
                <w:color w:val="auto"/>
              </w:rPr>
            </w:pPr>
            <w:r>
              <w:rPr>
                <w:rFonts w:ascii="Arial" w:cs="Arial" w:eastAsia="Arial" w:hAnsi="Arial"/>
                <w:sz w:val="18"/>
                <w:szCs w:val="18"/>
                <w:color w:val="auto"/>
                <w:w w:val="93"/>
              </w:rPr>
              <w:t>collateralized by mortgages on real estate assets and the assignment of rents.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gridSpan w:val="13"/>
          </w:tcPr>
          <w:p>
            <w:pPr>
              <w:ind w:left="160"/>
              <w:spacing w:after="0"/>
              <w:rPr>
                <w:sz w:val="20"/>
                <w:szCs w:val="20"/>
                <w:color w:val="auto"/>
              </w:rPr>
            </w:pPr>
            <w:r>
              <w:rPr>
                <w:rFonts w:ascii="Arial" w:cs="Arial" w:eastAsia="Arial" w:hAnsi="Arial"/>
                <w:sz w:val="18"/>
                <w:szCs w:val="18"/>
                <w:color w:val="auto"/>
                <w:w w:val="92"/>
              </w:rPr>
              <w:t>Principal and interest payments are made monthly with all outstanding principal</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gridSpan w:val="7"/>
          </w:tcPr>
          <w:p>
            <w:pPr>
              <w:ind w:left="160"/>
              <w:spacing w:after="0"/>
              <w:rPr>
                <w:sz w:val="20"/>
                <w:szCs w:val="20"/>
                <w:color w:val="auto"/>
              </w:rPr>
            </w:pPr>
            <w:r>
              <w:rPr>
                <w:rFonts w:ascii="Arial" w:cs="Arial" w:eastAsia="Arial" w:hAnsi="Arial"/>
                <w:sz w:val="18"/>
                <w:szCs w:val="18"/>
                <w:color w:val="auto"/>
                <w:w w:val="90"/>
              </w:rPr>
              <w:t>and interest due between June 2011 and August 2019.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w w:val="89"/>
              </w:rPr>
              <w:t>641,595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895,473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b w:val="1"/>
                <w:bCs w:val="1"/>
                <w:color w:val="auto"/>
                <w:w w:val="89"/>
              </w:rPr>
              <w:t>Variable Rate</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gridSpan w:val="14"/>
          </w:tcPr>
          <w:p>
            <w:pPr>
              <w:spacing w:after="0"/>
              <w:rPr>
                <w:sz w:val="20"/>
                <w:szCs w:val="20"/>
                <w:color w:val="auto"/>
              </w:rPr>
            </w:pPr>
            <w:r>
              <w:rPr>
                <w:rFonts w:ascii="Arial" w:cs="Arial" w:eastAsia="Arial" w:hAnsi="Arial"/>
                <w:sz w:val="18"/>
                <w:szCs w:val="18"/>
                <w:color w:val="auto"/>
                <w:w w:val="90"/>
              </w:rPr>
              <w:t>Mortgage and construction loans with banks bearing floating interest rates based 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w w:val="89"/>
              </w:rPr>
              <w:t>210,217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204,120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gridSpan w:val="13"/>
          </w:tcPr>
          <w:p>
            <w:pPr>
              <w:ind w:left="160"/>
              <w:spacing w:after="0"/>
              <w:rPr>
                <w:sz w:val="20"/>
                <w:szCs w:val="20"/>
                <w:color w:val="auto"/>
              </w:rPr>
            </w:pPr>
            <w:r>
              <w:rPr>
                <w:rFonts w:ascii="Arial" w:cs="Arial" w:eastAsia="Arial" w:hAnsi="Arial"/>
                <w:sz w:val="18"/>
                <w:szCs w:val="18"/>
                <w:color w:val="auto"/>
                <w:w w:val="91"/>
              </w:rPr>
              <w:t>LIBOR and Prime. Interest rates based on LIBOR are between LIBOR plus 1.5%</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-2540000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-273685</wp:posOffset>
            </wp:positionV>
            <wp:extent cx="6569075" cy="816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69075" cy="816610"/>
                    </a:xfrm>
                    <a:prstGeom prst="rect">
                      <a:avLst/>
                    </a:prstGeom>
                    <a:noFill/>
                  </pic:spPr>
                </pic:pic>
              </a:graphicData>
            </a:graphic>
          </wp:anchor>
        </w:drawing>
      </w:r>
    </w:p>
    <w:p>
      <w:pPr>
        <w:jc w:val="both"/>
        <w:ind w:left="640" w:right="4840"/>
        <w:spacing w:after="0" w:line="295" w:lineRule="auto"/>
        <w:rPr>
          <w:sz w:val="20"/>
          <w:szCs w:val="20"/>
          <w:color w:val="auto"/>
        </w:rPr>
      </w:pPr>
      <w:r>
        <w:rPr>
          <w:rFonts w:ascii="Arial" w:cs="Arial" w:eastAsia="Arial" w:hAnsi="Arial"/>
          <w:sz w:val="16"/>
          <w:szCs w:val="16"/>
          <w:color w:val="auto"/>
        </w:rPr>
        <w:t>(1.8% and 1.7% at September 30, 2010 and December 31, 2009, respectively) and LIBOR plus 4.0% (4.3% and 4.2% at September 30, 2010 and December 31, 2009, respectively). Interest rates based on Prime are between Prime plus 0.5% (3.8% at September 30, 2010 and December 31, 2009), and Prime plus 1.5% (4.8% at</w:t>
      </w:r>
    </w:p>
    <w:p>
      <w:pPr>
        <w:sectPr>
          <w:pgSz w:w="11900" w:h="16951" w:orient="portrait"/>
          <w:cols w:equalWidth="0" w:num="1">
            <w:col w:w="11460"/>
          </w:cols>
          <w:pgMar w:left="240" w:top="125" w:right="199" w:bottom="0" w:gutter="0" w:footer="0" w:header="0"/>
        </w:sectPr>
      </w:pPr>
    </w:p>
    <w:bookmarkStart w:id="11" w:name="page12"/>
    <w:bookmarkEnd w:id="11"/>
    <w:p>
      <w:pPr>
        <w:ind w:left="640" w:right="4760"/>
        <w:spacing w:after="0" w:line="259" w:lineRule="auto"/>
        <w:rPr>
          <w:sz w:val="20"/>
          <w:szCs w:val="20"/>
          <w:color w:val="auto"/>
        </w:rPr>
      </w:pPr>
      <w:r>
        <w:rPr>
          <w:rFonts w:ascii="Arial" w:cs="Arial" w:eastAsia="Arial" w:hAnsi="Arial"/>
          <w:sz w:val="18"/>
          <w:szCs w:val="18"/>
          <w:color w:val="auto"/>
        </w:rPr>
        <w:t>September 30, 2010 and December 31, 2009). The loans are collateralized by mortgages on real estate assets and the assignment of rents. Principal and interest payments are made monthly with all outstanding principal and interest due between December 2010 and May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-557530</wp:posOffset>
            </wp:positionV>
            <wp:extent cx="6569075" cy="557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69075" cy="557530"/>
                    </a:xfrm>
                    <a:prstGeom prst="rect">
                      <a:avLst/>
                    </a:prstGeom>
                    <a:noFill/>
                  </pic:spPr>
                </pic:pic>
              </a:graphicData>
            </a:graphic>
          </wp:anchor>
        </w:drawing>
      </w:r>
    </w:p>
    <w:p>
      <w:pPr>
        <w:spacing w:after="0" w:line="180" w:lineRule="exact"/>
        <w:rPr>
          <w:sz w:val="20"/>
          <w:szCs w:val="20"/>
          <w:color w:val="auto"/>
        </w:rPr>
      </w:pPr>
    </w:p>
    <w:p>
      <w:pPr>
        <w:ind w:left="7020"/>
        <w:spacing w:after="0"/>
        <w:tabs>
          <w:tab w:leader="none" w:pos="8120" w:val="left"/>
          <w:tab w:leader="none" w:pos="9000" w:val="left"/>
          <w:tab w:leader="none" w:pos="9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851,812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1,099,593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56907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69075" cy="163195"/>
                    </a:xfrm>
                    <a:prstGeom prst="rect">
                      <a:avLst/>
                    </a:prstGeom>
                    <a:noFill/>
                  </pic:spPr>
                </pic:pic>
              </a:graphicData>
            </a:graphic>
          </wp:anchor>
        </w:drawing>
      </w:r>
    </w:p>
    <w:p>
      <w:pPr>
        <w:spacing w:after="0" w:line="24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Certain mortgage and construction loans with variable rate debt are subject to interest rate floors starting at 4.5%. Real estate assets are pledged as collateral for the notes payable. Also, certain of these notes payable are cross-collateralized with other properties. Of the Company’s $851,812 in notes payable outstanding as of September 30, 2010, $421,272 were recourse due to guarantees or other security provisions. The Company is subject to certain restrictive covenants relating to the outstanding notes payable. The Company was in compliance with all financial covenants at September 30, 2010.</w:t>
      </w:r>
    </w:p>
    <w:p>
      <w:pPr>
        <w:spacing w:after="0" w:line="15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GAAP requires the recognition of all derivative instruments as either assets or liabilities on the balance sheet at fair value. The accounting for changes in fair value of a derivative instrument depends on whether it has been designated and qualifies as part of a hedging relationship and further, on the type of hedging relationship. A company must designate each qualifying hedging instrument, based upon the exposure being hedged, as a fair value hedge, cash flow hedge, or a hedge of a net investment in foreign operations.</w:t>
      </w:r>
    </w:p>
    <w:p>
      <w:pPr>
        <w:spacing w:after="0" w:line="18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Company is exposed to certain risks relating to its ongoing business operations. The primary risk managed by using derivative instruments is interest rate risk. Interest rate swaps are entered into to manage interest rate risk associated with Company’s fixed and variable-rate borrowings. The Company designates certain interest rate swaps as cash flow hedges of variable-rate borrowings and the remainder as fair value hedges of fixed-rate borrowings.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the Company’s derivative financial instruments at September 30,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20"/>
                <w:szCs w:val="20"/>
                <w:color w:val="auto"/>
              </w:rPr>
            </w:pPr>
            <w:r>
              <w:rPr>
                <w:rFonts w:ascii="Arial" w:cs="Arial" w:eastAsia="Arial" w:hAnsi="Arial"/>
                <w:sz w:val="14"/>
                <w:szCs w:val="14"/>
                <w:b w:val="1"/>
                <w:bCs w:val="1"/>
                <w:color w:val="auto"/>
              </w:rPr>
              <w:t>Hedge Product</w:t>
            </w:r>
          </w:p>
        </w:tc>
        <w:tc>
          <w:tcPr>
            <w:tcW w:w="260" w:type="dxa"/>
            <w:vAlign w:val="bottom"/>
          </w:tcPr>
          <w:p>
            <w:pPr>
              <w:spacing w:after="0"/>
              <w:rPr>
                <w:sz w:val="14"/>
                <w:szCs w:val="14"/>
                <w:color w:val="auto"/>
              </w:rPr>
            </w:pPr>
          </w:p>
        </w:tc>
        <w:tc>
          <w:tcPr>
            <w:tcW w:w="1640" w:type="dxa"/>
            <w:vAlign w:val="bottom"/>
            <w:gridSpan w:val="2"/>
          </w:tcPr>
          <w:p>
            <w:pPr>
              <w:ind w:left="320"/>
              <w:spacing w:after="0"/>
              <w:rPr>
                <w:sz w:val="20"/>
                <w:szCs w:val="20"/>
                <w:color w:val="auto"/>
              </w:rPr>
            </w:pPr>
            <w:r>
              <w:rPr>
                <w:rFonts w:ascii="Arial" w:cs="Arial" w:eastAsia="Arial" w:hAnsi="Arial"/>
                <w:sz w:val="14"/>
                <w:szCs w:val="14"/>
                <w:b w:val="1"/>
                <w:bCs w:val="1"/>
                <w:color w:val="auto"/>
              </w:rPr>
              <w:t>Hedge Type</w:t>
            </w:r>
          </w:p>
        </w:tc>
        <w:tc>
          <w:tcPr>
            <w:tcW w:w="240" w:type="dxa"/>
            <w:vAlign w:val="bottom"/>
          </w:tcPr>
          <w:p>
            <w:pPr>
              <w:spacing w:after="0"/>
              <w:rPr>
                <w:sz w:val="14"/>
                <w:szCs w:val="14"/>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Notional Amount</w:t>
            </w: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Strike</w:t>
            </w:r>
          </w:p>
        </w:tc>
        <w:tc>
          <w:tcPr>
            <w:tcW w:w="1800" w:type="dxa"/>
            <w:vAlign w:val="bottom"/>
            <w:gridSpan w:val="2"/>
          </w:tcPr>
          <w:p>
            <w:pPr>
              <w:ind w:left="340"/>
              <w:spacing w:after="0"/>
              <w:rPr>
                <w:sz w:val="20"/>
                <w:szCs w:val="20"/>
                <w:color w:val="auto"/>
              </w:rPr>
            </w:pPr>
            <w:r>
              <w:rPr>
                <w:rFonts w:ascii="Arial" w:cs="Arial" w:eastAsia="Arial" w:hAnsi="Arial"/>
                <w:sz w:val="14"/>
                <w:szCs w:val="14"/>
                <w:b w:val="1"/>
                <w:bCs w:val="1"/>
                <w:color w:val="auto"/>
              </w:rPr>
              <w:t>Effective Date</w:t>
            </w: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Maturity</w:t>
            </w:r>
          </w:p>
        </w:tc>
      </w:tr>
      <w:tr>
        <w:trPr>
          <w:trHeight w:val="210"/>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61,770</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Libor plus 0.65%</w:t>
            </w:r>
          </w:p>
        </w:tc>
        <w:tc>
          <w:tcPr>
            <w:tcW w:w="2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10/31/2004</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6/1/2009</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Swap Agreement 1</w:t>
            </w:r>
          </w:p>
        </w:tc>
        <w:tc>
          <w:tcPr>
            <w:tcW w:w="1900" w:type="dxa"/>
            <w:vAlign w:val="bottom"/>
            <w:gridSpan w:val="3"/>
          </w:tcPr>
          <w:p>
            <w:pPr>
              <w:ind w:left="260"/>
              <w:spacing w:after="0"/>
              <w:rPr>
                <w:sz w:val="20"/>
                <w:szCs w:val="20"/>
                <w:color w:val="auto"/>
              </w:rPr>
            </w:pPr>
            <w:r>
              <w:rPr>
                <w:rFonts w:ascii="Arial" w:cs="Arial" w:eastAsia="Arial" w:hAnsi="Arial"/>
                <w:sz w:val="18"/>
                <w:szCs w:val="18"/>
                <w:color w:val="auto"/>
              </w:rPr>
              <w:t>Cash Flow</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63,000</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4.24%</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2/1/2009</w:t>
            </w:r>
          </w:p>
        </w:tc>
        <w:tc>
          <w:tcPr>
            <w:tcW w:w="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6/30/2013</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2</w:t>
            </w:r>
          </w:p>
        </w:tc>
        <w:tc>
          <w:tcPr>
            <w:tcW w:w="1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Cash Flow</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6.32%</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7/1/2009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7/1/2014</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Swap Agreement 3</w:t>
            </w:r>
          </w:p>
        </w:tc>
        <w:tc>
          <w:tcPr>
            <w:tcW w:w="1900" w:type="dxa"/>
            <w:vAlign w:val="bottom"/>
            <w:gridSpan w:val="3"/>
          </w:tcPr>
          <w:p>
            <w:pPr>
              <w:ind w:left="260"/>
              <w:spacing w:after="0"/>
              <w:rPr>
                <w:sz w:val="20"/>
                <w:szCs w:val="20"/>
                <w:color w:val="auto"/>
              </w:rPr>
            </w:pPr>
            <w:r>
              <w:rPr>
                <w:rFonts w:ascii="Arial" w:cs="Arial" w:eastAsia="Arial" w:hAnsi="Arial"/>
                <w:sz w:val="18"/>
                <w:szCs w:val="18"/>
                <w:color w:val="auto"/>
              </w:rPr>
              <w:t>Cash Flow</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8,462</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6.98%</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7/27/2009</w:t>
            </w:r>
          </w:p>
        </w:tc>
        <w:tc>
          <w:tcPr>
            <w:tcW w:w="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6/27/2016</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4</w:t>
            </w:r>
          </w:p>
        </w:tc>
        <w:tc>
          <w:tcPr>
            <w:tcW w:w="1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Cash Flow</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6.12%</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11/2/2009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11/1/2014</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Swap Agreement 5</w:t>
            </w:r>
          </w:p>
        </w:tc>
        <w:tc>
          <w:tcPr>
            <w:tcW w:w="1900" w:type="dxa"/>
            <w:vAlign w:val="bottom"/>
            <w:gridSpan w:val="3"/>
          </w:tcPr>
          <w:p>
            <w:pPr>
              <w:ind w:left="260"/>
              <w:spacing w:after="0"/>
              <w:rPr>
                <w:sz w:val="20"/>
                <w:szCs w:val="20"/>
                <w:color w:val="auto"/>
              </w:rPr>
            </w:pPr>
            <w:r>
              <w:rPr>
                <w:rFonts w:ascii="Arial" w:cs="Arial" w:eastAsia="Arial" w:hAnsi="Arial"/>
                <w:sz w:val="18"/>
                <w:szCs w:val="18"/>
                <w:color w:val="auto"/>
              </w:rPr>
              <w:t>Cash Flow</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20,700</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5.80%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6/11/2010</w:t>
            </w:r>
          </w:p>
        </w:tc>
        <w:tc>
          <w:tcPr>
            <w:tcW w:w="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6/1/2015</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6</w:t>
            </w:r>
          </w:p>
        </w:tc>
        <w:tc>
          <w:tcPr>
            <w:tcW w:w="1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Cash Flow</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48,876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6.10%</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7/1/2010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Monthly interest payments were recognized as an increase or decrease in interest expense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4"/>
          </w:tcPr>
          <w:p>
            <w:pPr>
              <w:jc w:val="center"/>
              <w:ind w:right="145"/>
              <w:spacing w:after="0"/>
              <w:rPr>
                <w:sz w:val="20"/>
                <w:szCs w:val="20"/>
                <w:color w:val="auto"/>
              </w:rPr>
            </w:pPr>
            <w:r>
              <w:rPr>
                <w:rFonts w:ascii="Arial" w:cs="Arial" w:eastAsia="Arial" w:hAnsi="Arial"/>
                <w:sz w:val="14"/>
                <w:szCs w:val="14"/>
                <w:b w:val="1"/>
                <w:bCs w:val="1"/>
                <w:color w:val="auto"/>
                <w:w w:val="90"/>
              </w:rPr>
              <w:t>Classification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3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Type</w:t>
            </w:r>
          </w:p>
        </w:tc>
        <w:tc>
          <w:tcPr>
            <w:tcW w:w="1920" w:type="dxa"/>
            <w:vAlign w:val="bottom"/>
            <w:gridSpan w:val="4"/>
          </w:tcPr>
          <w:p>
            <w:pPr>
              <w:jc w:val="center"/>
              <w:ind w:right="145"/>
              <w:spacing w:after="0" w:line="142" w:lineRule="exact"/>
              <w:rPr>
                <w:sz w:val="20"/>
                <w:szCs w:val="20"/>
                <w:color w:val="auto"/>
              </w:rPr>
            </w:pPr>
            <w:r>
              <w:rPr>
                <w:rFonts w:ascii="Arial" w:cs="Arial" w:eastAsia="Arial" w:hAnsi="Arial"/>
                <w:sz w:val="14"/>
                <w:szCs w:val="14"/>
                <w:b w:val="1"/>
                <w:bCs w:val="1"/>
                <w:color w:val="auto"/>
                <w:w w:val="91"/>
              </w:rPr>
              <w:t>Income (Expense)</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Reverse Swap Agreement</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Swap Agreement 1</w:t>
            </w:r>
          </w:p>
        </w:tc>
        <w:tc>
          <w:tcPr>
            <w:tcW w:w="1920" w:type="dxa"/>
            <w:vAlign w:val="bottom"/>
            <w:gridSpan w:val="4"/>
          </w:tcPr>
          <w:p>
            <w:pPr>
              <w:jc w:val="center"/>
              <w:ind w:right="145"/>
              <w:spacing w:after="0"/>
              <w:rPr>
                <w:sz w:val="20"/>
                <w:szCs w:val="20"/>
                <w:color w:val="auto"/>
              </w:rPr>
            </w:pPr>
            <w:r>
              <w:rPr>
                <w:rFonts w:ascii="Arial" w:cs="Arial" w:eastAsia="Arial" w:hAnsi="Arial"/>
                <w:sz w:val="18"/>
                <w:szCs w:val="18"/>
                <w:color w:val="auto"/>
                <w:w w:val="88"/>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Swap Agreement 2</w:t>
            </w:r>
          </w:p>
        </w:tc>
        <w:tc>
          <w:tcPr>
            <w:tcW w:w="1920" w:type="dxa"/>
            <w:vAlign w:val="bottom"/>
            <w:gridSpan w:val="4"/>
            <w:shd w:val="clear" w:color="auto" w:fill="CCEEFF"/>
          </w:tcPr>
          <w:p>
            <w:pPr>
              <w:jc w:val="center"/>
              <w:ind w:right="145"/>
              <w:spacing w:after="0"/>
              <w:rPr>
                <w:sz w:val="20"/>
                <w:szCs w:val="20"/>
                <w:color w:val="auto"/>
              </w:rPr>
            </w:pPr>
            <w:r>
              <w:rPr>
                <w:rFonts w:ascii="Arial" w:cs="Arial" w:eastAsia="Arial" w:hAnsi="Arial"/>
                <w:sz w:val="18"/>
                <w:szCs w:val="18"/>
                <w:color w:val="auto"/>
                <w:w w:val="88"/>
              </w:rPr>
              <w:t>Interest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Swap Agreement 3</w:t>
            </w:r>
          </w:p>
        </w:tc>
        <w:tc>
          <w:tcPr>
            <w:tcW w:w="1920" w:type="dxa"/>
            <w:vAlign w:val="bottom"/>
            <w:gridSpan w:val="4"/>
          </w:tcPr>
          <w:p>
            <w:pPr>
              <w:jc w:val="center"/>
              <w:ind w:right="145"/>
              <w:spacing w:after="0"/>
              <w:rPr>
                <w:sz w:val="20"/>
                <w:szCs w:val="20"/>
                <w:color w:val="auto"/>
              </w:rPr>
            </w:pPr>
            <w:r>
              <w:rPr>
                <w:rFonts w:ascii="Arial" w:cs="Arial" w:eastAsia="Arial" w:hAnsi="Arial"/>
                <w:sz w:val="18"/>
                <w:szCs w:val="18"/>
                <w:color w:val="auto"/>
                <w:w w:val="88"/>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Swap Agreement 4</w:t>
            </w:r>
          </w:p>
        </w:tc>
        <w:tc>
          <w:tcPr>
            <w:tcW w:w="1920" w:type="dxa"/>
            <w:vAlign w:val="bottom"/>
            <w:gridSpan w:val="4"/>
            <w:shd w:val="clear" w:color="auto" w:fill="CCEEFF"/>
          </w:tcPr>
          <w:p>
            <w:pPr>
              <w:jc w:val="center"/>
              <w:ind w:right="145"/>
              <w:spacing w:after="0"/>
              <w:rPr>
                <w:sz w:val="20"/>
                <w:szCs w:val="20"/>
                <w:color w:val="auto"/>
              </w:rPr>
            </w:pPr>
            <w:r>
              <w:rPr>
                <w:rFonts w:ascii="Arial" w:cs="Arial" w:eastAsia="Arial" w:hAnsi="Arial"/>
                <w:sz w:val="18"/>
                <w:szCs w:val="18"/>
                <w:color w:val="auto"/>
                <w:w w:val="88"/>
              </w:rPr>
              <w:t>Interest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Swap Agreement 5</w:t>
            </w:r>
          </w:p>
        </w:tc>
        <w:tc>
          <w:tcPr>
            <w:tcW w:w="1920" w:type="dxa"/>
            <w:vAlign w:val="bottom"/>
            <w:gridSpan w:val="4"/>
          </w:tcPr>
          <w:p>
            <w:pPr>
              <w:jc w:val="center"/>
              <w:ind w:right="145"/>
              <w:spacing w:after="0"/>
              <w:rPr>
                <w:sz w:val="20"/>
                <w:szCs w:val="20"/>
                <w:color w:val="auto"/>
              </w:rPr>
            </w:pPr>
            <w:r>
              <w:rPr>
                <w:rFonts w:ascii="Arial" w:cs="Arial" w:eastAsia="Arial" w:hAnsi="Arial"/>
                <w:sz w:val="18"/>
                <w:szCs w:val="18"/>
                <w:color w:val="auto"/>
                <w:w w:val="88"/>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Swap Agreement 6</w:t>
            </w:r>
          </w:p>
        </w:tc>
        <w:tc>
          <w:tcPr>
            <w:tcW w:w="1920" w:type="dxa"/>
            <w:vAlign w:val="bottom"/>
            <w:gridSpan w:val="4"/>
            <w:shd w:val="clear" w:color="auto" w:fill="CCEEFF"/>
          </w:tcPr>
          <w:p>
            <w:pPr>
              <w:jc w:val="center"/>
              <w:ind w:right="145"/>
              <w:spacing w:after="0"/>
              <w:rPr>
                <w:sz w:val="20"/>
                <w:szCs w:val="20"/>
                <w:color w:val="auto"/>
              </w:rPr>
            </w:pPr>
            <w:r>
              <w:rPr>
                <w:rFonts w:ascii="Arial" w:cs="Arial" w:eastAsia="Arial" w:hAnsi="Arial"/>
                <w:sz w:val="18"/>
                <w:szCs w:val="18"/>
                <w:color w:val="auto"/>
                <w:w w:val="88"/>
              </w:rPr>
              <w:t>Interest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11"/>
          </w:tcPr>
          <w:p>
            <w:pPr>
              <w:spacing w:after="0"/>
              <w:rPr>
                <w:sz w:val="20"/>
                <w:szCs w:val="20"/>
                <w:color w:val="auto"/>
              </w:rPr>
            </w:pPr>
            <w:r>
              <w:rPr>
                <w:rFonts w:ascii="Arial" w:cs="Arial" w:eastAsia="Arial" w:hAnsi="Arial"/>
                <w:sz w:val="18"/>
                <w:szCs w:val="18"/>
                <w:color w:val="auto"/>
              </w:rPr>
              <w:t>Information relating to the gains recognized on the swap agreements is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1"/>
              </w:rPr>
              <w:t>Gain (loss)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9"/>
              </w:rPr>
              <w:t>Gain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amounts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4"/>
                <w:szCs w:val="14"/>
                <w:b w:val="1"/>
                <w:bCs w:val="1"/>
                <w:color w:val="auto"/>
              </w:rPr>
              <w:t>OCI</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recognized in OCI</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reclassified from</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center"/>
              <w:ind w:right="50"/>
              <w:spacing w:after="0" w:line="142" w:lineRule="exact"/>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gridSpan w:val="3"/>
          </w:tcPr>
          <w:p>
            <w:pPr>
              <w:ind w:left="1200"/>
              <w:spacing w:after="0" w:line="142" w:lineRule="exact"/>
              <w:rPr>
                <w:sz w:val="20"/>
                <w:szCs w:val="20"/>
                <w:color w:val="auto"/>
              </w:rPr>
            </w:pPr>
            <w:r>
              <w:rPr>
                <w:rFonts w:ascii="Arial" w:cs="Arial" w:eastAsia="Arial" w:hAnsi="Arial"/>
                <w:sz w:val="14"/>
                <w:szCs w:val="14"/>
                <w:b w:val="1"/>
                <w:bCs w:val="1"/>
                <w:color w:val="auto"/>
              </w:rPr>
              <w:t>Type</w:t>
            </w: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right"/>
              <w:ind w:right="113"/>
              <w:spacing w:after="0" w:line="142" w:lineRule="exact"/>
              <w:rPr>
                <w:sz w:val="20"/>
                <w:szCs w:val="20"/>
                <w:color w:val="auto"/>
              </w:rPr>
            </w:pPr>
            <w:r>
              <w:rPr>
                <w:rFonts w:ascii="Arial" w:cs="Arial" w:eastAsia="Arial" w:hAnsi="Arial"/>
                <w:sz w:val="14"/>
                <w:szCs w:val="14"/>
                <w:b w:val="1"/>
                <w:bCs w:val="1"/>
                <w:color w:val="auto"/>
                <w:w w:val="94"/>
              </w:rPr>
              <w:t>September 30, 2010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OCI into 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September 30, 2010</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Swap Agreement 1</w:t>
            </w:r>
          </w:p>
        </w:tc>
        <w:tc>
          <w:tcPr>
            <w:tcW w:w="1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Swap Agreement 2</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5"/>
              </w:rPr>
              <w:t>(547)</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 3</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(218)</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Swap Agreement 4</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5"/>
              </w:rPr>
              <w:t>(196)</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 5</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Swap Agreement 6</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5"/>
              </w:rPr>
              <w:t>(224)</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Swap Agreements were highly effective for the nine months ended September 30, 2010. The losses reclassified from other comprehensive income (“OCI”) in the preceding table represent the effective portion of the Company’s cash flow hedges reclassified from OCI to interest expense during the nine months ended September 30, 2010.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and carrying amounts of the interest rate swaps are as follows:</w:t>
      </w:r>
    </w:p>
    <w:p>
      <w:pPr>
        <w:sectPr>
          <w:pgSz w:w="11900" w:h="16838" w:orient="portrait"/>
          <w:cols w:equalWidth="0" w:num="1">
            <w:col w:w="11420"/>
          </w:cols>
          <w:pgMar w:left="240" w:top="125" w:right="239" w:bottom="0" w:gutter="0" w:footer="0" w:header="0"/>
        </w:sectPr>
      </w:pPr>
    </w:p>
    <w:bookmarkStart w:id="12" w:name="page13"/>
    <w:bookmarkEnd w:id="12"/>
    <w:tbl>
      <w:tblPr>
        <w:tblLayout w:type="fixed"/>
        <w:tblInd w:w="3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Asset (Liability) Derivatives</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w:t>
            </w:r>
          </w:p>
        </w:tc>
        <w:tc>
          <w:tcPr>
            <w:tcW w:w="300" w:type="dxa"/>
            <w:vAlign w:val="bottom"/>
          </w:tcPr>
          <w:p>
            <w:pPr>
              <w:spacing w:after="0"/>
              <w:rPr>
                <w:sz w:val="12"/>
                <w:szCs w:val="12"/>
                <w:color w:val="auto"/>
              </w:rPr>
            </w:pPr>
          </w:p>
        </w:tc>
        <w:tc>
          <w:tcPr>
            <w:tcW w:w="2400" w:type="dxa"/>
            <w:vAlign w:val="bottom"/>
            <w:tcBorders>
              <w:bottom w:val="single" w:sz="8" w:color="auto"/>
            </w:tcBorders>
            <w:gridSpan w:val="3"/>
          </w:tcPr>
          <w:p>
            <w:pPr>
              <w:jc w:val="right"/>
              <w:ind w:right="25"/>
              <w:spacing w:after="0" w:line="142" w:lineRule="exact"/>
              <w:rPr>
                <w:sz w:val="20"/>
                <w:szCs w:val="20"/>
                <w:color w:val="auto"/>
              </w:rPr>
            </w:pPr>
            <w:r>
              <w:rPr>
                <w:rFonts w:ascii="Arial" w:cs="Arial" w:eastAsia="Arial" w:hAnsi="Arial"/>
                <w:sz w:val="14"/>
                <w:szCs w:val="14"/>
                <w:b w:val="1"/>
                <w:bCs w:val="1"/>
                <w:color w:val="auto"/>
              </w:rPr>
              <w:t>September 30, 2010</w:t>
            </w:r>
          </w:p>
        </w:tc>
        <w:tc>
          <w:tcPr>
            <w:tcW w:w="9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Borders>
              <w:bottom w:val="single" w:sz="8" w:color="auto"/>
            </w:tcBorders>
            <w:gridSpan w:val="3"/>
          </w:tcPr>
          <w:p>
            <w:pPr>
              <w:ind w:left="1100"/>
              <w:spacing w:after="0" w:line="142" w:lineRule="exact"/>
              <w:rPr>
                <w:sz w:val="20"/>
                <w:szCs w:val="20"/>
                <w:color w:val="auto"/>
              </w:rPr>
            </w:pPr>
            <w:r>
              <w:rPr>
                <w:rFonts w:ascii="Arial" w:cs="Arial" w:eastAsia="Arial" w:hAnsi="Arial"/>
                <w:sz w:val="14"/>
                <w:szCs w:val="14"/>
                <w:b w:val="1"/>
                <w:bCs w:val="1"/>
                <w:color w:val="auto"/>
                <w:w w:val="99"/>
              </w:rPr>
              <w:t>December 31, 2009</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20" w:type="dxa"/>
            <w:vAlign w:val="bottom"/>
            <w:gridSpan w:val="2"/>
          </w:tcPr>
          <w:p>
            <w:pPr>
              <w:ind w:left="440"/>
              <w:spacing w:after="0" w:line="119" w:lineRule="exact"/>
              <w:rPr>
                <w:sz w:val="20"/>
                <w:szCs w:val="20"/>
                <w:color w:val="auto"/>
              </w:rPr>
            </w:pPr>
            <w:r>
              <w:rPr>
                <w:rFonts w:ascii="Arial" w:cs="Arial" w:eastAsia="Arial" w:hAnsi="Arial"/>
                <w:sz w:val="13"/>
                <w:szCs w:val="13"/>
                <w:b w:val="1"/>
                <w:bCs w:val="1"/>
                <w:color w:val="auto"/>
              </w:rPr>
              <w:t>Balance Sheet</w:t>
            </w:r>
          </w:p>
        </w:tc>
        <w:tc>
          <w:tcPr>
            <w:tcW w:w="380" w:type="dxa"/>
            <w:vAlign w:val="bottom"/>
          </w:tcPr>
          <w:p>
            <w:pPr>
              <w:spacing w:after="0"/>
              <w:rPr>
                <w:sz w:val="10"/>
                <w:szCs w:val="10"/>
                <w:color w:val="auto"/>
              </w:rPr>
            </w:pPr>
          </w:p>
        </w:tc>
        <w:tc>
          <w:tcPr>
            <w:tcW w:w="980" w:type="dxa"/>
            <w:vAlign w:val="bottom"/>
          </w:tcPr>
          <w:p>
            <w:pPr>
              <w:jc w:val="right"/>
              <w:ind w:right="456"/>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170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Balance Sheet</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jc w:val="right"/>
              <w:ind w:right="475"/>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300" w:type="dxa"/>
            <w:vAlign w:val="bottom"/>
          </w:tcPr>
          <w:p>
            <w:pPr>
              <w:spacing w:after="0"/>
              <w:rPr>
                <w:sz w:val="14"/>
                <w:szCs w:val="14"/>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Location</w:t>
            </w:r>
          </w:p>
        </w:tc>
        <w:tc>
          <w:tcPr>
            <w:tcW w:w="38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1700" w:type="dxa"/>
            <w:vAlign w:val="bottom"/>
          </w:tcPr>
          <w:p>
            <w:pPr>
              <w:ind w:left="580"/>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Swap Agreement 1</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8"/>
                <w:szCs w:val="18"/>
                <w:color w:val="auto"/>
                <w:w w:val="93"/>
              </w:rPr>
              <w:t>Other liabilities</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Swap Agreement 2</w:t>
            </w:r>
          </w:p>
        </w:tc>
        <w:tc>
          <w:tcPr>
            <w:tcW w:w="2320" w:type="dxa"/>
            <w:vAlign w:val="bottom"/>
            <w:gridSpan w:val="3"/>
          </w:tcPr>
          <w:p>
            <w:pPr>
              <w:jc w:val="right"/>
              <w:ind w:right="90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(1,909)</w:t>
            </w:r>
          </w:p>
        </w:tc>
        <w:tc>
          <w:tcPr>
            <w:tcW w:w="170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3</w:t>
            </w:r>
          </w:p>
        </w:tc>
        <w:tc>
          <w:tcPr>
            <w:tcW w:w="23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Swap Agreement 4</w:t>
            </w:r>
          </w:p>
        </w:tc>
        <w:tc>
          <w:tcPr>
            <w:tcW w:w="2320" w:type="dxa"/>
            <w:vAlign w:val="bottom"/>
            <w:gridSpan w:val="3"/>
          </w:tcPr>
          <w:p>
            <w:pPr>
              <w:jc w:val="right"/>
              <w:ind w:right="90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170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5</w:t>
            </w:r>
          </w:p>
        </w:tc>
        <w:tc>
          <w:tcPr>
            <w:tcW w:w="23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Swap Agreement 6</w:t>
            </w:r>
          </w:p>
        </w:tc>
        <w:tc>
          <w:tcPr>
            <w:tcW w:w="2320" w:type="dxa"/>
            <w:vAlign w:val="bottom"/>
            <w:gridSpan w:val="3"/>
          </w:tcPr>
          <w:p>
            <w:pPr>
              <w:jc w:val="right"/>
              <w:ind w:right="90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(2,014)</w:t>
            </w:r>
          </w:p>
        </w:tc>
        <w:tc>
          <w:tcPr>
            <w:tcW w:w="1700" w:type="dxa"/>
            <w:vAlign w:val="bottom"/>
          </w:tcPr>
          <w:p>
            <w:pP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 TO TRUSTS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had a fixed rate of 6.91% through July 31, 2010, and is now payable at a variable rate equal to the three-month LIBOR plus 2.40% per annum. The interest on Note 3, payable quarterly, will be used by the Trust III to pay dividends on the trust preferred securities. The trust preferred securities became redeemable by the Trust with no prepayment premium on July 27, 2010.</w:t>
      </w:r>
    </w:p>
    <w:p>
      <w:pPr>
        <w:spacing w:after="0" w:line="18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During May 2005, ESS Statutory Trust II (the “Trust II”), a newly formed Delaware statutory trust and a wholly-owned, unconsolidated subsidiary of the Operating Partnership,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had a fixed rate of 6.67% through June 30, 2010, and is now payable at a variable rate equal to the three-month LIBOR plus 2.40% per annum. The interest on Note 2, payable quarterly, will be used by the Trust</w:t>
      </w:r>
    </w:p>
    <w:p>
      <w:pPr>
        <w:spacing w:after="0" w:line="2" w:lineRule="exact"/>
        <w:rPr>
          <w:sz w:val="20"/>
          <w:szCs w:val="20"/>
          <w:color w:val="auto"/>
        </w:rPr>
      </w:pPr>
    </w:p>
    <w:p>
      <w:pPr>
        <w:ind w:right="180" w:firstLine="8"/>
        <w:spacing w:after="0" w:line="261" w:lineRule="auto"/>
        <w:tabs>
          <w:tab w:leader="none" w:pos="1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pay dividends on the trust preferred securities. The trust preferred securities became redeemable by the Trust with no prepayment premium on June 30, 2010.</w:t>
      </w:r>
    </w:p>
    <w:p>
      <w:pPr>
        <w:spacing w:after="0" w:line="18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During April 2005, ESS Statutory Trust I (the “Trust”), a newly formed Delaware statutory trust and a wholly-owned, unconsolidated subsidiary of the Operating Partnership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three-month LIBOR plus 2.25% per annum. Effective June 30, 2010, the Trust entered into an interest rate swap that fixes the interest rate to be paid at 5.62% and matures on June 30, 2015. The interest on the Note, payable quarterly, will be used by the Trust to pay dividends on the trust preferred securities. The trust preferred securities became redeemable by the Trust with no prepayment premium on June 30, 2010.</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Trust, Trust II and Trust III are VIEs because the holders of the equity investment at risk (the trust preferred securities) do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as discussed above for the proceeds, which are owed to the Trust, Trust II and Trust III by the Company. The Company has also recorded its investment in the trusts’ common securities as other assets.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Following is a tabular comparison of the liabilities the Company has recorded as a result of its involvement with the trusts and the maximum exposure to loss the Company is subject to related to the trusts as of September 30, 2010:</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Notes payable</w:t>
            </w:r>
          </w:p>
        </w:tc>
        <w:tc>
          <w:tcPr>
            <w:tcW w:w="240" w:type="dxa"/>
            <w:vAlign w:val="bottom"/>
          </w:tcPr>
          <w:p>
            <w:pPr>
              <w:spacing w:after="0"/>
              <w:rPr>
                <w:sz w:val="14"/>
                <w:szCs w:val="14"/>
                <w:color w:val="auto"/>
              </w:rPr>
            </w:pPr>
          </w:p>
        </w:tc>
        <w:tc>
          <w:tcPr>
            <w:tcW w:w="17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9"/>
              </w:rPr>
              <w:t>Maximum</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to Trusts as of</w:t>
            </w: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 2010</w:t>
            </w:r>
          </w:p>
        </w:tc>
        <w:tc>
          <w:tcPr>
            <w:tcW w:w="240" w:type="dxa"/>
            <w:vAlign w:val="bottom"/>
          </w:tcPr>
          <w:p>
            <w:pPr>
              <w:spacing w:after="0"/>
              <w:rPr>
                <w:sz w:val="14"/>
                <w:szCs w:val="14"/>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exposure to loss</w:t>
            </w:r>
          </w:p>
        </w:tc>
        <w:tc>
          <w:tcPr>
            <w:tcW w:w="3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Trust II</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42,269</w:t>
            </w:r>
          </w:p>
        </w:tc>
        <w:tc>
          <w:tcPr>
            <w:tcW w:w="2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41,000</w:t>
            </w:r>
          </w:p>
        </w:tc>
        <w:tc>
          <w:tcPr>
            <w:tcW w:w="3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41,238</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119,590</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116,000</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noted above, these differences represent the amounts that the trusts would repay the Company for its investment in the trusts’ common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EXCHANGEABLE SENIOR NOTES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March 27, 2007, the Company’s Operating Partnership issued $250,000 of its 3.625% Exchangeable Senior Notes due April 1, 2027 (the “Notes”). Costs incurred to issue the Notes were approximately $5,700. The remaining portion of these costs are being amortized over five years, which represents the estimated term of the Notes, and are included in other assets in the condensed consolidated balance sheet as of September 30, 2010. The Notes are general unsecured senior obligations of the Operating Partnership and are fully guaranteed by the Company. Interest is payable on April 1 and October 1 of each year</w:t>
      </w:r>
    </w:p>
    <w:p>
      <w:pPr>
        <w:sectPr>
          <w:pgSz w:w="11900" w:h="16838" w:orient="portrait"/>
          <w:cols w:equalWidth="0" w:num="1">
            <w:col w:w="11420"/>
          </w:cols>
          <w:pgMar w:left="240" w:top="333" w:right="239" w:bottom="0" w:gutter="0" w:footer="0" w:header="0"/>
        </w:sectPr>
      </w:pPr>
    </w:p>
    <w:bookmarkStart w:id="13" w:name="page14"/>
    <w:bookmarkEnd w:id="13"/>
    <w:p>
      <w:pPr>
        <w:ind w:right="180"/>
        <w:spacing w:after="0" w:line="279" w:lineRule="auto"/>
        <w:rPr>
          <w:sz w:val="20"/>
          <w:szCs w:val="20"/>
          <w:color w:val="auto"/>
        </w:rPr>
      </w:pPr>
      <w:r>
        <w:rPr>
          <w:rFonts w:ascii="Arial" w:cs="Arial" w:eastAsia="Arial" w:hAnsi="Arial"/>
          <w:sz w:val="17"/>
          <w:szCs w:val="17"/>
          <w:color w:val="auto"/>
        </w:rPr>
        <w:t>until the maturity date of April 1, 2027. The Notes bear interest at 3.625% per annum and contain an exchange settlement feature, which provides that the Notes may, under certain circumstances, be exchangeable for cash (up to the principal amount of the Notes) and, with respect to any excess exchange value, for cash, shares of common stock or a combination of cash and shares of common stock at an exchange rate of approximately 42.6491 shares per one thousand dollars principal amount of Notes at the option of the Operating Partnership.</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may redeem the Notes at any time to preserve the Company’s status as a REIT. In addition, on or after April 5, 2012, the Operating Partnership may redeem the Notes for cash, in whole or in part, at 100% of the principal amount plus accrued and unpaid interest, upon at least 30 days, but not more than 60 days, prior written notice to holders of the Notes.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holders of the Notes have the right to require the Operating Partnership to repurchase the Notes for cash, in whole or in part, on each of April 1, 2012, April 1, 2017 and April 1, 2022, and upon the occurrence of a designated event, in each case for a repurchase price equal to 100% of the principal amount of the Notes plus accrued and unpaid interest. Certain events are considered “Events of Default,” as defined in the indenture governing the Notes, which may result in the accelerated maturity of the Notes.</w:t>
      </w:r>
    </w:p>
    <w:p>
      <w:pPr>
        <w:spacing w:after="0" w:line="187"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components of the Notes separately. The equity component is included in the paid-in-capital section of stockholders’ equity on the condensed consolidated balance sheet, and the value of the equity component is treated as original issue discount for purposes of accounting for the debt component. The discount is being amortized over the period of the debt as additional interest expense.</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Information about the carrying amounts of the equity component, the principal amount of the liability component, its unamortized discount, and its net carrying amount are as follows: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2009</w:t>
            </w: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3"/>
              </w:rPr>
              <w:t>19,545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liability component</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87,663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Unamortized discount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1160"/>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(3,869)</w:t>
            </w: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 of liability component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3"/>
              </w:rPr>
              <w:t>85,030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discount will be amortized over the remaining period of the debt through its first redemption date of April 1, 2012. The effective interest rate on the liability component is 5.75%.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amount of interest cost recognized relating to the contractual interest rate and the amortization of the discount on the liability component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1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416</w:t>
            </w:r>
          </w:p>
        </w:tc>
        <w:tc>
          <w:tcPr>
            <w:tcW w:w="9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430</w:t>
            </w:r>
          </w:p>
        </w:tc>
        <w:tc>
          <w:tcPr>
            <w:tcW w:w="8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1,236</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1,834</w:t>
            </w:r>
          </w:p>
        </w:tc>
        <w:tc>
          <w:tcPr>
            <w:tcW w:w="100" w:type="dxa"/>
            <w:vAlign w:val="bottom"/>
          </w:tcPr>
          <w:p>
            <w:pPr>
              <w:spacing w:after="0"/>
              <w:rPr>
                <w:sz w:val="18"/>
                <w:szCs w:val="18"/>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 recognized</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5,557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Notes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repurchased a portion of its Notes. The Company allocated the value of the consideration paid to repurchase the Notes (1) to the extinguishment of the liability component and (2)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Notes, and recognized as a reduction of stockholders’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repurchases made during the nine months ended September 30, 2009 and the related gains is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May 2009</w:t>
            </w:r>
          </w:p>
        </w:tc>
        <w:tc>
          <w:tcPr>
            <w:tcW w:w="28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2009</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repurchased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 allocated to:</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Extinguishment of liability component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Reacquisition of equity component</w:t>
            </w:r>
          </w:p>
        </w:tc>
        <w:tc>
          <w:tcPr>
            <w:tcW w:w="3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1,340</w:t>
            </w:r>
          </w:p>
        </w:tc>
        <w:tc>
          <w:tcPr>
            <w:tcW w:w="2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paid for repurchase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repurchased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Extinguishment of liability component</w:t>
            </w:r>
          </w:p>
        </w:tc>
        <w:tc>
          <w:tcPr>
            <w:tcW w:w="3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Discount on exchangeable senior notes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Related debt issuance costs</w:t>
            </w:r>
          </w:p>
        </w:tc>
        <w:tc>
          <w:tcPr>
            <w:tcW w:w="3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repurchase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made during the nine months ended September 30,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LINES OF CREDIT</w:t>
      </w:r>
    </w:p>
    <w:p>
      <w:pPr>
        <w:sectPr>
          <w:pgSz w:w="11900" w:h="16838" w:orient="portrait"/>
          <w:cols w:equalWidth="0" w:num="1">
            <w:col w:w="11420"/>
          </w:cols>
          <w:pgMar w:left="240" w:top="125" w:right="239" w:bottom="50" w:gutter="0" w:footer="0" w:header="0"/>
        </w:sectPr>
      </w:pPr>
    </w:p>
    <w:bookmarkStart w:id="14" w:name="page15"/>
    <w:bookmarkEnd w:id="14"/>
    <w:p>
      <w:pPr>
        <w:ind w:right="60"/>
        <w:spacing w:after="0" w:line="297" w:lineRule="auto"/>
        <w:rPr>
          <w:sz w:val="20"/>
          <w:szCs w:val="20"/>
          <w:color w:val="auto"/>
        </w:rPr>
      </w:pPr>
      <w:r>
        <w:rPr>
          <w:rFonts w:ascii="Arial" w:cs="Arial" w:eastAsia="Arial" w:hAnsi="Arial"/>
          <w:sz w:val="16"/>
          <w:szCs w:val="16"/>
          <w:color w:val="auto"/>
        </w:rPr>
        <w:t>On June 4, 2010, a subsidiary of the Company entered into a $45,000 revolving secured line of credit (the “Third Credit Line”) that is collateralized by mortgages on certain lease-up real estate assets and matures on May 31, 2013 with a two-year extension option available. The Company intends to use the proceeds of the Third Credit Line to repay debt and for general corporate purposes. The Third Credit Line has an interest rate of LIBOR plus 350 basis points (3.8% at September 30, 2010). The Third Credit Line is guaranteed by the Company. As of September 30, 2010, the Third Credit Line had $25,467 of capacity based on the lease-up of the assets collateralizing the Third Credit Line. At September 30, 2010, $10,000 was drawn on the Third Credit Line.</w:t>
      </w:r>
    </w:p>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February 13, 2009, a subsidiary of the Company entered into a $50,000 revolving secured line of credit (the “Secondary Credit Line”) that is collateralized by mortgages on certain real estate assets and matures on February 13, 2013 with an option to extend one additional year. The Company intends to use the proceeds of the Secondary Credit Line to repay debt and for general corporate purposes. The Secondary Credit Line has an interest rate of LIBOR plus 350 basis points (3.8% at September 30, 2010 and 3.7% at December 31, 2009). As of September 30, 2010 and December 31, 2009, there was $5,000 and $0, respectively, drawn on the Secondary Credit Line. The Secondary Credit Line is guaranteed by the Company.</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October 16, 2007, a subsidiary entered into a $100,000 revolving secured line of credit (the “Credit Line” and together with the Secondary Credit Line and the Third Credit Line, the “Credit Lines”) that matures on October 31, 2010 with two one-year extensions available. As of September 30, 2010 and December 31, 2009, $100,000 was drawn on the Credit Line. The Company intends to use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proceeds of the Credit Line to repay debt and for general corporate purposes. The Credit Line has an interest rate of between 100 and 205 basis points over LIBOR, depending on certain financial ratios of the Company (1.3% at September 30, 2010 and 1.2% at December 31, 2009). The Credit Line is collateralized by mortgages on certain real estate assets. As of September 30, 2010, the Credit Line had $100,000 of capacity based on the assets collateralizing the Credit 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liabilities are summarized as follows:</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Lease obligation liability</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7,287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interest rate swaps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Income taxes payable (receivable)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liabilities</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lease obligation liability increased by $2,000 in the period ended September 30, 2010 as a result of the bankruptcy of a tenant subleasing office space from the Company in Memphis, TN. The Memphis, TN office lease is a liability assumed in the Storage USA acquisition in July, 2005. The increase in this liability was recognized through a $2,000 charge, which is included in loss on sublease in the condensed consolidated statement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AND AFFILIATED REAL ESTATE JOINT VENTURE TRANSACTIONS</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provides management services to certain joint ventures, franchises, third parties and other related party properties. Management agreements provide generally for management fees of 6% of gross rental revenues for the management of operations at the self-storage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Management fee revenues for related parties and affiliated real estate joint ventures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300" w:type="dxa"/>
            <w:vAlign w:val="bottom"/>
          </w:tcPr>
          <w:p>
            <w:pPr>
              <w:spacing w:after="0"/>
              <w:rPr>
                <w:sz w:val="14"/>
                <w:szCs w:val="14"/>
                <w:color w:val="auto"/>
              </w:rPr>
            </w:pPr>
          </w:p>
        </w:tc>
        <w:tc>
          <w:tcPr>
            <w:tcW w:w="31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Type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ESW</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ESW II</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ESNPS</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ESSM</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HSRE</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PRISA</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1,223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3,592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PRISA II</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PRISA III</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VRS</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WCOT</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SP I</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SPB II</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Everest</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Affiliated real estate joint ventures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Other</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Franchisees, third parties and other</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3,613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Receivables from related parties and affiliated real estate joint ventures are summarized as follows:</w:t>
      </w:r>
    </w:p>
    <w:p>
      <w:pPr>
        <w:sectPr>
          <w:pgSz w:w="11900" w:h="16838" w:orient="portrait"/>
          <w:cols w:equalWidth="0" w:num="1">
            <w:col w:w="11460"/>
          </w:cols>
          <w:pgMar w:left="240" w:top="125" w:right="199" w:bottom="0" w:gutter="0" w:footer="0" w:header="0"/>
        </w:sectPr>
      </w:pPr>
    </w:p>
    <w:bookmarkStart w:id="15" w:name="page16"/>
    <w:bookmarkEnd w:id="15"/>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September 30, 2010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receivables from properties</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24,593</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receivables from properties consist of amounts due for management fees, development fees and expenses paid by the Company on behalf of the properties that the Company manages. The Company believes that all of these related party and affiliated joint venture receivables are fully collectible. The Company did not have any payables to related parties at September 30, 2010 or December 31, 2009.</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In January 2009, the Company purchased a lender’s interest in a construction loan from a joint venture that owns a single property located in Sacramento, CA. The construction loan was to ESS of Sacramento One, LLC, a joint venture in which the Company owns a 50% interest, and was guaranteed by the Company. In July 2009, the Company purchased a lender’s interest in a mortgage note from a joint venture that owns a single property located in Chicago, IL. The note was to Extra Space of Montrose, a joint venture in which the Company holds a 39% interest, and was also guaranteed by the Company. Both ESS of Sacramento One, LLC and Extra Space of Montrose were consolidated as of December 31, 2009, as each joint venture was considered to be a VIE of which the Company was the primary beneficiary. The construction loan and mortgage note receivable were eliminated by the Company in consolidation as of December 31, 2009. On January 1, 2010, the Company adopted changes to the accounting guidance in ASC 810, </w:t>
      </w: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As a result of the adoption of this new guidance, the Company determined that these joint ventures should no longer be consolidated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power to direct the activities that most significantly impact these entities’ economic performance is shared equally by the Company and their joint venture partners, and therefore there is no primary beneficiary of either joint venture. The Company therefore deconsolidated these joint ventures as of January 1, 2010, and removed the associated assets and liabilities from its books. The $7,295 note receivable from Extra Space of Montrose and the $3,824 loan receivable from ESS of Sacramento One, LLC are no longer eliminated in consolidation as the Company now accounts for its interest in these joint ventures using the equity method of accounting.</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August 2010, Extra Space of Franklin Boulevard LLC, a joint venture in which the Company holds a 50% interest, closed an amendment and extension of their existing loan. This amendment required a partial pay down of the existing loan. The Company loaned $2,323 to the joint venture, which is classified by the Company as a mortgage note receivable.</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Centershift, a related party service provider, is partially owned by certain directors and members of management of the Company. Effective January 1, 2004, the Company entered into a license agreement with Centershift to secure a perpetual right for continued use of STORE (the site management software used at all sites operated by the Company) in all aspects of the Company’s property acquisition, development, redevelopment and operational activities. The Company paid Centershift $211 and $352 for the three months ended September 30, 2010 and 2009, respectively, and $583 and $820 for the nine months ended September 30, 2010 and 2009, respectively, relating to the purchase of software and to license agreements.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entered into an aircraft dry lease and service and management agreement with SpenAero, L.C. (“SpenAero”), an affiliate of Spencer F. Kirk, the Company’s Chairman and Chief Executive Officer. Under the terms of the agreement, the Company pays a defined hourly rate for use of the aircraft. The Company paid SpenAero and related entities $170 and $151 for the three months ended September 30, 2010 and 2009, respectively, and $520 and $623 for the nine months ended September 30, 2010 and 2009, respectively. The services that the Company receives from SpenAero are similar in nature and price to those that are provided to other outside third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charter provides that it can issue up to 300,000,000 shares of common stock, $0.01 par value per share and 50,000,000 shares of preferred stock, $0.01 par value per share. As of September 30, 2010, 87,545,312 shares of common stock were issued and outstanding and no shares of preferred stock were issued and outstanding.</w:t>
      </w:r>
    </w:p>
    <w:p>
      <w:pPr>
        <w:spacing w:after="0" w:line="181" w:lineRule="exact"/>
        <w:rPr>
          <w:sz w:val="20"/>
          <w:szCs w:val="20"/>
          <w:color w:val="auto"/>
        </w:rPr>
      </w:pPr>
    </w:p>
    <w:p>
      <w:pPr>
        <w:ind w:right="980"/>
        <w:spacing w:after="0" w:line="308" w:lineRule="auto"/>
        <w:rPr>
          <w:sz w:val="20"/>
          <w:szCs w:val="20"/>
          <w:color w:val="auto"/>
        </w:rPr>
      </w:pPr>
      <w:r>
        <w:rPr>
          <w:rFonts w:ascii="Arial" w:cs="Arial" w:eastAsia="Arial" w:hAnsi="Arial"/>
          <w:sz w:val="17"/>
          <w:szCs w:val="17"/>
          <w:color w:val="auto"/>
        </w:rPr>
        <w:t>All holders of the Company’s common stock are entitled to receive dividends and to one vote per share held on all matters submitted to a vote of stockholders. The transfer agent and registrar for the Company’s common stock is American Stock Transfer &amp; Trust Company.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NONCONTROLLING INTEREST REPRESENTED BY PREFERRED OPERATING PARTNERSHIP UNITS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the issuance of newly designated Preferred OP units of the Operating Partnership. The self-storage facilities are located in California and Hawaii.</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June 25 and 26, 2007, nine of the ten properties were contributed to the Operating Partnership in exchange for consideration totaling $137,800. Preferred OP units totaling 909,075, with a value of $121,700, were issued along with the assumption of approximately $14,200 of third-party debt, of which $11,400 was paid off at close. The final property was contributed on August 1, 2007 in exchange for consideration totaling $14,700. There were 80,905 Preferred OP units with a value of $9,800 were issued along with $4,900 of cash.</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114,500 Preferred OP units prior to the maturity date of the loan. If any redemption in excess of 114,500 Preferred OP units occurs prior to the maturity date, the holder of the Preferred OP units is required to repay the loan as of the date of that Preferred OP unit redemption. Preferred OP units are shown on the balance sheet net of the $100,000 loan because the borrower under the loan receivable is also the holder of the Preferred OP units.</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(the “Partnership Agreement”) which provides for the designation and issuance of the Preferred OP units. The Preferred OP units will have priority over all other partnership interests of the Operating Partnership with respect to distributions and liquidation.</w:t>
      </w:r>
    </w:p>
    <w:p>
      <w:pPr>
        <w:sectPr>
          <w:pgSz w:w="11900" w:h="16838" w:orient="portrait"/>
          <w:cols w:equalWidth="0" w:num="1">
            <w:col w:w="11400"/>
          </w:cols>
          <w:pgMar w:left="240" w:top="118" w:right="259" w:bottom="56"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$115,000. The remaining balance participates in distributions with and has a liquidation value equal to that of the common OP units. The Preferred OP units became redeemable at the option of the holder on September 1, 2008, which redemption obligation may be satisfied, at the Company’s option, in cash or shares of its common stock.</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September 18, 2008, the Operating Partnership entered into a First Amendment to the Second Amended and Restated Agreement of Limited Partnership of Extra Space Storage LP to clarify certain tax-related provisions relating to the Preferred OP units.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interests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evaluated the terms of the Preferred OP units and classifies the noncontrolling interest represented by the Preferred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(a) the carrying amount, or (b) its redemption value as of the end of the period in which the determination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NONCONTROLLING INTEREST IN OPERATING PARTNERSHIP</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95.3% majority ownership interest therein as of September 30, 2010. The remaining ownership interests in the Operating Partnership (including Preferred OP units) of 4.7% are held by certain former owners of assets acquired by the Operating Partnership. As of September 30, 2010, the Operating Partnership had 3,356,963 common OP units outstanding.</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noncontrolling interests in the Operating Partnership represent common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either OP units or Contingent Conversion Units. Limited partners who received OP units in the formation transactions or in exchange for contributions for interests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properties have the right to require the Operating Partnership to redeem part or all of their common OP units for cash based upon the fair market value of an equivalent number of shares of the Company’s common stock (ten day average) at the time of the redemption. Alternatively, the Company may, at its option, elect to acquire those OP units in exchange for shares of its common stock on a one-for-one basis, subject to anti-dilution adjustments provided in the Partnership Agreement. The ten day average closing stock price at September 30, 2010, was $16.43 and there were 3,356,963 common OP units outstanding. Assuming that all of the unit holders exercised their right to redeem all of their common OP units on September 30, 2010, and the Company elected to pay the noncontrolling members cash, the Company would have paid $55,155 in cash consideration to redeem the OP units.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During July 2010, 90,135 OP units were redeemed for $1,314 in cash. During August 2010, 180,270 OP units were redeemed for $2,802 in cash.</w:t>
      </w:r>
    </w:p>
    <w:p>
      <w:pPr>
        <w:spacing w:after="0" w:line="23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interests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evaluated the terms of the common OP units and classifies the noncontrolling interest in the Operating Partnership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quality as permanent equity will be reclassified as temporary equity and adjusted to the greater of (a) the carrying amount, or (b) its redemption value as of the end of the period in which the determination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NONCONTROLLING INTERESTS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Other noncontrolling interests represent the ownership interests of various third parties in three consolidated self-storage properties as of September 30, 2010. Two of these consolidated properties were under development, and one was in the lease-up stage at September 30, 2010. The ownership interests of the third party owners range from 10% to 35%. Other noncontrolling interests are included in the stockholders’ equity section of the Company’s condensed consolidated balance sheet. The income or losses attributable to these third party owners based on their ownership percentages are reflected in net income allocated to the Operating Partnership and other noncontrolling interests in the condensed consolidated statement of operations.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June 25, 2010, the Company acquired all of its minority partners’ membership interests in two consolidated self-storage properties located in New Jersey for a total of $50 in cash. Both of these properties are in the lease-up stage and are now wholly owned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plans under which shares were available for grant at September 30, 2010:</w:t>
      </w:r>
    </w:p>
    <w:p>
      <w:pPr>
        <w:spacing w:after="0" w:line="225"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2004 Long-Term Incentive Compensation Plan as amended and restated effective March 25, 2008, and</w:t>
      </w:r>
    </w:p>
    <w:p>
      <w:pPr>
        <w:sectPr>
          <w:pgSz w:w="11900" w:h="16838" w:orient="portrait"/>
          <w:cols w:equalWidth="0" w:num="1">
            <w:col w:w="11420"/>
          </w:cols>
          <w:pgMar w:left="240" w:top="125" w:right="239" w:bottom="0" w:gutter="0" w:footer="0" w:header="0"/>
        </w:sectPr>
      </w:pPr>
    </w:p>
    <w:bookmarkStart w:id="17" w:name="page18"/>
    <w:bookmarkEnd w:id="17"/>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2004 Non-Employee Directors’ Share Plan (together, the “Plans”).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Option grants are issued with an exercise price equal to the closing price of the Company’s common stock on the date of grant. Unless otherwise determined by the Compensation, Nominating and Governance Committee at the time of grant, options vest ratably over a four-year period beginning on the date of grant. Each option will be exercisable once it has vested. Options are exercisable at such times and subject to such terms as determined by the Compensation, Nominating and Governance Committee, but under no circumstances will be exercised if such exercise would cause a violation of the ownership limit in the Company’s charter. Options expire 10 years from the date of grant.</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Also, as defined under the terms of the Plans, restricted stock grants may be awarded. The stock grants are subject to a performance or vesting period over which the restrictions are lifted and the stock certificates are given to the grantee. During the performance or vesting period, the grantee is not permitted to sell, transfer, pledge, encumber or assign shares of restricted stock granted under the Plans, however the grantee has the ability to vote the shares and receive non-forfeitable dividends paid on the shares. The forfeiture and transfer restrictions on the shares lapse over a four-year period beginning on the date of grant.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2010, 3,029,012 shares were available for issuance under the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Weighted Average</w:t>
            </w: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6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as of September</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Exercise Price</w:t>
            </w: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30, 2010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3,457,048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308,680</w:t>
            </w:r>
          </w:p>
        </w:tc>
        <w:tc>
          <w:tcPr>
            <w:tcW w:w="1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11.75</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(442,990)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(157,562)</w:t>
            </w:r>
          </w:p>
        </w:tc>
        <w:tc>
          <w:tcPr>
            <w:tcW w:w="1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12.27</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2010</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3,165,176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5.96</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9,208</w:t>
            </w:r>
          </w:p>
        </w:tc>
        <w:tc>
          <w:tcPr>
            <w:tcW w:w="0" w:type="dxa"/>
            <w:vAlign w:val="bottom"/>
          </w:tcPr>
          <w:p>
            <w:pPr>
              <w:spacing w:after="0" w:line="20" w:lineRule="exact"/>
              <w:rPr>
                <w:sz w:val="1"/>
                <w:szCs w:val="1"/>
                <w:color w:val="auto"/>
              </w:rPr>
            </w:pPr>
          </w:p>
        </w:tc>
      </w:tr>
      <w:tr>
        <w:trPr>
          <w:trHeight w:val="197"/>
        </w:trPr>
        <w:tc>
          <w:tcPr>
            <w:tcW w:w="4300" w:type="dxa"/>
            <w:vAlign w:val="bottom"/>
            <w:gridSpan w:val="2"/>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3,001,050</w:t>
            </w:r>
          </w:p>
        </w:tc>
        <w:tc>
          <w:tcPr>
            <w:tcW w:w="3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13.33</w:t>
            </w:r>
          </w:p>
        </w:tc>
        <w:tc>
          <w:tcPr>
            <w:tcW w:w="280" w:type="dxa"/>
            <w:vAlign w:val="bottom"/>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Exercisable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14.47</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the third quarter of 2010 and the exercise price, multiplied by the number of in-the-money options) that would have been received by the option holders had all option holders exercised their options on September 30, 2010. The amount of aggregate intrinsic value will change based on the fair market value of the Company’s stock.</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weighted average fair value of stock options granted for the nine months ended September 30, 2010 and 2009, was $3.27 and $1.31, respectively. The fair value of each option grant is estimated using the Black-Scholes option-pricing model with the following weighted average assumptions:</w:t>
      </w:r>
    </w:p>
    <w:p>
      <w:pPr>
        <w:spacing w:after="0" w:line="116"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472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Black-Scholes model incorporates assumptions to value stock-based awards. The risk-free rate is based on the U.S. Treasury yield curve in effect at the time of grant for the estimated life of the option. The Company uses actual historical data to calculate the expected price volatility, dividend yield and average expected term. The forfeiture rate, which is estimated at a weighted-average of 15.74% of unvested options outstanding as of September 30, 2010, is adjusted based on the extent to which actual forfeitures differ, or are expected to differ, from the previous estimates.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recorded compensation expense relating to outstanding options of $191 and $143 for the three months ended September 30, 2010 and 2009, respectively, and $582 and $620 for the nine months ended September 30, 2010 and 2009, respectively. The Company received net proceeds from the exercise of options of $1,393 and $0 for the three months ended September 30, 2010 and 2009, respectively, and $5,101 and $0 for the nine months ended September 30, 2010 and 2009, respectively. At September 30, 2010, there was $1,228 of total unrecognized compensation expense related to non-vested stock options under the Company’s 2004 Long-Term Incentive Compensation Plan. That cost is expected to be recognized over a weighted-average period of 2.35 years. The valuation model applied in this calculation utilizes subjective assumptions that could potentially change over time, including the expected forfeiture rate. Therefore, the amount of unrecognized compensation expense at September 30, 2010, noted above does not necessarily represent the expense that will ultimately be realized by the Company in the statement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granted 2,100 and 6,500 shares of common stock to certain employees and directors, without monetary consideration under the Plans during the three months ended September 30, 2010 and 2009, respectively, and 442,330 and 545,365 shares during the nine months ended September 30, 2010 and 2009, respectively. The Company recorded compensation expense related to outstanding shares of common stock granted to employees and directors of $864 and $648 for the three months ended September 30, 2010 and 2009, respectively, and $2,875 and $2,332 for the nine months ended September 30, 2010 and 2009,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common stock awards is determined based on the closing trading price of the Company’s common stock on the grant date.</w:t>
      </w:r>
    </w:p>
    <w:p>
      <w:pPr>
        <w:sectPr>
          <w:pgSz w:w="11900" w:h="16838" w:orient="portrait"/>
          <w:cols w:equalWidth="0" w:num="1">
            <w:col w:w="11420"/>
          </w:cols>
          <w:pgMar w:left="240" w:top="125"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summary of the Company’s employee share grant activity is as follows: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Grants</w:t>
            </w:r>
          </w:p>
        </w:tc>
        <w:tc>
          <w:tcPr>
            <w:tcW w:w="16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71"/>
        </w:trPr>
        <w:tc>
          <w:tcPr>
            <w:tcW w:w="468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Grant-Date Fair Value</w:t>
            </w: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Unreleased at December 31, 2009</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768,929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442,330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(224,139)</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(61,849)</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September 30, 2010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REIT, the Company is generally not subject to federal income tax with respect to that portion of its income which is distributed annually to its stockholders. However, the Company has elected to treat one of its corporate subsidiaries, Extra Space Management, Inc., as a taxable REIT subsidiary (“TRS”). In general, the Company’s TRS may perform additional services for tenants and generally may engage in any real estate or non-real estate related business (except for the operation or management of health care facilities or lodging facilities or the provision to any person, under a franchise, license or otherwise, of rights to any brand name under which lodging facility or health care facility is operated). A TRS is subject to corporate federal income tax. 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determined based on differences between financial reporting and tax bases of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is comprised of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3"/>
          </w:tcPr>
          <w:p>
            <w:pPr>
              <w:jc w:val="center"/>
              <w:ind w:right="480"/>
              <w:spacing w:after="0"/>
              <w:rPr>
                <w:sz w:val="20"/>
                <w:szCs w:val="20"/>
                <w:color w:val="auto"/>
              </w:rPr>
            </w:pPr>
            <w:r>
              <w:rPr>
                <w:rFonts w:ascii="Arial" w:cs="Arial" w:eastAsia="Arial" w:hAnsi="Arial"/>
                <w:sz w:val="14"/>
                <w:szCs w:val="14"/>
                <w:b w:val="1"/>
                <w:bCs w:val="1"/>
                <w:color w:val="auto"/>
                <w:w w:val="91"/>
              </w:rPr>
              <w:t>Nine months ended September 30, 2010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132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Federal</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center"/>
              <w:ind w:right="50"/>
              <w:spacing w:after="0" w:line="142" w:lineRule="exact"/>
              <w:rPr>
                <w:sz w:val="20"/>
                <w:szCs w:val="20"/>
                <w:color w:val="auto"/>
              </w:rPr>
            </w:pPr>
            <w:r>
              <w:rPr>
                <w:rFonts w:ascii="Arial" w:cs="Arial" w:eastAsia="Arial" w:hAnsi="Arial"/>
                <w:sz w:val="14"/>
                <w:szCs w:val="14"/>
                <w:b w:val="1"/>
                <w:bCs w:val="1"/>
                <w:color w:val="auto"/>
                <w:w w:val="93"/>
              </w:rPr>
              <w:t>State</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3,216</w:t>
            </w:r>
          </w:p>
        </w:tc>
        <w:tc>
          <w:tcPr>
            <w:tcW w:w="12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Change in deferred benefit</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3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3,389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3"/>
          </w:tcPr>
          <w:p>
            <w:pPr>
              <w:jc w:val="center"/>
              <w:ind w:right="480"/>
              <w:spacing w:after="0"/>
              <w:rPr>
                <w:sz w:val="20"/>
                <w:szCs w:val="20"/>
                <w:color w:val="auto"/>
              </w:rPr>
            </w:pPr>
            <w:r>
              <w:rPr>
                <w:rFonts w:ascii="Arial" w:cs="Arial" w:eastAsia="Arial" w:hAnsi="Arial"/>
                <w:sz w:val="14"/>
                <w:szCs w:val="14"/>
                <w:b w:val="1"/>
                <w:bCs w:val="1"/>
                <w:color w:val="auto"/>
                <w:w w:val="91"/>
              </w:rPr>
              <w:t>Nine months ended September 30, 2009</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32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Federal</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center"/>
              <w:ind w:right="50"/>
              <w:spacing w:after="0" w:line="142" w:lineRule="exact"/>
              <w:rPr>
                <w:sz w:val="20"/>
                <w:szCs w:val="20"/>
                <w:color w:val="auto"/>
              </w:rPr>
            </w:pPr>
            <w:r>
              <w:rPr>
                <w:rFonts w:ascii="Arial" w:cs="Arial" w:eastAsia="Arial" w:hAnsi="Arial"/>
                <w:sz w:val="14"/>
                <w:szCs w:val="14"/>
                <w:b w:val="1"/>
                <w:bCs w:val="1"/>
                <w:color w:val="auto"/>
                <w:w w:val="93"/>
              </w:rPr>
              <w:t>State</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2,434</w:t>
            </w:r>
          </w:p>
        </w:tc>
        <w:tc>
          <w:tcPr>
            <w:tcW w:w="12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Change in deferred benefit</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210"/>
        </w:trPr>
        <w:tc>
          <w:tcPr>
            <w:tcW w:w="1320" w:type="dxa"/>
            <w:vAlign w:val="bottom"/>
          </w:tcPr>
          <w:p>
            <w:pPr>
              <w:spacing w:after="0"/>
              <w:rPr>
                <w:sz w:val="18"/>
                <w:szCs w:val="18"/>
                <w:color w:val="auto"/>
              </w:rPr>
            </w:pPr>
          </w:p>
        </w:tc>
        <w:tc>
          <w:tcPr>
            <w:tcW w:w="3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96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7060" w:type="dxa"/>
            <w:vAlign w:val="bottom"/>
            <w:gridSpan w:val="10"/>
          </w:tcPr>
          <w:p>
            <w:pPr>
              <w:jc w:val="right"/>
              <w:ind w:right="285"/>
              <w:spacing w:after="0"/>
              <w:rPr>
                <w:sz w:val="20"/>
                <w:szCs w:val="20"/>
                <w:color w:val="auto"/>
              </w:rPr>
            </w:pPr>
            <w:r>
              <w:rPr>
                <w:rFonts w:ascii="Arial" w:cs="Arial" w:eastAsia="Arial" w:hAnsi="Arial"/>
                <w:sz w:val="18"/>
                <w:szCs w:val="18"/>
                <w:color w:val="auto"/>
                <w:w w:val="90"/>
              </w:rPr>
              <w:t>The major sources of temporary differences stated at their deferred tax effects are as follows: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2"/>
        </w:trPr>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jc w:val="right"/>
              <w:ind w:right="185"/>
              <w:spacing w:after="0"/>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Captive insurance subsidiary</w:t>
            </w: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Various liabilities</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Stock compensation</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1,845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State net operating losses</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7,356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98"/>
              </w:rPr>
              <w:t>(2,162)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(2,135)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320" w:type="dxa"/>
            <w:vAlign w:val="bottom"/>
          </w:tcPr>
          <w:p>
            <w:pPr>
              <w:spacing w:after="0"/>
              <w:rPr>
                <w:sz w:val="18"/>
                <w:szCs w:val="18"/>
                <w:color w:val="auto"/>
              </w:rPr>
            </w:pPr>
          </w:p>
        </w:tc>
        <w:tc>
          <w:tcPr>
            <w:tcW w:w="3160" w:type="dxa"/>
            <w:vAlign w:val="bottom"/>
            <w:gridSpan w:val="2"/>
          </w:tcPr>
          <w:p>
            <w:pPr>
              <w:ind w:left="640"/>
              <w:spacing w:after="0"/>
              <w:rPr>
                <w:sz w:val="20"/>
                <w:szCs w:val="20"/>
                <w:color w:val="auto"/>
              </w:rPr>
            </w:pPr>
            <w:r>
              <w:rPr>
                <w:rFonts w:ascii="Arial" w:cs="Arial" w:eastAsia="Arial" w:hAnsi="Arial"/>
                <w:sz w:val="18"/>
                <w:szCs w:val="18"/>
                <w:color w:val="auto"/>
              </w:rPr>
              <w:t>Net deferred tax asset</w:t>
            </w:r>
          </w:p>
        </w:tc>
        <w:tc>
          <w:tcPr>
            <w:tcW w:w="122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5,194</w:t>
            </w:r>
          </w:p>
        </w:tc>
        <w:tc>
          <w:tcPr>
            <w:tcW w:w="300" w:type="dxa"/>
            <w:vAlign w:val="bottom"/>
            <w:gridSpan w:val="2"/>
          </w:tcPr>
          <w:p>
            <w:pPr>
              <w:spacing w:after="0"/>
              <w:rPr>
                <w:sz w:val="18"/>
                <w:szCs w:val="18"/>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state net operating losses expire between 2012 and 2027 and have been fully reserved through the valuation allowances.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in three distinct segments: (1) property management, acquisition and development; (2) rental operations; and (3) tenant reinsurance.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Company’s business segments is set forth below:</w:t>
      </w:r>
    </w:p>
    <w:p>
      <w:pPr>
        <w:spacing w:after="0" w:line="20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September 30, 2010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 in real estate ventures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8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144,121</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8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375,051</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466,399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1,777,344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Tenant reinsurance</w:t>
            </w: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22,755</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2,175,150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2,407,556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6100"/>
        <w:spacing w:after="0"/>
        <w:tabs>
          <w:tab w:leader="none" w:pos="8960" w:val="left"/>
        </w:tabs>
        <w:rPr>
          <w:sz w:val="20"/>
          <w:szCs w:val="20"/>
          <w:color w:val="auto"/>
        </w:rPr>
      </w:pPr>
      <w:r>
        <w:rPr>
          <w:rFonts w:ascii="Arial" w:cs="Arial" w:eastAsia="Arial" w:hAnsi="Arial"/>
          <w:sz w:val="14"/>
          <w:szCs w:val="14"/>
          <w:b w:val="1"/>
          <w:bCs w:val="1"/>
          <w:color w:val="auto"/>
        </w:rPr>
        <w:t>Three months ended September 30,</w:t>
      </w:r>
      <w:r>
        <w:rPr>
          <w:sz w:val="20"/>
          <w:szCs w:val="20"/>
          <w:color w:val="auto"/>
        </w:rPr>
        <w:tab/>
      </w: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6350</wp:posOffset>
            </wp:positionV>
            <wp:extent cx="3422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17,056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172,261</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178,494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19,026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208,343</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209,425</w:t>
            </w:r>
          </w:p>
        </w:tc>
        <w:tc>
          <w:tcPr>
            <w:tcW w:w="12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expenses, including depreciation and amortization</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13,378</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33,304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35,221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99,897</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104,214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141,113</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161,911</w:t>
            </w:r>
          </w:p>
        </w:tc>
        <w:tc>
          <w:tcPr>
            <w:tcW w:w="12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(19,744)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25,159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72,364</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74,280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14,610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67,230</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47,514</w:t>
            </w:r>
          </w:p>
        </w:tc>
        <w:tc>
          <w:tcPr>
            <w:tcW w:w="12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(15,288)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(48,038)</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0"/>
              </w:rPr>
              <w:t>Interest income on note receivable from Preferred Operating Partnership unit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holder</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exchangeable senior notes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(1,088)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(3,347)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(6,969)</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12,476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29,122</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22,586</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31,655</w:t>
            </w:r>
          </w:p>
        </w:tc>
        <w:tc>
          <w:tcPr>
            <w:tcW w:w="12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11,970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12,199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35,666</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Acquisition of real estate assets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construction of real estate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(28,523)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(57,905)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29</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guaranteed loans for unconsolidated joint ventures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Loan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Guaranteed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Date of</w:t>
            </w:r>
          </w:p>
        </w:tc>
        <w:tc>
          <w:tcPr>
            <w:tcW w:w="12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Loan Amount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Extra Space of Elk Grove</w:t>
            </w:r>
          </w:p>
        </w:tc>
        <w:tc>
          <w:tcPr>
            <w:tcW w:w="12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2"/>
              </w:rPr>
              <w:t>Nov-08</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Nov-10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ESS Baltimore LLC</w:t>
            </w: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Nov-04</w:t>
            </w:r>
          </w:p>
        </w:tc>
        <w:tc>
          <w:tcPr>
            <w:tcW w:w="1260" w:type="dxa"/>
            <w:vAlign w:val="bottom"/>
          </w:tcPr>
          <w:p>
            <w:pPr>
              <w:jc w:val="right"/>
              <w:spacing w:after="0"/>
              <w:rPr>
                <w:sz w:val="20"/>
                <w:szCs w:val="20"/>
                <w:color w:val="auto"/>
              </w:rPr>
            </w:pPr>
            <w:r>
              <w:rPr>
                <w:rFonts w:ascii="Arial" w:cs="Arial" w:eastAsia="Arial" w:hAnsi="Arial"/>
                <w:sz w:val="18"/>
                <w:szCs w:val="18"/>
                <w:color w:val="auto"/>
              </w:rPr>
              <w:t>Feb-13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4,133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0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18" w:right="199" w:bottom="0" w:gutter="0" w:footer="0" w:header="0"/>
        </w:sectPr>
      </w:pPr>
    </w:p>
    <w:bookmarkStart w:id="20" w:name="page21"/>
    <w:bookmarkEnd w:id="20"/>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Extra Space of Sacramento One LLC</w:t>
            </w: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Apr-09</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Apr-11</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9,993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Extra Space of Washington Avenue LLC</w:t>
            </w: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Mar-09</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Mar-12</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6,129</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9,910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Extra Space of Franklin Boulevard LLC</w:t>
            </w: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Aug-08</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Aug-13</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2,947</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6,905</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joint ventures default on the loans, the Company may be forced to repay the loans. Repossessing and/or selling the self-storage facilities and land that collateralizes the loans could provide funds sufficient to reimburse the Company. The Company has recorded no liability in relation to these guarantees as of September 30, 2010, as the fair value of the guarantees was not material. The Company believes the risk of incurring a loss as a result of having to perform on these guarantees is unlikely.</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Certain of the Company’s wholly-owned properties have contracts with various utility companies. Under these contracts, the properties receive electricity at predetermined rates for a specified period of time. As of September 30, 2010, the Company was obligated to make future payments of $561 under these contracts.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September 30, 2010, the Company was not involved in any material litigation nor, to its knowledge, was any material litigation threatened against it which, in the opinion of management, is expected to have a material adverse effect on the Company’s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October 20, 2010, the Company purchased three properties for approximately $21,175. The properties are located in Maryland, Utah and Virginia.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 October 31, 2010, the Company exercised its option to extend its $100,000 Credit Line to mature on October 31, 2011.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following discussion and analysis should be read in conjunction with our “</w:t>
      </w:r>
      <w:r>
        <w:rPr>
          <w:rFonts w:ascii="Arial" w:cs="Arial" w:eastAsia="Arial" w:hAnsi="Arial"/>
          <w:sz w:val="17"/>
          <w:szCs w:val="17"/>
          <w:i w:val="1"/>
          <w:iCs w:val="1"/>
          <w:color w:val="auto"/>
        </w:rPr>
        <w:t>Unaudited Condensed Consolidated Financial Statements”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Unaudited Condensed Consolidated Financial Statements” </w:t>
      </w:r>
      <w:r>
        <w:rPr>
          <w:rFonts w:ascii="Arial" w:cs="Arial" w:eastAsia="Arial" w:hAnsi="Arial"/>
          <w:sz w:val="17"/>
          <w:szCs w:val="17"/>
          <w:color w:val="auto"/>
        </w:rPr>
        <w:t>appearing elsewhere in this report and the</w:t>
      </w:r>
      <w:r>
        <w:rPr>
          <w:rFonts w:ascii="Arial" w:cs="Arial" w:eastAsia="Arial" w:hAnsi="Arial"/>
          <w:sz w:val="17"/>
          <w:szCs w:val="17"/>
          <w:i w:val="1"/>
          <w:iCs w:val="1"/>
          <w:color w:val="auto"/>
        </w:rPr>
        <w:t xml:space="preserve"> “Consolidated Financial Statements,” “Notes to Consolidated Financial Statements”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contained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for the year ended December 31, 2009.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(Amounts in thousands except property and share data unless otherwise 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2009, describe the significant accounting policies essential to our unaudited condensed consolidated financial statements. Preparation of our financial statements requires estimates, judgments and assumptions. We believe that the estimates, judgments and assumptions which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 fully integrated, self-administered and self-managed REIT, formed to continue the business commenced in 1977 by our predecessor companies to own, operate, manage, acquire, develop and redevelop professionally managed self-storage properties. We derive our revenues from rents received from tenants under existing leases at each of our self-storage properties, from management fees on the properties we manage for joint venture partners, franchisees and unaffiliated third parties and from our tenant reinsurance program. Our management fee is equal to approximately 6% of total revenues generated by the managed properties.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competitive markets, often where consumers have multiple self-storage properties from which to choose. Competition has impacted, and will continue to impact, our property results. We experience seasonal fluctuations in occupancy levels, with occupancy levels generally higher in the summer months due to increased moving activity. Our operating results depend materially on our ability to lease available self-storage units, to actively manage rental rates,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ectPr>
          <w:pgSz w:w="11900" w:h="16861" w:orient="portrait"/>
          <w:cols w:equalWidth="0" w:num="1">
            <w:col w:w="11400"/>
          </w:cols>
          <w:pgMar w:left="240" w:top="140" w:right="259" w:bottom="0" w:gutter="0" w:footer="0" w:header="0"/>
        </w:sectPr>
      </w:pPr>
    </w:p>
    <w:bookmarkStart w:id="21" w:name="page22"/>
    <w:bookmarkEnd w:id="21"/>
    <w:p>
      <w:pPr>
        <w:spacing w:after="0" w:line="62" w:lineRule="exact"/>
        <w:rPr>
          <w:sz w:val="20"/>
          <w:szCs w:val="20"/>
          <w:color w:val="auto"/>
        </w:rPr>
      </w:pPr>
    </w:p>
    <w:p>
      <w:pPr>
        <w:ind w:left="760" w:right="240" w:hanging="376"/>
        <w:spacing w:after="0" w:line="259" w:lineRule="auto"/>
        <w:tabs>
          <w:tab w:leader="none" w:pos="72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properties through strategic, efficient and proactive management. </w:t>
      </w:r>
      <w:r>
        <w:rPr>
          <w:rFonts w:ascii="Arial" w:cs="Arial" w:eastAsia="Arial" w:hAnsi="Arial"/>
          <w:sz w:val="18"/>
          <w:szCs w:val="18"/>
          <w:color w:val="auto"/>
        </w:rPr>
        <w:t>We pursue revenue generating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minimizing opportunities in our operations. Our revenue management team seeks to maximize revenue by responding to changing market conditions through our technology system’s ability to provide real-time, interactive rental rate and discount management. Our size allows greater ability than the majority of our competitors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implement national, regional and local marketing programs, which we believe will attract more customers to our stores at a lower net cost.</w:t>
      </w:r>
    </w:p>
    <w:p>
      <w:pPr>
        <w:spacing w:after="0" w:line="225" w:lineRule="exact"/>
        <w:rPr>
          <w:sz w:val="20"/>
          <w:szCs w:val="20"/>
          <w:color w:val="auto"/>
        </w:rPr>
      </w:pPr>
    </w:p>
    <w:p>
      <w:pPr>
        <w:ind w:left="760" w:right="140" w:hanging="376"/>
        <w:spacing w:after="0" w:line="302" w:lineRule="auto"/>
        <w:tabs>
          <w:tab w:leader="none" w:pos="72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Expand our management business</w:t>
      </w:r>
      <w:r>
        <w:rPr>
          <w:rFonts w:ascii="Arial" w:cs="Arial" w:eastAsia="Arial" w:hAnsi="Arial"/>
          <w:sz w:val="16"/>
          <w:szCs w:val="16"/>
          <w:color w:val="auto"/>
        </w:rPr>
        <w:t>. Our management business enables us to generate increased revenues through management fees and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 footprint. This expanded footprint enables us to reduce our operating costs through economies of scale. In addition, we see our management business as a future acquisition pipeline. We pursue strategic relationships with owners that strengthen our acquisition pipeline through agreements which often give us first right of refusal to purchase the managed property in the event of a potential sale.</w:t>
      </w:r>
    </w:p>
    <w:p>
      <w:pPr>
        <w:spacing w:after="0" w:line="154" w:lineRule="exact"/>
        <w:rPr>
          <w:rFonts w:ascii="Arial" w:cs="Arial" w:eastAsia="Arial" w:hAnsi="Arial"/>
          <w:sz w:val="16"/>
          <w:szCs w:val="16"/>
          <w:color w:val="auto"/>
        </w:rPr>
      </w:pPr>
    </w:p>
    <w:p>
      <w:pPr>
        <w:ind w:left="760" w:right="40" w:hanging="376"/>
        <w:spacing w:after="0" w:line="259" w:lineRule="auto"/>
        <w:tabs>
          <w:tab w:leader="none" w:pos="72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Acquire self-storage properties from strategic partners and third parties. </w:t>
      </w:r>
      <w:r>
        <w:rPr>
          <w:rFonts w:ascii="Arial" w:cs="Arial" w:eastAsia="Arial" w:hAnsi="Arial"/>
          <w:sz w:val="18"/>
          <w:szCs w:val="18"/>
          <w:color w:val="auto"/>
        </w:rPr>
        <w:t>Our acquisitions team continues to selectively pursue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single properties and multi-property portfolios that we believe can provide stockholder value. We have established a reputation as a reliable, ethical buyer, which we believe enhances our ability to negotiate and close acquisitions. In addition, we believe our status as an UPREIT enables flexibility when structuring deals.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U.S. and international market and economic conditions have been challenging, with tighter credit conditions and slower growth. For the nine months ended September 30, 2010, continued concerns about the systemic impact of inflation, energy costs, geopolitical issues, the availability and cost of credit and other macro-economic factors have contributed to increased market volatility and diminished expectations for the global economy, and have increased market uncertainty and instability. Continued turbulence in U.S. and international markets and economies may adversely affect our liquidity and financial condition, and the financial condition of our customers. If these market conditions continue, they may result in an adverse effect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2010, we owned or had ownership interests in 652 operating self-storage properties. Of these properties, 284 are wholly-owned and 368 are held in joint ventures. In addition, we managed an additional 157 properties for franchisees or third parties bringing the total number of operating properties which we own and/or manage to 809. These properties are located in 34 states and Washington, D.C. As of September 30, 2010, we owned and/or managed approximately 58 million square feet of space with more than 400,000 customers.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above-average population growth and income levels. The clustering of assets around these population centers enables us to reduce our operating costs through economies of scale.</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September 30, 2010, the median length of stay was approximately eleven months. The average annual rent per square foot at these stabilized properties was $13.45 at September 30, 2010 compared to $13.28 at September 30, 2009.</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property portfolio is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September 30, 2010 and 2009. The information as of September 30, 2009, is on a pro forma basis as though all the properties owned and/or managed at September 30, 2010, were under our control as of September 30,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Pro forma</w:t>
            </w: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Company</w:t>
            </w: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Company</w:t>
            </w: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Pro forma</w:t>
            </w:r>
          </w:p>
        </w:tc>
      </w:tr>
      <w:tr>
        <w:trPr>
          <w:trHeight w:val="101"/>
        </w:trPr>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80" w:type="dxa"/>
            <w:vAlign w:val="bottom"/>
          </w:tcPr>
          <w:p>
            <w:pPr>
              <w:spacing w:after="0"/>
              <w:rPr>
                <w:sz w:val="8"/>
                <w:szCs w:val="8"/>
                <w:color w:val="auto"/>
              </w:rPr>
            </w:pPr>
          </w:p>
        </w:tc>
        <w:tc>
          <w:tcPr>
            <w:tcW w:w="12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6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6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160" w:type="dxa"/>
            <w:vAlign w:val="bottom"/>
          </w:tcPr>
          <w:p>
            <w:pPr>
              <w:spacing w:after="0"/>
              <w:rPr>
                <w:sz w:val="8"/>
                <w:szCs w:val="8"/>
                <w:color w:val="auto"/>
              </w:rPr>
            </w:pPr>
          </w:p>
        </w:tc>
      </w:tr>
      <w:tr>
        <w:trPr>
          <w:trHeight w:val="122"/>
        </w:trPr>
        <w:tc>
          <w:tcPr>
            <w:tcW w:w="1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5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Feet as of September</w:t>
            </w:r>
          </w:p>
        </w:tc>
        <w:tc>
          <w:tcPr>
            <w:tcW w:w="14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Feet as of September</w:t>
            </w:r>
          </w:p>
        </w:tc>
        <w:tc>
          <w:tcPr>
            <w:tcW w:w="13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Occupancy %</w:t>
            </w:r>
          </w:p>
        </w:tc>
        <w:tc>
          <w:tcPr>
            <w:tcW w:w="13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Occupancy %</w:t>
            </w:r>
          </w:p>
        </w:tc>
      </w:tr>
      <w:tr>
        <w:trPr>
          <w:trHeight w:val="135"/>
        </w:trPr>
        <w:tc>
          <w:tcPr>
            <w:tcW w:w="1900" w:type="dxa"/>
            <w:vAlign w:val="bottom"/>
            <w:gridSpan w:val="2"/>
          </w:tcPr>
          <w:p>
            <w:pPr>
              <w:spacing w:after="0"/>
              <w:rPr>
                <w:sz w:val="20"/>
                <w:szCs w:val="20"/>
                <w:color w:val="auto"/>
              </w:rPr>
            </w:pPr>
            <w:r>
              <w:rPr>
                <w:rFonts w:ascii="Arial" w:cs="Arial" w:eastAsia="Arial" w:hAnsi="Arial"/>
                <w:sz w:val="11"/>
                <w:szCs w:val="11"/>
                <w:b w:val="1"/>
                <w:bCs w:val="1"/>
                <w:color w:val="auto"/>
              </w:rPr>
              <w:t>Location</w:t>
            </w:r>
          </w:p>
        </w:tc>
        <w:tc>
          <w:tcPr>
            <w:tcW w:w="680" w:type="dxa"/>
            <w:vAlign w:val="bottom"/>
          </w:tcPr>
          <w:p>
            <w:pPr>
              <w:ind w:left="160"/>
              <w:spacing w:after="0"/>
              <w:rPr>
                <w:sz w:val="20"/>
                <w:szCs w:val="20"/>
                <w:color w:val="auto"/>
              </w:rPr>
            </w:pPr>
            <w:r>
              <w:rPr>
                <w:rFonts w:ascii="Arial" w:cs="Arial" w:eastAsia="Arial" w:hAnsi="Arial"/>
                <w:sz w:val="11"/>
                <w:szCs w:val="11"/>
                <w:b w:val="1"/>
                <w:bCs w:val="1"/>
                <w:color w:val="auto"/>
                <w:w w:val="91"/>
              </w:rPr>
              <w:t>Properties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September 30, 2010(1)</w:t>
            </w: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September 30, 2009</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2"/>
              </w:rPr>
              <w:t>30, 2010(2)</w:t>
            </w:r>
          </w:p>
        </w:tc>
        <w:tc>
          <w:tcPr>
            <w:tcW w:w="1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8"/>
              </w:rPr>
              <w:t>30, 2009</w:t>
            </w:r>
          </w:p>
        </w:tc>
        <w:tc>
          <w:tcPr>
            <w:tcW w:w="160" w:type="dxa"/>
            <w:vAlign w:val="bottom"/>
          </w:tcPr>
          <w:p>
            <w:pPr>
              <w:spacing w:after="0"/>
              <w:rPr>
                <w:sz w:val="11"/>
                <w:szCs w:val="11"/>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September 30, 2010</w:t>
            </w: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September 30, 2009</w:t>
            </w:r>
          </w:p>
        </w:tc>
      </w:tr>
      <w:tr>
        <w:trPr>
          <w:trHeight w:val="115"/>
        </w:trPr>
        <w:tc>
          <w:tcPr>
            <w:tcW w:w="17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Wholly-owned properties</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Alabama</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1,368</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1,411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173,779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172,725</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79.2%</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83.2%</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Arizona</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2,802</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2,828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347,098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347,098</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86.3%</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85.9%</w:t>
            </w: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California</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81"/>
              </w:rPr>
              <w:t>43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34,217</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34,346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3,371,692</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3,371,538</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84.0%</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81.7%</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Colorado</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3,760</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3,791</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476,064</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476,484</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88.5%</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84.9%</w:t>
            </w: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Connecticut</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2,011</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2,028</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178,010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178,115</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86.8%</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81.3%</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1"/>
              </w:rPr>
              <w:t>28</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18,263</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18,323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1,945,179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1,945,388</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84.4%</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81.8%</w:t>
            </w: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81"/>
              </w:rPr>
              <w:t>13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7,056</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7,055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913,953</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913,558</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84.4%</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79.8%</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Hawaii</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2,828</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2,857</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145,841</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145,616</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80.9%</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81.7%</w:t>
            </w: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Illinois</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3,335</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3,322</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341,784</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342,239</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84.5%</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83.3%</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Indiana</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3,471</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3,486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412,709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412,785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85.9%</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83.8%</w:t>
            </w: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Kansas</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507</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506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50,310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50,190</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90.0%</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88.5%</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Kentucky</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1,571</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193,901</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194,001</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89.1%</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90.9%</w:t>
            </w: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Louisiana</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1,412</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1,412</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150,035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150,335</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85.8%</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83.4%</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1"/>
              </w:rPr>
              <w:t>10</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7,926</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7,936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847,409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847,487</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88.7%</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86.8%</w:t>
            </w: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81"/>
              </w:rPr>
              <w:t>28</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16,724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16,778</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1,717,716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1,709,222</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85.5%</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83.7%</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Michigan</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1,017</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134,954</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135,026</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89.8%</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84.9%</w:t>
            </w: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Missouri</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3,145</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3,146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374,897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374,277</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88.3%</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85.3%</w:t>
            </w:r>
          </w:p>
        </w:tc>
      </w:tr>
      <w:tr>
        <w:trPr>
          <w:trHeight w:val="111"/>
        </w:trPr>
        <w:tc>
          <w:tcPr>
            <w:tcW w:w="1900" w:type="dxa"/>
            <w:vAlign w:val="bottom"/>
            <w:gridSpan w:val="2"/>
            <w:shd w:val="clear" w:color="auto" w:fill="CCEEFF"/>
          </w:tcPr>
          <w:p>
            <w:pPr>
              <w:spacing w:after="0" w:line="111" w:lineRule="exact"/>
              <w:rPr>
                <w:sz w:val="20"/>
                <w:szCs w:val="20"/>
                <w:color w:val="auto"/>
              </w:rPr>
            </w:pPr>
            <w:r>
              <w:rPr>
                <w:rFonts w:ascii="Arial" w:cs="Arial" w:eastAsia="Arial" w:hAnsi="Arial"/>
                <w:sz w:val="11"/>
                <w:szCs w:val="11"/>
                <w:color w:val="auto"/>
              </w:rPr>
              <w:t>Nevada</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9"/>
                <w:szCs w:val="9"/>
                <w:color w:val="auto"/>
              </w:rPr>
            </w:pPr>
          </w:p>
        </w:tc>
        <w:tc>
          <w:tcPr>
            <w:tcW w:w="15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463</w:t>
            </w:r>
          </w:p>
        </w:tc>
        <w:tc>
          <w:tcPr>
            <w:tcW w:w="13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463</w:t>
            </w: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57,400</w:t>
            </w: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56,850</w:t>
            </w:r>
          </w:p>
        </w:tc>
        <w:tc>
          <w:tcPr>
            <w:tcW w:w="160" w:type="dxa"/>
            <w:vAlign w:val="bottom"/>
            <w:shd w:val="clear" w:color="auto" w:fill="CCEEFF"/>
          </w:tcPr>
          <w:p>
            <w:pPr>
              <w:spacing w:after="0"/>
              <w:rPr>
                <w:sz w:val="9"/>
                <w:szCs w:val="9"/>
                <w:color w:val="auto"/>
              </w:rPr>
            </w:pPr>
          </w:p>
        </w:tc>
        <w:tc>
          <w:tcPr>
            <w:tcW w:w="130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79.1%</w:t>
            </w:r>
          </w:p>
        </w:tc>
        <w:tc>
          <w:tcPr>
            <w:tcW w:w="13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87.3%</w:t>
            </w:r>
          </w:p>
        </w:tc>
      </w:tr>
    </w:tbl>
    <w:p>
      <w:pPr>
        <w:sectPr>
          <w:pgSz w:w="11900" w:h="16900" w:orient="portrait"/>
          <w:cols w:equalWidth="0" w:num="1">
            <w:col w:w="11420"/>
          </w:cols>
          <w:pgMar w:left="240" w:top="341" w:right="239" w:bottom="0" w:gutter="0" w:footer="0" w:header="0"/>
        </w:sectPr>
      </w:pPr>
    </w:p>
    <w:bookmarkStart w:id="22" w:name="page23"/>
    <w:bookmarkEnd w:id="2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00" w:type="dxa"/>
            <w:vAlign w:val="bottom"/>
            <w:gridSpan w:val="4"/>
          </w:tcPr>
          <w:p>
            <w:pPr>
              <w:spacing w:after="0"/>
              <w:rPr>
                <w:sz w:val="20"/>
                <w:szCs w:val="20"/>
                <w:color w:val="auto"/>
              </w:rPr>
            </w:pPr>
            <w:r>
              <w:rPr>
                <w:rFonts w:ascii="Arial" w:cs="Arial" w:eastAsia="Arial" w:hAnsi="Arial"/>
                <w:sz w:val="11"/>
                <w:szCs w:val="11"/>
                <w:color w:val="auto"/>
              </w:rPr>
              <w:t>New Hampshire</w:t>
            </w: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1"/>
                <w:szCs w:val="1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1,007</w:t>
            </w:r>
          </w:p>
        </w:tc>
        <w:tc>
          <w:tcPr>
            <w:tcW w:w="1380" w:type="dxa"/>
            <w:vAlign w:val="bottom"/>
          </w:tcPr>
          <w:p>
            <w:pPr>
              <w:jc w:val="right"/>
              <w:spacing w:after="0"/>
              <w:rPr>
                <w:sz w:val="20"/>
                <w:szCs w:val="20"/>
                <w:color w:val="auto"/>
              </w:rPr>
            </w:pPr>
            <w:r>
              <w:rPr>
                <w:rFonts w:ascii="Arial" w:cs="Arial" w:eastAsia="Arial" w:hAnsi="Arial"/>
                <w:sz w:val="11"/>
                <w:szCs w:val="11"/>
                <w:color w:val="auto"/>
              </w:rPr>
              <w:t>1,006</w:t>
            </w:r>
          </w:p>
        </w:tc>
        <w:tc>
          <w:tcPr>
            <w:tcW w:w="1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125,473</w:t>
            </w:r>
          </w:p>
        </w:tc>
        <w:tc>
          <w:tcPr>
            <w:tcW w:w="1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125,473</w:t>
            </w:r>
          </w:p>
        </w:tc>
        <w:tc>
          <w:tcPr>
            <w:tcW w:w="160" w:type="dxa"/>
            <w:vAlign w:val="bottom"/>
          </w:tcPr>
          <w:p>
            <w:pPr>
              <w:spacing w:after="0"/>
              <w:rPr>
                <w:sz w:val="11"/>
                <w:szCs w:val="11"/>
                <w:color w:val="auto"/>
              </w:rPr>
            </w:pPr>
          </w:p>
        </w:tc>
        <w:tc>
          <w:tcPr>
            <w:tcW w:w="1300" w:type="dxa"/>
            <w:vAlign w:val="bottom"/>
            <w:gridSpan w:val="2"/>
          </w:tcPr>
          <w:p>
            <w:pPr>
              <w:ind w:left="960"/>
              <w:spacing w:after="0"/>
              <w:rPr>
                <w:sz w:val="20"/>
                <w:szCs w:val="20"/>
                <w:color w:val="auto"/>
              </w:rPr>
            </w:pPr>
            <w:r>
              <w:rPr>
                <w:rFonts w:ascii="Arial" w:cs="Arial" w:eastAsia="Arial" w:hAnsi="Arial"/>
                <w:sz w:val="11"/>
                <w:szCs w:val="11"/>
                <w:color w:val="auto"/>
              </w:rPr>
              <w:t>85.9%</w:t>
            </w:r>
          </w:p>
        </w:tc>
        <w:tc>
          <w:tcPr>
            <w:tcW w:w="1300" w:type="dxa"/>
            <w:vAlign w:val="bottom"/>
            <w:gridSpan w:val="2"/>
          </w:tcPr>
          <w:p>
            <w:pPr>
              <w:ind w:left="940"/>
              <w:spacing w:after="0"/>
              <w:rPr>
                <w:sz w:val="20"/>
                <w:szCs w:val="20"/>
                <w:color w:val="auto"/>
              </w:rPr>
            </w:pPr>
            <w:r>
              <w:rPr>
                <w:rFonts w:ascii="Arial" w:cs="Arial" w:eastAsia="Arial" w:hAnsi="Arial"/>
                <w:sz w:val="11"/>
                <w:szCs w:val="11"/>
                <w:color w:val="auto"/>
              </w:rPr>
              <w:t>86.3%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18,738</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18,818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1,832,536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1,835,446</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87.6%</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New Mexico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539</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545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71,475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71,705</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93.6%</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8,421</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8,657</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613,685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608,590</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84.6%</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Ohio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1,184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1,186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156,519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157,079</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87.5%</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770</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103,210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102,990</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89.5%</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Pennsylvania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4,877</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4,882</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582,330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581,132</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90.0%</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85.6%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719</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75,976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75,521</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85.4%</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South Carolina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2,173</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2,175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253,406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253,406</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90.4%</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987</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148,155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148,395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83.5%</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Texas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10,199</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10,224</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1,144,191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1,143,522</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87.2%</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Utah</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1,548</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211,263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210,561</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85.3%</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Virginia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2,840</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2,836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271,407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271,422</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85.9%</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Washington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2,543</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2,550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308,015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308,115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74.4%</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93.1%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Total Wholly-Owned Stabilized</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250</w:t>
            </w:r>
          </w:p>
        </w:tc>
        <w:tc>
          <w:tcPr>
            <w:tcW w:w="180" w:type="dxa"/>
            <w:vAlign w:val="bottom"/>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168,421</w:t>
            </w:r>
          </w:p>
        </w:tc>
        <w:tc>
          <w:tcPr>
            <w:tcW w:w="180" w:type="dxa"/>
            <w:vAlign w:val="bottom"/>
            <w:vMerge w:val="continue"/>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169,196</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17,730,372</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17,716,291</w:t>
            </w:r>
          </w:p>
        </w:tc>
        <w:tc>
          <w:tcPr>
            <w:tcW w:w="160" w:type="dxa"/>
            <w:vAlign w:val="bottom"/>
          </w:tcPr>
          <w:p>
            <w:pPr>
              <w:spacing w:after="0"/>
              <w:rPr>
                <w:sz w:val="10"/>
                <w:szCs w:val="10"/>
                <w:color w:val="auto"/>
              </w:rPr>
            </w:pPr>
          </w:p>
        </w:tc>
        <w:tc>
          <w:tcPr>
            <w:tcW w:w="1300" w:type="dxa"/>
            <w:vAlign w:val="bottom"/>
            <w:gridSpan w:val="2"/>
          </w:tcPr>
          <w:p>
            <w:pPr>
              <w:ind w:left="960"/>
              <w:spacing w:after="0" w:line="115" w:lineRule="exact"/>
              <w:rPr>
                <w:sz w:val="20"/>
                <w:szCs w:val="20"/>
                <w:color w:val="auto"/>
              </w:rPr>
            </w:pPr>
            <w:r>
              <w:rPr>
                <w:rFonts w:ascii="Arial" w:cs="Arial" w:eastAsia="Arial" w:hAnsi="Arial"/>
                <w:sz w:val="11"/>
                <w:szCs w:val="11"/>
                <w:b w:val="1"/>
                <w:bCs w:val="1"/>
                <w:color w:val="auto"/>
              </w:rPr>
              <w:t>85.7%</w:t>
            </w:r>
          </w:p>
        </w:tc>
        <w:tc>
          <w:tcPr>
            <w:tcW w:w="1300" w:type="dxa"/>
            <w:vAlign w:val="bottom"/>
            <w:gridSpan w:val="2"/>
          </w:tcPr>
          <w:p>
            <w:pPr>
              <w:ind w:left="940"/>
              <w:spacing w:after="0" w:line="115" w:lineRule="exact"/>
              <w:rPr>
                <w:sz w:val="20"/>
                <w:szCs w:val="20"/>
                <w:color w:val="auto"/>
              </w:rPr>
            </w:pPr>
            <w:r>
              <w:rPr>
                <w:rFonts w:ascii="Arial" w:cs="Arial" w:eastAsia="Arial" w:hAnsi="Arial"/>
                <w:sz w:val="11"/>
                <w:szCs w:val="11"/>
                <w:b w:val="1"/>
                <w:bCs w:val="1"/>
                <w:color w:val="auto"/>
              </w:rPr>
              <w:t>83.8%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Joint-venture properties</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Alabama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1,705</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1,705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205,588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205,638</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85.7%</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Arizona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6,830</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6,838</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751,661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751,414</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83.6%</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59,031</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59,060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6,075,413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6,082,838</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85.0%</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85.1%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Colorado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1,318</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1,329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158,543</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158,483</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85.7%</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Connecticut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5,987</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5,993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692,686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692,446</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84.3%</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80.3%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Delaware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583</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585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71,735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71,655</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88.2%</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91.1%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21,003</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21,243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2,162,563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2,171,397</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83.6%</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79.5%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Georgia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1,851</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1,870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241,341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245,270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78.8%</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79.9%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6,452</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6,429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693,623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694,329</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84.7%</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Indiana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2,772</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2,767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366,393</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366,173</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88.6%</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Kansas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1,221</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1,210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163,750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160,060</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80.2%</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Kentucky</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2,277</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2,279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269,629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269,916</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87.4%</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84.1%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10,990</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11,071</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1,085,713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1,083,140</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89.7%</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Massachusetts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9,250</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9,218</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1,049,757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1,046,848</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84.3%</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Michigan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5,917</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5,919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783,868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784,243</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86.9%</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Missouri</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960</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953</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118,045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117,945</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87.0%</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83.6%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5,378</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5,395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692,743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694,523</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84.3%</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New Hampshire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1,314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1,317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137,914</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137,594</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86.7%</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85.5%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15,639</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15,666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1,645,791</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1,647,176</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85.9%</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New Mexico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4,672</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4,680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542,414</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542,709</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85.6%</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86.2%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21,633</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21,641</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1,734,899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1,734,340</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87.9%</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Ohio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5,857</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5,857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872,430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872,000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82.8%</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1,293</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1,291</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136,770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136,500</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90.4%</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Pennsylvania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8,923</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8,919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874,286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873,293</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87.3%</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85.3%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1,076</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127,975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129,925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73.4%</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69.2%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Tennessee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25</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13,812</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13,831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1,821,624</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1,821,412</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84.3%</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13,771</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13,859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1,807,299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1,807,415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84.7%</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Utah</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522</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520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59,250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59,000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84.7%</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Virginia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12,013</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11,999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1,267,738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1,267,133</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88.2%</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86.2%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Washington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548</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545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62,730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62,730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83.5%</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Washington, DC</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1,533</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102,003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102,003</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92.5%</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90.1%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Total Stabilized Joint-Ventures</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359</w:t>
            </w:r>
          </w:p>
        </w:tc>
        <w:tc>
          <w:tcPr>
            <w:tcW w:w="180" w:type="dxa"/>
            <w:vAlign w:val="bottom"/>
          </w:tcPr>
          <w:p>
            <w:pPr>
              <w:spacing w:after="0"/>
              <w:rPr>
                <w:sz w:val="10"/>
                <w:szCs w:val="10"/>
                <w:color w:val="auto"/>
              </w:rPr>
            </w:pPr>
          </w:p>
        </w:tc>
        <w:tc>
          <w:tcPr>
            <w:tcW w:w="13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246,131</w:t>
            </w:r>
          </w:p>
        </w:tc>
        <w:tc>
          <w:tcPr>
            <w:tcW w:w="180" w:type="dxa"/>
            <w:vAlign w:val="bottom"/>
          </w:tcPr>
          <w:p>
            <w:pPr>
              <w:spacing w:after="0"/>
              <w:rPr>
                <w:sz w:val="10"/>
                <w:szCs w:val="10"/>
                <w:color w:val="auto"/>
              </w:rPr>
            </w:pPr>
          </w:p>
        </w:tc>
        <w:tc>
          <w:tcPr>
            <w:tcW w:w="13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246,614</w:t>
            </w:r>
          </w:p>
        </w:tc>
        <w:tc>
          <w:tcPr>
            <w:tcW w:w="180" w:type="dxa"/>
            <w:vAlign w:val="bottom"/>
          </w:tcPr>
          <w:p>
            <w:pPr>
              <w:spacing w:after="0"/>
              <w:rPr>
                <w:sz w:val="10"/>
                <w:szCs w:val="10"/>
                <w:color w:val="auto"/>
              </w:rPr>
            </w:pPr>
          </w:p>
        </w:tc>
        <w:tc>
          <w:tcPr>
            <w:tcW w:w="12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26,776,174</w:t>
            </w:r>
          </w:p>
        </w:tc>
        <w:tc>
          <w:tcPr>
            <w:tcW w:w="180" w:type="dxa"/>
            <w:vAlign w:val="bottom"/>
          </w:tcPr>
          <w:p>
            <w:pPr>
              <w:spacing w:after="0"/>
              <w:rPr>
                <w:sz w:val="10"/>
                <w:szCs w:val="10"/>
                <w:color w:val="auto"/>
              </w:rPr>
            </w:pPr>
          </w:p>
        </w:tc>
        <w:tc>
          <w:tcPr>
            <w:tcW w:w="12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26,789,548</w:t>
            </w:r>
          </w:p>
        </w:tc>
        <w:tc>
          <w:tcPr>
            <w:tcW w:w="160" w:type="dxa"/>
            <w:vAlign w:val="bottom"/>
          </w:tcPr>
          <w:p>
            <w:pPr>
              <w:spacing w:after="0"/>
              <w:rPr>
                <w:sz w:val="10"/>
                <w:szCs w:val="10"/>
                <w:color w:val="auto"/>
              </w:rPr>
            </w:pPr>
          </w:p>
        </w:tc>
        <w:tc>
          <w:tcPr>
            <w:tcW w:w="1140" w:type="dxa"/>
            <w:vAlign w:val="bottom"/>
            <w:tcBorders>
              <w:top w:val="single" w:sz="8" w:color="auto"/>
              <w:bottom w:val="single" w:sz="8" w:color="auto"/>
            </w:tcBorders>
          </w:tcPr>
          <w:p>
            <w:pPr>
              <w:ind w:left="960"/>
              <w:spacing w:after="0" w:line="115" w:lineRule="exact"/>
              <w:rPr>
                <w:sz w:val="20"/>
                <w:szCs w:val="20"/>
                <w:color w:val="auto"/>
              </w:rPr>
            </w:pPr>
            <w:r>
              <w:rPr>
                <w:rFonts w:ascii="Arial" w:cs="Arial" w:eastAsia="Arial" w:hAnsi="Arial"/>
                <w:sz w:val="11"/>
                <w:szCs w:val="11"/>
                <w:b w:val="1"/>
                <w:bCs w:val="1"/>
                <w:color w:val="auto"/>
                <w:w w:val="74"/>
              </w:rPr>
              <w:t>85.4</w:t>
            </w:r>
          </w:p>
        </w:tc>
        <w:tc>
          <w:tcPr>
            <w:tcW w:w="16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auto"/>
                <w:w w:val="81"/>
              </w:rPr>
              <w:t>%</w:t>
            </w:r>
          </w:p>
        </w:tc>
        <w:tc>
          <w:tcPr>
            <w:tcW w:w="1140" w:type="dxa"/>
            <w:vAlign w:val="bottom"/>
            <w:tcBorders>
              <w:top w:val="single" w:sz="8" w:color="auto"/>
              <w:bottom w:val="single" w:sz="8" w:color="auto"/>
            </w:tcBorders>
          </w:tcPr>
          <w:p>
            <w:pPr>
              <w:ind w:left="940"/>
              <w:spacing w:after="0" w:line="115" w:lineRule="exact"/>
              <w:rPr>
                <w:sz w:val="20"/>
                <w:szCs w:val="20"/>
                <w:color w:val="auto"/>
              </w:rPr>
            </w:pPr>
            <w:r>
              <w:rPr>
                <w:rFonts w:ascii="Arial" w:cs="Arial" w:eastAsia="Arial" w:hAnsi="Arial"/>
                <w:sz w:val="11"/>
                <w:szCs w:val="11"/>
                <w:b w:val="1"/>
                <w:bCs w:val="1"/>
                <w:color w:val="auto"/>
                <w:w w:val="83"/>
              </w:rPr>
              <w:t>84.0</w:t>
            </w:r>
          </w:p>
        </w:tc>
        <w:tc>
          <w:tcPr>
            <w:tcW w:w="16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auto"/>
                <w:w w:val="81"/>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9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Pro forma</w:t>
            </w: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Company</w:t>
            </w: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300" w:type="dxa"/>
            <w:vAlign w:val="bottom"/>
            <w:gridSpan w:val="2"/>
          </w:tcPr>
          <w:p>
            <w:pPr>
              <w:jc w:val="center"/>
              <w:ind w:right="106"/>
              <w:spacing w:after="0"/>
              <w:rPr>
                <w:sz w:val="20"/>
                <w:szCs w:val="20"/>
                <w:color w:val="auto"/>
              </w:rPr>
            </w:pPr>
            <w:r>
              <w:rPr>
                <w:rFonts w:ascii="Arial" w:cs="Arial" w:eastAsia="Arial" w:hAnsi="Arial"/>
                <w:sz w:val="11"/>
                <w:szCs w:val="11"/>
                <w:b w:val="1"/>
                <w:bCs w:val="1"/>
                <w:color w:val="auto"/>
                <w:w w:val="91"/>
              </w:rPr>
              <w:t>Company</w:t>
            </w:r>
          </w:p>
        </w:tc>
        <w:tc>
          <w:tcPr>
            <w:tcW w:w="1300" w:type="dxa"/>
            <w:vAlign w:val="bottom"/>
            <w:gridSpan w:val="2"/>
          </w:tcPr>
          <w:p>
            <w:pPr>
              <w:jc w:val="center"/>
              <w:ind w:right="106"/>
              <w:spacing w:after="0"/>
              <w:rPr>
                <w:sz w:val="20"/>
                <w:szCs w:val="20"/>
                <w:color w:val="auto"/>
              </w:rPr>
            </w:pPr>
            <w:r>
              <w:rPr>
                <w:rFonts w:ascii="Arial" w:cs="Arial" w:eastAsia="Arial" w:hAnsi="Arial"/>
                <w:sz w:val="11"/>
                <w:szCs w:val="11"/>
                <w:b w:val="1"/>
                <w:bCs w:val="1"/>
                <w:color w:val="auto"/>
                <w:w w:val="88"/>
              </w:rPr>
              <w:t>Pro forma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80" w:type="dxa"/>
            <w:vAlign w:val="bottom"/>
          </w:tcPr>
          <w:p>
            <w:pPr>
              <w:spacing w:after="0"/>
              <w:rPr>
                <w:sz w:val="8"/>
                <w:szCs w:val="8"/>
                <w:color w:val="auto"/>
              </w:rPr>
            </w:pPr>
          </w:p>
        </w:tc>
        <w:tc>
          <w:tcPr>
            <w:tcW w:w="12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6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6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Number of</w:t>
            </w:r>
          </w:p>
        </w:tc>
        <w:tc>
          <w:tcPr>
            <w:tcW w:w="15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5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Feet as of September</w:t>
            </w:r>
          </w:p>
        </w:tc>
        <w:tc>
          <w:tcPr>
            <w:tcW w:w="14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Feet as of September</w:t>
            </w:r>
          </w:p>
        </w:tc>
        <w:tc>
          <w:tcPr>
            <w:tcW w:w="1300" w:type="dxa"/>
            <w:vAlign w:val="bottom"/>
            <w:gridSpan w:val="2"/>
          </w:tcPr>
          <w:p>
            <w:pPr>
              <w:jc w:val="center"/>
              <w:ind w:right="106"/>
              <w:spacing w:after="0" w:line="122" w:lineRule="exact"/>
              <w:rPr>
                <w:sz w:val="20"/>
                <w:szCs w:val="20"/>
                <w:color w:val="auto"/>
              </w:rPr>
            </w:pPr>
            <w:r>
              <w:rPr>
                <w:rFonts w:ascii="Arial" w:cs="Arial" w:eastAsia="Arial" w:hAnsi="Arial"/>
                <w:sz w:val="11"/>
                <w:szCs w:val="11"/>
                <w:b w:val="1"/>
                <w:bCs w:val="1"/>
                <w:color w:val="auto"/>
                <w:w w:val="91"/>
              </w:rPr>
              <w:t>Occupancy %</w:t>
            </w:r>
          </w:p>
        </w:tc>
        <w:tc>
          <w:tcPr>
            <w:tcW w:w="1300" w:type="dxa"/>
            <w:vAlign w:val="bottom"/>
            <w:gridSpan w:val="2"/>
          </w:tcPr>
          <w:p>
            <w:pPr>
              <w:jc w:val="center"/>
              <w:ind w:right="106"/>
              <w:spacing w:after="0" w:line="122" w:lineRule="exact"/>
              <w:rPr>
                <w:sz w:val="20"/>
                <w:szCs w:val="20"/>
                <w:color w:val="auto"/>
              </w:rPr>
            </w:pPr>
            <w:r>
              <w:rPr>
                <w:rFonts w:ascii="Arial" w:cs="Arial" w:eastAsia="Arial" w:hAnsi="Arial"/>
                <w:sz w:val="11"/>
                <w:szCs w:val="11"/>
                <w:b w:val="1"/>
                <w:bCs w:val="1"/>
                <w:color w:val="auto"/>
                <w:w w:val="91"/>
              </w:rPr>
              <w:t>Occupancy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gridSpan w:val="4"/>
          </w:tcPr>
          <w:p>
            <w:pPr>
              <w:spacing w:after="0"/>
              <w:rPr>
                <w:sz w:val="20"/>
                <w:szCs w:val="20"/>
                <w:color w:val="auto"/>
              </w:rPr>
            </w:pPr>
            <w:r>
              <w:rPr>
                <w:rFonts w:ascii="Arial" w:cs="Arial" w:eastAsia="Arial" w:hAnsi="Arial"/>
                <w:sz w:val="11"/>
                <w:szCs w:val="11"/>
                <w:b w:val="1"/>
                <w:bCs w:val="1"/>
                <w:color w:val="auto"/>
              </w:rPr>
              <w:t>Location</w:t>
            </w: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Properties</w:t>
            </w: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September 30, 2010(1)</w:t>
            </w: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September 30, 2009</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2"/>
              </w:rPr>
              <w:t>30, 2010(2)</w:t>
            </w:r>
          </w:p>
        </w:tc>
        <w:tc>
          <w:tcPr>
            <w:tcW w:w="1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8"/>
              </w:rPr>
              <w:t>30, 2009</w:t>
            </w:r>
          </w:p>
        </w:tc>
        <w:tc>
          <w:tcPr>
            <w:tcW w:w="160" w:type="dxa"/>
            <w:vAlign w:val="bottom"/>
          </w:tcPr>
          <w:p>
            <w:pPr>
              <w:spacing w:after="0"/>
              <w:rPr>
                <w:sz w:val="11"/>
                <w:szCs w:val="11"/>
                <w:color w:val="auto"/>
              </w:rPr>
            </w:pPr>
          </w:p>
        </w:tc>
        <w:tc>
          <w:tcPr>
            <w:tcW w:w="1300" w:type="dxa"/>
            <w:vAlign w:val="bottom"/>
            <w:gridSpan w:val="2"/>
          </w:tcPr>
          <w:p>
            <w:pPr>
              <w:jc w:val="center"/>
              <w:ind w:right="106"/>
              <w:spacing w:after="0"/>
              <w:rPr>
                <w:sz w:val="20"/>
                <w:szCs w:val="20"/>
                <w:color w:val="auto"/>
              </w:rPr>
            </w:pPr>
            <w:r>
              <w:rPr>
                <w:rFonts w:ascii="Arial" w:cs="Arial" w:eastAsia="Arial" w:hAnsi="Arial"/>
                <w:sz w:val="11"/>
                <w:szCs w:val="11"/>
                <w:b w:val="1"/>
                <w:bCs w:val="1"/>
                <w:color w:val="auto"/>
                <w:w w:val="87"/>
              </w:rPr>
              <w:t>September 30, 2010</w:t>
            </w:r>
          </w:p>
        </w:tc>
        <w:tc>
          <w:tcPr>
            <w:tcW w:w="1300" w:type="dxa"/>
            <w:vAlign w:val="bottom"/>
            <w:gridSpan w:val="2"/>
          </w:tcPr>
          <w:p>
            <w:pPr>
              <w:jc w:val="center"/>
              <w:ind w:right="106"/>
              <w:spacing w:after="0"/>
              <w:rPr>
                <w:sz w:val="20"/>
                <w:szCs w:val="20"/>
                <w:color w:val="auto"/>
              </w:rPr>
            </w:pPr>
            <w:r>
              <w:rPr>
                <w:rFonts w:ascii="Arial" w:cs="Arial" w:eastAsia="Arial" w:hAnsi="Arial"/>
                <w:sz w:val="11"/>
                <w:szCs w:val="11"/>
                <w:b w:val="1"/>
                <w:bCs w:val="1"/>
                <w:color w:val="auto"/>
                <w:w w:val="87"/>
              </w:rPr>
              <w:t>September 30, 2009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Managed properties</w:t>
            </w: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Arizona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581</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581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67,350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67,350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34.0%</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32.6%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6,089</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6,094</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761,789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759,889</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73.3%</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72.9%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Colorado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2,164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2,160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265,707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264,656</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83.5%</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7,684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7,713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916,394</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867,082</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72.2%</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69.9%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Georgia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3,624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3,651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506,457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509,889</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76.1%</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72.0%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2,315</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2,319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260,999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261,394</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72.1%</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73.3%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Indiana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1,711</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1,711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183,489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188,119</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74.0%</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74.2%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Kansas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1,506</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1,516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225,250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226,470</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84.7%</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72.3%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Kentucky</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523</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539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66,000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66,000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86.6%</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78.3%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9,304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9,423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1,047,358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1,047,564</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79.5%</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75.2%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Massachusetts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2,110</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2,132</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190,019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190,099</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76.4%</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72.8%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Missouri</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1,529</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302,558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305,888</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76.4%</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72.2%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Nevada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1,576</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1,576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170,375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170,775</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82.3%</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4,134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4,150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389,655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386,367</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84.0%</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New Mexico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1,107</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1,106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132,282</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131,907</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90.4%</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698</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83,955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83,055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87.6%</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North Carolina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3,599</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3,599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378,147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379,130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73.5%</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75.0%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Ohio</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1,074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1,094</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158,160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167,060</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68.4%</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55.5%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Pennsylvania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8,352</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8,384</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1,018,706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1,021,451</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70.3%</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61.6%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South Carolina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1,174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1,024</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161,737</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137,827</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72.4%</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78.5%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Tennessee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885</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882</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131,440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131,140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85.1%</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2,203</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281,692</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280,204</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83.5%</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84.6%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Utah</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371</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371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46,805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46,805</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98.0%</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96.3%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Virginia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2,761</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2,767</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274,223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274,583</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85.4%</w:t>
            </w:r>
          </w:p>
        </w:tc>
        <w:tc>
          <w:tcPr>
            <w:tcW w:w="1300" w:type="dxa"/>
            <w:vAlign w:val="bottom"/>
            <w:gridSpan w:val="2"/>
            <w:shd w:val="clear" w:color="auto" w:fill="CCEEFF"/>
          </w:tcPr>
          <w:p>
            <w:pPr>
              <w:ind w:left="940"/>
              <w:spacing w:after="0" w:line="122" w:lineRule="exact"/>
              <w:rPr>
                <w:sz w:val="20"/>
                <w:szCs w:val="20"/>
                <w:color w:val="auto"/>
              </w:rPr>
            </w:pPr>
            <w:r>
              <w:rPr>
                <w:rFonts w:ascii="Arial" w:cs="Arial" w:eastAsia="Arial" w:hAnsi="Arial"/>
                <w:sz w:val="11"/>
                <w:szCs w:val="11"/>
                <w:color w:val="auto"/>
              </w:rPr>
              <w:t>84.5%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color w:val="auto"/>
              </w:rPr>
              <w:t>Washington, DC</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1,263</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1,255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112,459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111,759</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90.9%</w:t>
            </w:r>
          </w:p>
        </w:tc>
        <w:tc>
          <w:tcPr>
            <w:tcW w:w="1300" w:type="dxa"/>
            <w:vAlign w:val="bottom"/>
            <w:gridSpan w:val="2"/>
          </w:tcPr>
          <w:p>
            <w:pPr>
              <w:ind w:left="940"/>
              <w:spacing w:after="0" w:line="122" w:lineRule="exact"/>
              <w:rPr>
                <w:sz w:val="20"/>
                <w:szCs w:val="20"/>
                <w:color w:val="auto"/>
              </w:rPr>
            </w:pPr>
            <w:r>
              <w:rPr>
                <w:rFonts w:ascii="Arial" w:cs="Arial" w:eastAsia="Arial" w:hAnsi="Arial"/>
                <w:sz w:val="11"/>
                <w:szCs w:val="11"/>
                <w:color w:val="auto"/>
              </w:rPr>
              <w:t>89.0%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gridSpan w:val="3"/>
            <w:vMerge w:val="restart"/>
            <w:shd w:val="clear" w:color="auto" w:fill="CCEEFF"/>
          </w:tcPr>
          <w:p>
            <w:pPr>
              <w:spacing w:after="0"/>
              <w:rPr>
                <w:sz w:val="20"/>
                <w:szCs w:val="20"/>
                <w:color w:val="auto"/>
              </w:rPr>
            </w:pPr>
            <w:r>
              <w:rPr>
                <w:rFonts w:ascii="Arial" w:cs="Arial" w:eastAsia="Arial" w:hAnsi="Arial"/>
                <w:sz w:val="11"/>
                <w:szCs w:val="11"/>
                <w:b w:val="1"/>
                <w:bCs w:val="1"/>
                <w:color w:val="auto"/>
                <w:w w:val="98"/>
              </w:rPr>
              <w:t>Total Stabilized Managed Properties</w:t>
            </w: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gridSpan w:val="3"/>
            <w:vMerge w:val="continue"/>
            <w:shd w:val="clear" w:color="auto" w:fill="CCEEFF"/>
          </w:tcPr>
          <w:p>
            <w:pPr>
              <w:spacing w:after="0"/>
              <w:rPr>
                <w:sz w:val="10"/>
                <w:szCs w:val="10"/>
                <w:color w:val="auto"/>
              </w:rPr>
            </w:pP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122</w:t>
            </w:r>
          </w:p>
        </w:tc>
        <w:tc>
          <w:tcPr>
            <w:tcW w:w="180" w:type="dxa"/>
            <w:vAlign w:val="bottom"/>
            <w:shd w:val="clear" w:color="auto" w:fill="CCEEFF"/>
          </w:tcPr>
          <w:p>
            <w:pPr>
              <w:spacing w:after="0"/>
              <w:rPr>
                <w:sz w:val="10"/>
                <w:szCs w:val="10"/>
                <w:color w:val="auto"/>
              </w:rPr>
            </w:pPr>
          </w:p>
        </w:tc>
        <w:tc>
          <w:tcPr>
            <w:tcW w:w="13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68,337</w:t>
            </w:r>
          </w:p>
        </w:tc>
        <w:tc>
          <w:tcPr>
            <w:tcW w:w="180" w:type="dxa"/>
            <w:vAlign w:val="bottom"/>
            <w:vMerge w:val="continue"/>
            <w:shd w:val="clear" w:color="auto" w:fill="CCEEFF"/>
          </w:tcPr>
          <w:p>
            <w:pPr>
              <w:spacing w:after="0"/>
              <w:rPr>
                <w:sz w:val="10"/>
                <w:szCs w:val="10"/>
                <w:color w:val="auto"/>
              </w:rPr>
            </w:pPr>
          </w:p>
        </w:tc>
        <w:tc>
          <w:tcPr>
            <w:tcW w:w="13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68,510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8,133,006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8,076,463</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15" w:lineRule="exact"/>
              <w:rPr>
                <w:sz w:val="20"/>
                <w:szCs w:val="20"/>
                <w:color w:val="auto"/>
              </w:rPr>
            </w:pPr>
            <w:r>
              <w:rPr>
                <w:rFonts w:ascii="Arial" w:cs="Arial" w:eastAsia="Arial" w:hAnsi="Arial"/>
                <w:sz w:val="11"/>
                <w:szCs w:val="11"/>
                <w:b w:val="1"/>
                <w:bCs w:val="1"/>
                <w:color w:val="auto"/>
              </w:rPr>
              <w:t>76.7%</w:t>
            </w:r>
          </w:p>
        </w:tc>
        <w:tc>
          <w:tcPr>
            <w:tcW w:w="1300" w:type="dxa"/>
            <w:vAlign w:val="bottom"/>
            <w:gridSpan w:val="2"/>
            <w:shd w:val="clear" w:color="auto" w:fill="CCEEFF"/>
          </w:tcPr>
          <w:p>
            <w:pPr>
              <w:ind w:left="940"/>
              <w:spacing w:after="0" w:line="115" w:lineRule="exact"/>
              <w:rPr>
                <w:sz w:val="20"/>
                <w:szCs w:val="20"/>
                <w:color w:val="auto"/>
              </w:rPr>
            </w:pPr>
            <w:r>
              <w:rPr>
                <w:rFonts w:ascii="Arial" w:cs="Arial" w:eastAsia="Arial" w:hAnsi="Arial"/>
                <w:sz w:val="11"/>
                <w:szCs w:val="11"/>
                <w:b w:val="1"/>
                <w:bCs w:val="1"/>
                <w:color w:val="auto"/>
              </w:rPr>
              <w:t>73.7%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 Stabilized Properties</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731</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482,889</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484,320</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52,639,552</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52,582,302</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9"/>
                <w:szCs w:val="9"/>
                <w:b w:val="1"/>
                <w:bCs w:val="1"/>
                <w:color w:val="auto"/>
              </w:rPr>
              <w:t>84.2</w:t>
            </w:r>
            <w:r>
              <w:rPr>
                <w:rFonts w:ascii="Arial" w:cs="Arial" w:eastAsia="Arial" w:hAnsi="Arial"/>
                <w:sz w:val="17"/>
                <w:szCs w:val="17"/>
                <w:b w:val="1"/>
                <w:bCs w:val="1"/>
                <w:color w:val="auto"/>
                <w:vertAlign w:val="superscript"/>
              </w:rPr>
              <w:t>%</w:t>
            </w:r>
          </w:p>
        </w:tc>
        <w:tc>
          <w:tcPr>
            <w:tcW w:w="130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9"/>
                <w:szCs w:val="9"/>
                <w:b w:val="1"/>
                <w:bCs w:val="1"/>
                <w:color w:val="auto"/>
              </w:rPr>
              <w:t>82.4</w:t>
            </w:r>
            <w:r>
              <w:rPr>
                <w:rFonts w:ascii="Arial" w:cs="Arial" w:eastAsia="Arial" w:hAnsi="Arial"/>
                <w:sz w:val="17"/>
                <w:szCs w:val="17"/>
                <w:b w:val="1"/>
                <w:bCs w:val="1"/>
                <w:color w:val="auto"/>
                <w:vertAlign w:val="superscript"/>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-3225800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-3225800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-2632075</wp:posOffset>
            </wp:positionV>
            <wp:extent cx="9264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unit count as of September 30, 2010, which may differ from September 30, 2009 unit count due to unit conversions or expansions.</w:t>
      </w:r>
    </w:p>
    <w:p>
      <w:pPr>
        <w:spacing w:after="0" w:line="34" w:lineRule="exact"/>
        <w:rPr>
          <w:rFonts w:ascii="Arial" w:cs="Arial" w:eastAsia="Arial" w:hAnsi="Arial"/>
          <w:sz w:val="17"/>
          <w:szCs w:val="17"/>
          <w:i w:val="1"/>
          <w:iCs w:val="1"/>
          <w:color w:val="auto"/>
        </w:rPr>
      </w:pPr>
    </w:p>
    <w:p>
      <w:pPr>
        <w:ind w:right="200" w:firstLine="8"/>
        <w:spacing w:after="0" w:line="261"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September 30, 2010, which may differ from September 30, 2009 net rentable square feet due to unit conversions or expansions.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September 30, 2010 and 2009. The information as of September 30, 2009, is on a pro forma basis as though all the properties owned and/or managed at September 30, 2010, were under our control as of September 30,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Pro forma</w:t>
            </w: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Company</w:t>
            </w: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Company</w:t>
            </w: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Pro forma</w:t>
            </w:r>
          </w:p>
        </w:tc>
      </w:tr>
      <w:tr>
        <w:trPr>
          <w:trHeight w:val="101"/>
        </w:trPr>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80" w:type="dxa"/>
            <w:vAlign w:val="bottom"/>
          </w:tcPr>
          <w:p>
            <w:pPr>
              <w:spacing w:after="0"/>
              <w:rPr>
                <w:sz w:val="8"/>
                <w:szCs w:val="8"/>
                <w:color w:val="auto"/>
              </w:rPr>
            </w:pPr>
          </w:p>
        </w:tc>
        <w:tc>
          <w:tcPr>
            <w:tcW w:w="12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6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60" w:type="dxa"/>
            <w:vAlign w:val="bottom"/>
          </w:tcPr>
          <w:p>
            <w:pPr>
              <w:spacing w:after="0"/>
              <w:rPr>
                <w:sz w:val="8"/>
                <w:szCs w:val="8"/>
                <w:color w:val="auto"/>
              </w:rPr>
            </w:pPr>
          </w:p>
        </w:tc>
        <w:tc>
          <w:tcPr>
            <w:tcW w:w="11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160" w:type="dxa"/>
            <w:vAlign w:val="bottom"/>
          </w:tcPr>
          <w:p>
            <w:pPr>
              <w:spacing w:after="0"/>
              <w:rPr>
                <w:sz w:val="8"/>
                <w:szCs w:val="8"/>
                <w:color w:val="auto"/>
              </w:rPr>
            </w:pPr>
          </w:p>
        </w:tc>
      </w:tr>
      <w:tr>
        <w:trPr>
          <w:trHeight w:val="122"/>
        </w:trPr>
        <w:tc>
          <w:tcPr>
            <w:tcW w:w="1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5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Feet as of September</w:t>
            </w:r>
          </w:p>
        </w:tc>
        <w:tc>
          <w:tcPr>
            <w:tcW w:w="14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Feet as of September</w:t>
            </w:r>
          </w:p>
        </w:tc>
        <w:tc>
          <w:tcPr>
            <w:tcW w:w="13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Occupancy %</w:t>
            </w:r>
          </w:p>
        </w:tc>
        <w:tc>
          <w:tcPr>
            <w:tcW w:w="13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Occupancy %</w:t>
            </w:r>
          </w:p>
        </w:tc>
      </w:tr>
      <w:tr>
        <w:trPr>
          <w:trHeight w:val="135"/>
        </w:trPr>
        <w:tc>
          <w:tcPr>
            <w:tcW w:w="1900" w:type="dxa"/>
            <w:vAlign w:val="bottom"/>
            <w:gridSpan w:val="2"/>
          </w:tcPr>
          <w:p>
            <w:pPr>
              <w:spacing w:after="0"/>
              <w:rPr>
                <w:sz w:val="20"/>
                <w:szCs w:val="20"/>
                <w:color w:val="auto"/>
              </w:rPr>
            </w:pPr>
            <w:r>
              <w:rPr>
                <w:rFonts w:ascii="Arial" w:cs="Arial" w:eastAsia="Arial" w:hAnsi="Arial"/>
                <w:sz w:val="11"/>
                <w:szCs w:val="11"/>
                <w:b w:val="1"/>
                <w:bCs w:val="1"/>
                <w:color w:val="auto"/>
              </w:rPr>
              <w:t>Location</w:t>
            </w:r>
          </w:p>
        </w:tc>
        <w:tc>
          <w:tcPr>
            <w:tcW w:w="680" w:type="dxa"/>
            <w:vAlign w:val="bottom"/>
          </w:tcPr>
          <w:p>
            <w:pPr>
              <w:ind w:left="160"/>
              <w:spacing w:after="0"/>
              <w:rPr>
                <w:sz w:val="20"/>
                <w:szCs w:val="20"/>
                <w:color w:val="auto"/>
              </w:rPr>
            </w:pPr>
            <w:r>
              <w:rPr>
                <w:rFonts w:ascii="Arial" w:cs="Arial" w:eastAsia="Arial" w:hAnsi="Arial"/>
                <w:sz w:val="11"/>
                <w:szCs w:val="11"/>
                <w:b w:val="1"/>
                <w:bCs w:val="1"/>
                <w:color w:val="auto"/>
                <w:w w:val="91"/>
              </w:rPr>
              <w:t>Properties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September 30, 2010(1)</w:t>
            </w: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September 30, 2009</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2"/>
              </w:rPr>
              <w:t>30, 2010(2)</w:t>
            </w:r>
          </w:p>
        </w:tc>
        <w:tc>
          <w:tcPr>
            <w:tcW w:w="1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8"/>
              </w:rPr>
              <w:t>30, 2009</w:t>
            </w:r>
          </w:p>
        </w:tc>
        <w:tc>
          <w:tcPr>
            <w:tcW w:w="160" w:type="dxa"/>
            <w:vAlign w:val="bottom"/>
          </w:tcPr>
          <w:p>
            <w:pPr>
              <w:spacing w:after="0"/>
              <w:rPr>
                <w:sz w:val="11"/>
                <w:szCs w:val="11"/>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September 30, 2010</w:t>
            </w:r>
          </w:p>
        </w:tc>
        <w:tc>
          <w:tcPr>
            <w:tcW w:w="13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September 30, 2009</w:t>
            </w:r>
          </w:p>
        </w:tc>
      </w:tr>
      <w:tr>
        <w:trPr>
          <w:trHeight w:val="115"/>
        </w:trPr>
        <w:tc>
          <w:tcPr>
            <w:tcW w:w="17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Wholly-owned properties</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California</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81"/>
              </w:rPr>
              <w:t>11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8,107</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5,852</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856,821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635,506</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49.7%</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34.7%</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4,998</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2,200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489,135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209,870</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28.8%</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20.0%</w:t>
            </w: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6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1,368</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1,167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176,338</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141,208</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66.1%</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58.2%</w:t>
            </w: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2,574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2,715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276,355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276,435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62.7%</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44.7%</w:t>
            </w:r>
          </w:p>
        </w:tc>
      </w:tr>
    </w:tbl>
    <w:p>
      <w:pPr>
        <w:sectPr>
          <w:pgSz w:w="11900" w:h="16843" w:orient="portrait"/>
          <w:cols w:equalWidth="0" w:num="1">
            <w:col w:w="11460"/>
          </w:cols>
          <w:pgMar w:left="240" w:top="130" w:right="199" w:bottom="0" w:gutter="0" w:footer="0" w:header="0"/>
        </w:sectPr>
      </w:pPr>
    </w:p>
    <w:bookmarkStart w:id="23" w:name="page24"/>
    <w:bookmarkEnd w:id="23"/>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00" w:type="dxa"/>
            <w:vAlign w:val="bottom"/>
            <w:gridSpan w:val="2"/>
          </w:tcPr>
          <w:p>
            <w:pPr>
              <w:spacing w:after="0"/>
              <w:rPr>
                <w:sz w:val="20"/>
                <w:szCs w:val="20"/>
                <w:color w:val="auto"/>
              </w:rPr>
            </w:pPr>
            <w:r>
              <w:rPr>
                <w:rFonts w:ascii="Arial" w:cs="Arial" w:eastAsia="Arial" w:hAnsi="Arial"/>
                <w:sz w:val="11"/>
                <w:szCs w:val="11"/>
                <w:color w:val="auto"/>
              </w:rPr>
              <w:t>Maryland</w:t>
            </w:r>
          </w:p>
        </w:tc>
        <w:tc>
          <w:tcPr>
            <w:tcW w:w="800" w:type="dxa"/>
            <w:vAlign w:val="bottom"/>
          </w:tcPr>
          <w:p>
            <w:pPr>
              <w:jc w:val="right"/>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1"/>
                <w:szCs w:val="1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color w:val="auto"/>
              </w:rPr>
              <w:t>2,219</w:t>
            </w:r>
          </w:p>
        </w:tc>
        <w:tc>
          <w:tcPr>
            <w:tcW w:w="1380" w:type="dxa"/>
            <w:vAlign w:val="bottom"/>
          </w:tcPr>
          <w:p>
            <w:pPr>
              <w:jc w:val="right"/>
              <w:spacing w:after="0"/>
              <w:rPr>
                <w:sz w:val="20"/>
                <w:szCs w:val="20"/>
                <w:color w:val="auto"/>
              </w:rPr>
            </w:pPr>
            <w:r>
              <w:rPr>
                <w:rFonts w:ascii="Arial" w:cs="Arial" w:eastAsia="Arial" w:hAnsi="Arial"/>
                <w:sz w:val="11"/>
                <w:szCs w:val="11"/>
                <w:color w:val="auto"/>
              </w:rPr>
              <w:t>1,393</w:t>
            </w:r>
          </w:p>
        </w:tc>
        <w:tc>
          <w:tcPr>
            <w:tcW w:w="1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236,922</w:t>
            </w:r>
          </w:p>
        </w:tc>
        <w:tc>
          <w:tcPr>
            <w:tcW w:w="1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149,937</w:t>
            </w:r>
          </w:p>
        </w:tc>
        <w:tc>
          <w:tcPr>
            <w:tcW w:w="160" w:type="dxa"/>
            <w:vAlign w:val="bottom"/>
          </w:tcPr>
          <w:p>
            <w:pPr>
              <w:spacing w:after="0"/>
              <w:rPr>
                <w:sz w:val="11"/>
                <w:szCs w:val="11"/>
                <w:color w:val="auto"/>
              </w:rPr>
            </w:pPr>
          </w:p>
        </w:tc>
        <w:tc>
          <w:tcPr>
            <w:tcW w:w="1300" w:type="dxa"/>
            <w:vAlign w:val="bottom"/>
            <w:gridSpan w:val="2"/>
          </w:tcPr>
          <w:p>
            <w:pPr>
              <w:ind w:left="960"/>
              <w:spacing w:after="0"/>
              <w:rPr>
                <w:sz w:val="20"/>
                <w:szCs w:val="20"/>
                <w:color w:val="auto"/>
              </w:rPr>
            </w:pPr>
            <w:r>
              <w:rPr>
                <w:rFonts w:ascii="Arial" w:cs="Arial" w:eastAsia="Arial" w:hAnsi="Arial"/>
                <w:sz w:val="11"/>
                <w:szCs w:val="11"/>
                <w:color w:val="auto"/>
              </w:rPr>
              <w:t>54.3%</w:t>
            </w:r>
          </w:p>
        </w:tc>
        <w:tc>
          <w:tcPr>
            <w:tcW w:w="1300" w:type="dxa"/>
            <w:vAlign w:val="bottom"/>
            <w:gridSpan w:val="2"/>
          </w:tcPr>
          <w:p>
            <w:pPr>
              <w:jc w:val="right"/>
              <w:ind w:right="80"/>
              <w:spacing w:after="0"/>
              <w:rPr>
                <w:sz w:val="20"/>
                <w:szCs w:val="20"/>
                <w:color w:val="auto"/>
              </w:rPr>
            </w:pPr>
            <w:r>
              <w:rPr>
                <w:rFonts w:ascii="Arial" w:cs="Arial" w:eastAsia="Arial" w:hAnsi="Arial"/>
                <w:sz w:val="11"/>
                <w:szCs w:val="11"/>
                <w:color w:val="auto"/>
              </w:rPr>
              <w:t>49.2%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Massachusetts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605</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537</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74,295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68,045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58.9%</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New Jersey</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1,903</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1,348</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184,295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117,183</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60.4%</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674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42,563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42,313</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58.1%</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Oregon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744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741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75,970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76,100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37.8%</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634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67,110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66,935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79.2%</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vMerge w:val="restart"/>
          </w:tcPr>
          <w:p>
            <w:pPr>
              <w:spacing w:after="0"/>
              <w:rPr>
                <w:sz w:val="20"/>
                <w:szCs w:val="20"/>
                <w:color w:val="auto"/>
              </w:rPr>
            </w:pPr>
            <w:r>
              <w:rPr>
                <w:rFonts w:ascii="Arial" w:cs="Arial" w:eastAsia="Arial" w:hAnsi="Arial"/>
                <w:sz w:val="11"/>
                <w:szCs w:val="11"/>
                <w:b w:val="1"/>
                <w:bCs w:val="1"/>
                <w:color w:val="auto"/>
              </w:rPr>
              <w:t>Total Wholly-Owned Lease up</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34</w:t>
            </w:r>
          </w:p>
        </w:tc>
        <w:tc>
          <w:tcPr>
            <w:tcW w:w="180" w:type="dxa"/>
            <w:vAlign w:val="bottom"/>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23,826</w:t>
            </w:r>
          </w:p>
        </w:tc>
        <w:tc>
          <w:tcPr>
            <w:tcW w:w="180" w:type="dxa"/>
            <w:vAlign w:val="bottom"/>
            <w:vMerge w:val="continue"/>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17,259</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2,479,804</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1,783,532</w:t>
            </w:r>
          </w:p>
        </w:tc>
        <w:tc>
          <w:tcPr>
            <w:tcW w:w="160" w:type="dxa"/>
            <w:vAlign w:val="bottom"/>
          </w:tcPr>
          <w:p>
            <w:pPr>
              <w:spacing w:after="0"/>
              <w:rPr>
                <w:sz w:val="10"/>
                <w:szCs w:val="10"/>
                <w:color w:val="auto"/>
              </w:rPr>
            </w:pPr>
          </w:p>
        </w:tc>
        <w:tc>
          <w:tcPr>
            <w:tcW w:w="1300" w:type="dxa"/>
            <w:vAlign w:val="bottom"/>
            <w:gridSpan w:val="2"/>
          </w:tcPr>
          <w:p>
            <w:pPr>
              <w:ind w:left="960"/>
              <w:spacing w:after="0" w:line="115" w:lineRule="exact"/>
              <w:rPr>
                <w:sz w:val="20"/>
                <w:szCs w:val="20"/>
                <w:color w:val="auto"/>
              </w:rPr>
            </w:pPr>
            <w:r>
              <w:rPr>
                <w:rFonts w:ascii="Arial" w:cs="Arial" w:eastAsia="Arial" w:hAnsi="Arial"/>
                <w:sz w:val="11"/>
                <w:szCs w:val="11"/>
                <w:b w:val="1"/>
                <w:bCs w:val="1"/>
                <w:color w:val="auto"/>
              </w:rPr>
              <w:t>50.3%</w:t>
            </w:r>
          </w:p>
        </w:tc>
        <w:tc>
          <w:tcPr>
            <w:tcW w:w="1300" w:type="dxa"/>
            <w:vAlign w:val="bottom"/>
            <w:gridSpan w:val="2"/>
          </w:tcPr>
          <w:p>
            <w:pPr>
              <w:jc w:val="right"/>
              <w:ind w:right="60"/>
              <w:spacing w:after="0" w:line="115" w:lineRule="exact"/>
              <w:rPr>
                <w:sz w:val="20"/>
                <w:szCs w:val="20"/>
                <w:color w:val="auto"/>
              </w:rPr>
            </w:pPr>
            <w:r>
              <w:rPr>
                <w:rFonts w:ascii="Arial" w:cs="Arial" w:eastAsia="Arial" w:hAnsi="Arial"/>
                <w:sz w:val="11"/>
                <w:szCs w:val="11"/>
                <w:b w:val="1"/>
                <w:bCs w:val="1"/>
                <w:color w:val="auto"/>
              </w:rPr>
              <w:t>39.4%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8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b w:val="1"/>
                <w:bCs w:val="1"/>
                <w:color w:val="auto"/>
              </w:rPr>
              <w:t>Joint-venture properties</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4,164</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4,204</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441,109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440,005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56.2%</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Illinois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1,206</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1,026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120,616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107,836</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61.1%</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859</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853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71,474</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71,349</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90.1%</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vMerge w:val="restart"/>
          </w:tcPr>
          <w:p>
            <w:pPr>
              <w:spacing w:after="0"/>
              <w:rPr>
                <w:sz w:val="20"/>
                <w:szCs w:val="20"/>
                <w:color w:val="auto"/>
              </w:rPr>
            </w:pPr>
            <w:r>
              <w:rPr>
                <w:rFonts w:ascii="Arial" w:cs="Arial" w:eastAsia="Arial" w:hAnsi="Arial"/>
                <w:sz w:val="11"/>
                <w:szCs w:val="11"/>
                <w:b w:val="1"/>
                <w:bCs w:val="1"/>
                <w:color w:val="auto"/>
              </w:rPr>
              <w:t>Total Lease up Joint-Ventures</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80" w:type="dxa"/>
            <w:vAlign w:val="bottom"/>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6,229</w:t>
            </w:r>
          </w:p>
        </w:tc>
        <w:tc>
          <w:tcPr>
            <w:tcW w:w="180" w:type="dxa"/>
            <w:vAlign w:val="bottom"/>
            <w:vMerge w:val="continue"/>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6,083</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633,199</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619,190</w:t>
            </w:r>
          </w:p>
        </w:tc>
        <w:tc>
          <w:tcPr>
            <w:tcW w:w="160" w:type="dxa"/>
            <w:vAlign w:val="bottom"/>
          </w:tcPr>
          <w:p>
            <w:pPr>
              <w:spacing w:after="0"/>
              <w:rPr>
                <w:sz w:val="10"/>
                <w:szCs w:val="10"/>
                <w:color w:val="auto"/>
              </w:rPr>
            </w:pPr>
          </w:p>
        </w:tc>
        <w:tc>
          <w:tcPr>
            <w:tcW w:w="1300" w:type="dxa"/>
            <w:vAlign w:val="bottom"/>
            <w:gridSpan w:val="2"/>
          </w:tcPr>
          <w:p>
            <w:pPr>
              <w:ind w:left="960"/>
              <w:spacing w:after="0" w:line="115" w:lineRule="exact"/>
              <w:rPr>
                <w:sz w:val="20"/>
                <w:szCs w:val="20"/>
                <w:color w:val="auto"/>
              </w:rPr>
            </w:pPr>
            <w:r>
              <w:rPr>
                <w:rFonts w:ascii="Arial" w:cs="Arial" w:eastAsia="Arial" w:hAnsi="Arial"/>
                <w:sz w:val="11"/>
                <w:szCs w:val="11"/>
                <w:b w:val="1"/>
                <w:bCs w:val="1"/>
                <w:color w:val="auto"/>
              </w:rPr>
              <w:t>61.0%</w:t>
            </w:r>
          </w:p>
        </w:tc>
        <w:tc>
          <w:tcPr>
            <w:tcW w:w="1300" w:type="dxa"/>
            <w:vAlign w:val="bottom"/>
            <w:gridSpan w:val="2"/>
          </w:tcPr>
          <w:p>
            <w:pPr>
              <w:jc w:val="right"/>
              <w:ind w:right="60"/>
              <w:spacing w:after="0" w:line="115" w:lineRule="exact"/>
              <w:rPr>
                <w:sz w:val="20"/>
                <w:szCs w:val="20"/>
                <w:color w:val="auto"/>
              </w:rPr>
            </w:pPr>
            <w:r>
              <w:rPr>
                <w:rFonts w:ascii="Arial" w:cs="Arial" w:eastAsia="Arial" w:hAnsi="Arial"/>
                <w:sz w:val="11"/>
                <w:szCs w:val="11"/>
                <w:b w:val="1"/>
                <w:bCs w:val="1"/>
                <w:color w:val="auto"/>
              </w:rPr>
              <w:t>43.0%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8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b w:val="1"/>
                <w:bCs w:val="1"/>
                <w:color w:val="auto"/>
              </w:rPr>
              <w:t>Managed properties</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1,739</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236,239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237,259</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63.0%</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Colorado</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519</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522</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61,420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61,070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90.6%</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7,278</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5,557</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700,600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530,643</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40.0%</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Georgia</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3,585</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3,594</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535,336</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535,029</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52.6%</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2,718</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2,757</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231,623</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235,119</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60.9%</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Massachusetts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1,199</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1,209</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123,048</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122,843</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46.8%</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850</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78,295</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77,895</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73.0%</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55.8%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New York</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906</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905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46,197</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45,875</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36.3%</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Pennsylvania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1,991</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1,990</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173,019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173,044</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54.6%</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Rhode Island</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985</w:t>
            </w: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90,995</w:t>
            </w:r>
          </w:p>
        </w:tc>
        <w:tc>
          <w:tcPr>
            <w:tcW w:w="18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23.1%</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South Carolina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760</w:t>
            </w: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76,575</w:t>
            </w:r>
          </w:p>
        </w:tc>
        <w:tc>
          <w:tcPr>
            <w:tcW w:w="1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33.6%</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Tennessee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505</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505</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69,550</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69,550</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72.4%</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934</w:t>
            </w: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103,350</w:t>
            </w:r>
          </w:p>
        </w:tc>
        <w:tc>
          <w:tcPr>
            <w:tcW w:w="1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17.3%</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Arial" w:cs="Arial" w:eastAsia="Arial" w:hAnsi="Arial"/>
                <w:sz w:val="11"/>
                <w:szCs w:val="11"/>
                <w:color w:val="auto"/>
              </w:rPr>
              <w:t>Utah</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654</w:t>
            </w:r>
          </w:p>
        </w:tc>
        <w:tc>
          <w:tcPr>
            <w:tcW w:w="1380" w:type="dxa"/>
            <w:vAlign w:val="bottom"/>
          </w:tcPr>
          <w:p>
            <w:pPr>
              <w:jc w:val="right"/>
              <w:spacing w:after="0" w:line="122" w:lineRule="exact"/>
              <w:rPr>
                <w:sz w:val="20"/>
                <w:szCs w:val="20"/>
                <w:color w:val="auto"/>
              </w:rPr>
            </w:pPr>
            <w:r>
              <w:rPr>
                <w:rFonts w:ascii="Arial" w:cs="Arial" w:eastAsia="Arial" w:hAnsi="Arial"/>
                <w:sz w:val="11"/>
                <w:szCs w:val="11"/>
                <w:color w:val="auto"/>
              </w:rPr>
              <w:t>658</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75,601</w:t>
            </w:r>
          </w:p>
        </w:tc>
        <w:tc>
          <w:tcPr>
            <w:tcW w:w="18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75,451</w:t>
            </w:r>
          </w:p>
        </w:tc>
        <w:tc>
          <w:tcPr>
            <w:tcW w:w="160" w:type="dxa"/>
            <w:vAlign w:val="bottom"/>
          </w:tcPr>
          <w:p>
            <w:pPr>
              <w:spacing w:after="0"/>
              <w:rPr>
                <w:sz w:val="10"/>
                <w:szCs w:val="10"/>
                <w:color w:val="auto"/>
              </w:rPr>
            </w:pPr>
          </w:p>
        </w:tc>
        <w:tc>
          <w:tcPr>
            <w:tcW w:w="1300" w:type="dxa"/>
            <w:vAlign w:val="bottom"/>
            <w:gridSpan w:val="2"/>
          </w:tcPr>
          <w:p>
            <w:pPr>
              <w:ind w:left="960"/>
              <w:spacing w:after="0" w:line="122" w:lineRule="exact"/>
              <w:rPr>
                <w:sz w:val="20"/>
                <w:szCs w:val="20"/>
                <w:color w:val="auto"/>
              </w:rPr>
            </w:pPr>
            <w:r>
              <w:rPr>
                <w:rFonts w:ascii="Arial" w:cs="Arial" w:eastAsia="Arial" w:hAnsi="Arial"/>
                <w:sz w:val="11"/>
                <w:szCs w:val="11"/>
                <w:color w:val="auto"/>
              </w:rPr>
              <w:t>78.8%</w:t>
            </w:r>
          </w:p>
        </w:tc>
        <w:tc>
          <w:tcPr>
            <w:tcW w:w="13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Virginia</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459</w:t>
            </w:r>
          </w:p>
        </w:tc>
        <w:tc>
          <w:tcPr>
            <w:tcW w:w="1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476</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63,709</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63,809</w:t>
            </w:r>
          </w:p>
        </w:tc>
        <w:tc>
          <w:tcPr>
            <w:tcW w:w="1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960"/>
              <w:spacing w:after="0" w:line="122" w:lineRule="exact"/>
              <w:rPr>
                <w:sz w:val="20"/>
                <w:szCs w:val="20"/>
                <w:color w:val="auto"/>
              </w:rPr>
            </w:pPr>
            <w:r>
              <w:rPr>
                <w:rFonts w:ascii="Arial" w:cs="Arial" w:eastAsia="Arial" w:hAnsi="Arial"/>
                <w:sz w:val="11"/>
                <w:szCs w:val="11"/>
                <w:color w:val="auto"/>
              </w:rPr>
              <w:t>63.0%</w:t>
            </w:r>
          </w:p>
        </w:tc>
        <w:tc>
          <w:tcPr>
            <w:tcW w:w="13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vMerge w:val="restart"/>
          </w:tcPr>
          <w:p>
            <w:pPr>
              <w:spacing w:after="0"/>
              <w:rPr>
                <w:sz w:val="20"/>
                <w:szCs w:val="20"/>
                <w:color w:val="auto"/>
              </w:rPr>
            </w:pPr>
            <w:r>
              <w:rPr>
                <w:rFonts w:ascii="Arial" w:cs="Arial" w:eastAsia="Arial" w:hAnsi="Arial"/>
                <w:sz w:val="11"/>
                <w:szCs w:val="11"/>
                <w:b w:val="1"/>
                <w:bCs w:val="1"/>
                <w:color w:val="auto"/>
              </w:rPr>
              <w:t>Total Lease up Managed Properties</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35</w:t>
            </w:r>
          </w:p>
        </w:tc>
        <w:tc>
          <w:tcPr>
            <w:tcW w:w="180" w:type="dxa"/>
            <w:vAlign w:val="bottom"/>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25,082</w:t>
            </w:r>
          </w:p>
        </w:tc>
        <w:tc>
          <w:tcPr>
            <w:tcW w:w="180" w:type="dxa"/>
            <w:vAlign w:val="bottom"/>
            <w:vMerge w:val="continue"/>
          </w:tcPr>
          <w:p>
            <w:pPr>
              <w:spacing w:after="0"/>
              <w:rPr>
                <w:sz w:val="10"/>
                <w:szCs w:val="10"/>
                <w:color w:val="auto"/>
              </w:rPr>
            </w:pPr>
          </w:p>
        </w:tc>
        <w:tc>
          <w:tcPr>
            <w:tcW w:w="1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20,760</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2,665,557</w:t>
            </w:r>
          </w:p>
        </w:tc>
        <w:tc>
          <w:tcPr>
            <w:tcW w:w="18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2,227,587</w:t>
            </w:r>
          </w:p>
        </w:tc>
        <w:tc>
          <w:tcPr>
            <w:tcW w:w="160" w:type="dxa"/>
            <w:vAlign w:val="bottom"/>
          </w:tcPr>
          <w:p>
            <w:pPr>
              <w:spacing w:after="0"/>
              <w:rPr>
                <w:sz w:val="10"/>
                <w:szCs w:val="10"/>
                <w:color w:val="auto"/>
              </w:rPr>
            </w:pPr>
          </w:p>
        </w:tc>
        <w:tc>
          <w:tcPr>
            <w:tcW w:w="1300" w:type="dxa"/>
            <w:vAlign w:val="bottom"/>
            <w:gridSpan w:val="2"/>
          </w:tcPr>
          <w:p>
            <w:pPr>
              <w:ind w:left="960"/>
              <w:spacing w:after="0" w:line="115" w:lineRule="exact"/>
              <w:rPr>
                <w:sz w:val="20"/>
                <w:szCs w:val="20"/>
                <w:color w:val="auto"/>
              </w:rPr>
            </w:pPr>
            <w:r>
              <w:rPr>
                <w:rFonts w:ascii="Arial" w:cs="Arial" w:eastAsia="Arial" w:hAnsi="Arial"/>
                <w:sz w:val="11"/>
                <w:szCs w:val="11"/>
                <w:b w:val="1"/>
                <w:bCs w:val="1"/>
                <w:color w:val="auto"/>
              </w:rPr>
              <w:t>50.6%</w:t>
            </w:r>
          </w:p>
        </w:tc>
        <w:tc>
          <w:tcPr>
            <w:tcW w:w="1300" w:type="dxa"/>
            <w:vAlign w:val="bottom"/>
            <w:gridSpan w:val="2"/>
          </w:tcPr>
          <w:p>
            <w:pPr>
              <w:jc w:val="right"/>
              <w:ind w:right="60"/>
              <w:spacing w:after="0" w:line="115" w:lineRule="exact"/>
              <w:rPr>
                <w:sz w:val="20"/>
                <w:szCs w:val="20"/>
                <w:color w:val="auto"/>
              </w:rPr>
            </w:pPr>
            <w:r>
              <w:rPr>
                <w:rFonts w:ascii="Arial" w:cs="Arial" w:eastAsia="Arial" w:hAnsi="Arial"/>
                <w:sz w:val="11"/>
                <w:szCs w:val="11"/>
                <w:b w:val="1"/>
                <w:bCs w:val="1"/>
                <w:color w:val="auto"/>
              </w:rPr>
              <w:t>37.9%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gridSpan w:val="2"/>
          </w:tcPr>
          <w:p>
            <w:pPr>
              <w:spacing w:after="0"/>
              <w:rPr>
                <w:sz w:val="20"/>
                <w:szCs w:val="20"/>
                <w:color w:val="auto"/>
              </w:rPr>
            </w:pPr>
            <w:r>
              <w:rPr>
                <w:rFonts w:ascii="Arial" w:cs="Arial" w:eastAsia="Arial" w:hAnsi="Arial"/>
                <w:sz w:val="11"/>
                <w:szCs w:val="11"/>
                <w:b w:val="1"/>
                <w:bCs w:val="1"/>
                <w:color w:val="auto"/>
              </w:rPr>
              <w:t>Total Lease up Properties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78</w:t>
            </w:r>
          </w:p>
        </w:tc>
        <w:tc>
          <w:tcPr>
            <w:tcW w:w="18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55,137</w:t>
            </w:r>
          </w:p>
        </w:tc>
        <w:tc>
          <w:tcPr>
            <w:tcW w:w="1380" w:type="dxa"/>
            <w:vAlign w:val="bottom"/>
          </w:tcPr>
          <w:p>
            <w:pPr>
              <w:jc w:val="right"/>
              <w:spacing w:after="0"/>
              <w:rPr>
                <w:sz w:val="20"/>
                <w:szCs w:val="20"/>
                <w:color w:val="auto"/>
              </w:rPr>
            </w:pPr>
            <w:r>
              <w:rPr>
                <w:rFonts w:ascii="Arial" w:cs="Arial" w:eastAsia="Arial" w:hAnsi="Arial"/>
                <w:sz w:val="11"/>
                <w:szCs w:val="11"/>
                <w:b w:val="1"/>
                <w:bCs w:val="1"/>
                <w:color w:val="auto"/>
              </w:rPr>
              <w:t>44,102</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5,778,560</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4,630,309</w:t>
            </w:r>
          </w:p>
        </w:tc>
        <w:tc>
          <w:tcPr>
            <w:tcW w:w="160" w:type="dxa"/>
            <w:vAlign w:val="bottom"/>
          </w:tcPr>
          <w:p>
            <w:pPr>
              <w:spacing w:after="0"/>
              <w:rPr>
                <w:sz w:val="12"/>
                <w:szCs w:val="12"/>
                <w:color w:val="auto"/>
              </w:rPr>
            </w:pPr>
          </w:p>
        </w:tc>
        <w:tc>
          <w:tcPr>
            <w:tcW w:w="1300" w:type="dxa"/>
            <w:vAlign w:val="bottom"/>
            <w:gridSpan w:val="2"/>
          </w:tcPr>
          <w:p>
            <w:pPr>
              <w:ind w:left="960"/>
              <w:spacing w:after="0" w:line="149" w:lineRule="exact"/>
              <w:rPr>
                <w:sz w:val="20"/>
                <w:szCs w:val="20"/>
                <w:color w:val="auto"/>
              </w:rPr>
            </w:pPr>
            <w:r>
              <w:rPr>
                <w:rFonts w:ascii="Arial" w:cs="Arial" w:eastAsia="Arial" w:hAnsi="Arial"/>
                <w:sz w:val="9"/>
                <w:szCs w:val="9"/>
                <w:b w:val="1"/>
                <w:bCs w:val="1"/>
                <w:color w:val="auto"/>
              </w:rPr>
              <w:t>51.6</w:t>
            </w:r>
            <w:r>
              <w:rPr>
                <w:rFonts w:ascii="Arial" w:cs="Arial" w:eastAsia="Arial" w:hAnsi="Arial"/>
                <w:sz w:val="17"/>
                <w:szCs w:val="17"/>
                <w:b w:val="1"/>
                <w:bCs w:val="1"/>
                <w:color w:val="auto"/>
                <w:vertAlign w:val="superscript"/>
              </w:rPr>
              <w:t>%</w:t>
            </w:r>
          </w:p>
        </w:tc>
        <w:tc>
          <w:tcPr>
            <w:tcW w:w="1300" w:type="dxa"/>
            <w:vAlign w:val="bottom"/>
            <w:gridSpan w:val="2"/>
          </w:tcPr>
          <w:p>
            <w:pPr>
              <w:jc w:val="right"/>
              <w:ind w:right="60"/>
              <w:spacing w:after="0" w:line="149" w:lineRule="exact"/>
              <w:rPr>
                <w:sz w:val="20"/>
                <w:szCs w:val="20"/>
                <w:color w:val="auto"/>
              </w:rPr>
            </w:pPr>
            <w:r>
              <w:rPr>
                <w:rFonts w:ascii="Arial" w:cs="Arial" w:eastAsia="Arial" w:hAnsi="Arial"/>
                <w:sz w:val="9"/>
                <w:szCs w:val="9"/>
                <w:b w:val="1"/>
                <w:bCs w:val="1"/>
                <w:color w:val="auto"/>
              </w:rPr>
              <w:t>39.2</w:t>
            </w:r>
            <w:r>
              <w:rPr>
                <w:rFonts w:ascii="Arial" w:cs="Arial" w:eastAsia="Arial" w:hAnsi="Arial"/>
                <w:sz w:val="17"/>
                <w:szCs w:val="17"/>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unit count as of September 30, 2010, which may differ from September 30, 2009 unit count due to unit conversions or expansions.</w:t>
      </w:r>
    </w:p>
    <w:p>
      <w:pPr>
        <w:spacing w:after="0" w:line="34" w:lineRule="exact"/>
        <w:rPr>
          <w:rFonts w:ascii="Arial" w:cs="Arial" w:eastAsia="Arial" w:hAnsi="Arial"/>
          <w:sz w:val="17"/>
          <w:szCs w:val="17"/>
          <w:i w:val="1"/>
          <w:iCs w:val="1"/>
          <w:color w:val="auto"/>
        </w:rPr>
      </w:pPr>
    </w:p>
    <w:p>
      <w:pPr>
        <w:ind w:right="160" w:firstLine="8"/>
        <w:spacing w:after="0" w:line="261" w:lineRule="auto"/>
        <w:tabs>
          <w:tab w:leader="none" w:pos="2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September 30, 2010, which may differ from September 30, 2009 net rentable square feet due to unit conversions or expansions.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2010 and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Results for the three and nine months ended September 30, 2010 include the operations of 652 properties (285 of which were consolidated and 367 of which were in joint ventures accounted for using the equity method) compared to the results for the three and nine months ended September 30, 2009, which included the operations of 635 properties (293 of which were consolidated and 342 of which were in joint ventures accounted for using the equity method).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jc w:val="right"/>
              <w:ind w:right="197"/>
              <w:spacing w:after="0"/>
              <w:rPr>
                <w:sz w:val="20"/>
                <w:szCs w:val="20"/>
                <w:color w:val="auto"/>
              </w:rPr>
            </w:pPr>
            <w:r>
              <w:rPr>
                <w:rFonts w:ascii="Arial" w:cs="Arial" w:eastAsia="Arial" w:hAnsi="Arial"/>
                <w:sz w:val="13"/>
                <w:szCs w:val="13"/>
                <w:b w:val="1"/>
                <w:bCs w:val="1"/>
                <w:color w:val="auto"/>
                <w:w w:val="97"/>
              </w:rPr>
              <w:t>Three Months 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right"/>
              <w:ind w:right="297"/>
              <w:spacing w:after="0"/>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88"/>
              </w:rPr>
              <w:t>$ Change</w:t>
            </w:r>
          </w:p>
        </w:tc>
        <w:tc>
          <w:tcPr>
            <w:tcW w:w="1020" w:type="dxa"/>
            <w:vAlign w:val="bottom"/>
            <w:gridSpan w:val="2"/>
            <w:vMerge w:val="restart"/>
          </w:tcPr>
          <w:p>
            <w:pPr>
              <w:jc w:val="right"/>
              <w:ind w:right="302"/>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355"/>
              <w:spacing w:after="0"/>
              <w:rPr>
                <w:sz w:val="20"/>
                <w:szCs w:val="20"/>
                <w:color w:val="auto"/>
              </w:rPr>
            </w:pPr>
            <w:r>
              <w:rPr>
                <w:rFonts w:ascii="Arial" w:cs="Arial" w:eastAsia="Arial" w:hAnsi="Arial"/>
                <w:sz w:val="13"/>
                <w:szCs w:val="13"/>
                <w:b w:val="1"/>
                <w:bCs w:val="1"/>
                <w:color w:val="auto"/>
                <w:w w:val="88"/>
              </w:rPr>
              <w:t>$ Change</w:t>
            </w:r>
          </w:p>
        </w:tc>
        <w:tc>
          <w:tcPr>
            <w:tcW w:w="1000" w:type="dxa"/>
            <w:vAlign w:val="bottom"/>
            <w:gridSpan w:val="2"/>
            <w:vMerge w:val="restart"/>
          </w:tcPr>
          <w:p>
            <w:pPr>
              <w:jc w:val="right"/>
              <w:ind w:right="25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Revenues:</w:t>
            </w:r>
          </w:p>
        </w:tc>
        <w:tc>
          <w:tcPr>
            <w:tcW w:w="4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80"/>
              <w:spacing w:after="0" w:line="135" w:lineRule="exact"/>
              <w:rPr>
                <w:sz w:val="20"/>
                <w:szCs w:val="20"/>
                <w:color w:val="auto"/>
              </w:rPr>
            </w:pPr>
            <w:r>
              <w:rPr>
                <w:rFonts w:ascii="Arial" w:cs="Arial" w:eastAsia="Arial" w:hAnsi="Arial"/>
                <w:sz w:val="13"/>
                <w:szCs w:val="13"/>
                <w:color w:val="auto"/>
              </w:rPr>
              <w:t>Property rental</w:t>
            </w:r>
          </w:p>
        </w:tc>
        <w:tc>
          <w:tcPr>
            <w:tcW w:w="60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59,332</w:t>
            </w:r>
          </w:p>
        </w:tc>
        <w:tc>
          <w:tcPr>
            <w:tcW w:w="36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60,380</w:t>
            </w:r>
          </w:p>
        </w:tc>
        <w:tc>
          <w:tcPr>
            <w:tcW w:w="300" w:type="dxa"/>
            <w:vAlign w:val="bottom"/>
            <w:gridSpan w:val="2"/>
          </w:tcPr>
          <w:p>
            <w:pPr>
              <w:jc w:val="right"/>
              <w:ind w:right="14"/>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(1,048)</w:t>
            </w:r>
          </w:p>
        </w:tc>
        <w:tc>
          <w:tcPr>
            <w:tcW w:w="10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(1.7)%</w:t>
            </w:r>
          </w:p>
        </w:tc>
        <w:tc>
          <w:tcPr>
            <w:tcW w:w="26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172,261</w:t>
            </w:r>
          </w:p>
        </w:tc>
        <w:tc>
          <w:tcPr>
            <w:tcW w:w="38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178,494</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75"/>
              <w:spacing w:after="0" w:line="135" w:lineRule="exact"/>
              <w:rPr>
                <w:sz w:val="20"/>
                <w:szCs w:val="20"/>
                <w:color w:val="auto"/>
              </w:rPr>
            </w:pPr>
            <w:r>
              <w:rPr>
                <w:rFonts w:ascii="Arial" w:cs="Arial" w:eastAsia="Arial" w:hAnsi="Arial"/>
                <w:sz w:val="13"/>
                <w:szCs w:val="13"/>
                <w:color w:val="auto"/>
              </w:rPr>
              <w:t>(6,233)</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Management and franchise fees</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5,851</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5,191</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660</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17,056</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15,685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1,371</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35"/>
        </w:trPr>
        <w:tc>
          <w:tcPr>
            <w:tcW w:w="2220" w:type="dxa"/>
            <w:vAlign w:val="bottom"/>
          </w:tcPr>
          <w:p>
            <w:pPr>
              <w:ind w:left="180"/>
              <w:spacing w:after="0" w:line="135" w:lineRule="exact"/>
              <w:rPr>
                <w:sz w:val="20"/>
                <w:szCs w:val="20"/>
                <w:color w:val="auto"/>
              </w:rPr>
            </w:pPr>
            <w:r>
              <w:rPr>
                <w:rFonts w:ascii="Arial" w:cs="Arial" w:eastAsia="Arial" w:hAnsi="Arial"/>
                <w:sz w:val="13"/>
                <w:szCs w:val="13"/>
                <w:color w:val="auto"/>
              </w:rPr>
              <w:t>Tenant reinsurance</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6,796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5,542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1,254</w:t>
            </w:r>
          </w:p>
        </w:tc>
        <w:tc>
          <w:tcPr>
            <w:tcW w:w="220" w:type="dxa"/>
            <w:vAlign w:val="bottom"/>
          </w:tcPr>
          <w:p>
            <w:pPr>
              <w:spacing w:after="0"/>
              <w:rPr>
                <w:sz w:val="11"/>
                <w:szCs w:val="11"/>
                <w:color w:val="auto"/>
              </w:rPr>
            </w:pPr>
          </w:p>
        </w:tc>
        <w:tc>
          <w:tcPr>
            <w:tcW w:w="10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22.6%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19,026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15,246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3,780</w:t>
            </w:r>
          </w:p>
        </w:tc>
        <w:tc>
          <w:tcPr>
            <w:tcW w:w="200" w:type="dxa"/>
            <w:vAlign w:val="bottom"/>
          </w:tcPr>
          <w:p>
            <w:pPr>
              <w:spacing w:after="0"/>
              <w:rPr>
                <w:sz w:val="11"/>
                <w:szCs w:val="11"/>
                <w:color w:val="auto"/>
              </w:rPr>
            </w:pPr>
          </w:p>
        </w:tc>
        <w:tc>
          <w:tcPr>
            <w:tcW w:w="10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bottom w:val="single" w:sz="8" w:color="CCEEFF"/>
            </w:tcBorders>
            <w:shd w:val="clear" w:color="auto" w:fill="CCEEFF"/>
          </w:tcPr>
          <w:p>
            <w:pPr>
              <w:ind w:left="360"/>
              <w:spacing w:after="0" w:line="143" w:lineRule="exact"/>
              <w:rPr>
                <w:sz w:val="20"/>
                <w:szCs w:val="20"/>
                <w:color w:val="auto"/>
              </w:rPr>
            </w:pPr>
            <w:r>
              <w:rPr>
                <w:rFonts w:ascii="Arial" w:cs="Arial" w:eastAsia="Arial" w:hAnsi="Arial"/>
                <w:sz w:val="13"/>
                <w:szCs w:val="13"/>
                <w:color w:val="auto"/>
              </w:rPr>
              <w:t>Total revenues</w:t>
            </w: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71,979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71,113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866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1.2</w:t>
            </w:r>
          </w:p>
        </w:tc>
        <w:tc>
          <w:tcPr>
            <w:tcW w:w="24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74"/>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208,343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209,425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(1,082</w:t>
            </w:r>
          </w:p>
        </w:tc>
        <w:tc>
          <w:tcPr>
            <w:tcW w:w="200" w:type="dxa"/>
            <w:vAlign w:val="bottom"/>
            <w:tcBorders>
              <w:top w:val="single" w:sz="8" w:color="CCEEFF"/>
              <w:bottom w:val="single" w:sz="8" w:color="CCEEFF"/>
            </w:tcBorders>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(0.5</w:t>
            </w:r>
          </w:p>
        </w:tc>
        <w:tc>
          <w:tcPr>
            <w:tcW w:w="20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75"/>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Rental — </w:t>
      </w:r>
      <w:r>
        <w:rPr>
          <w:rFonts w:ascii="Arial" w:cs="Arial" w:eastAsia="Arial" w:hAnsi="Arial"/>
          <w:sz w:val="16"/>
          <w:szCs w:val="16"/>
          <w:color w:val="auto"/>
        </w:rPr>
        <w:t>The decreases in property rental revenues for the three and nine months ended September 30, 2010 consist primarily of decreases of</w:t>
      </w:r>
    </w:p>
    <w:p>
      <w:pPr>
        <w:spacing w:after="0" w:line="5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$4,162 and $11,584, respectively associated with the sale of 19 properties to an unconsolidated joint venture with Harrison Street on January 21, 2010. There were additional decreases in revenues of $1,064 and $1,764, respectively, relating to the deconsolidation of five properties as a result of our adoption of amended accounting guidance in ASC 810 effective January 1, 2010. These decreases were offset by increases in revenues of $1,674 and $4,181, respectively relating to increases in occupancy at our lease-up properties and $679 and $1,128, respectively, relating to acquisitions completed during 2009 and 2010. Rental revenue at our stabilized properties increased by $1,825 and $1,806, respectively, during the three and nine months ended September 30, 2010 as a result of increases in occupancy and rental rates to new and existing customers during the quarter.</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 xml:space="preserve">Management and Franchise Fees — </w:t>
      </w:r>
      <w:r>
        <w:rPr>
          <w:rFonts w:ascii="Arial" w:cs="Arial" w:eastAsia="Arial" w:hAnsi="Arial"/>
          <w:sz w:val="17"/>
          <w:szCs w:val="17"/>
          <w:color w:val="auto"/>
        </w:rPr>
        <w:t>Our taxable REIT subsidiary, Extra Space Management, Inc. manages properties owned by our joint ventures,</w:t>
      </w:r>
      <w:r>
        <w:rPr>
          <w:rFonts w:ascii="Arial" w:cs="Arial" w:eastAsia="Arial" w:hAnsi="Arial"/>
          <w:sz w:val="17"/>
          <w:szCs w:val="17"/>
          <w:b w:val="1"/>
          <w:bCs w:val="1"/>
          <w:color w:val="auto"/>
        </w:rPr>
        <w:t xml:space="preserve"> </w:t>
      </w:r>
      <w:r>
        <w:rPr>
          <w:rFonts w:ascii="Arial" w:cs="Arial" w:eastAsia="Arial" w:hAnsi="Arial"/>
          <w:sz w:val="17"/>
          <w:szCs w:val="17"/>
          <w:color w:val="auto"/>
        </w:rPr>
        <w:t>franchisees and third parties. Management and franchise fees generally represent 6% of revenues generated from properties owned by third parties, franchisees, and unconsolidated joint ventures. The increase in management and franchise fees is related to the additional fees earned from the joint venture with Harrison Street and to the increase in third-party properties managed by us compared to the same period in the prior year. We managed 157 third-party properties as of September 30, 2010 compared to 114 third-party properties as of September 30, 2009.</w:t>
      </w:r>
    </w:p>
    <w:p>
      <w:pPr>
        <w:spacing w:after="0" w:line="168"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 in tenant reinsurance revenues is due to the increase of overall customer participation to approximately 59% at</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2010 compared to approximately 55% at September 30,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4"/>
          </w:tcPr>
          <w:p>
            <w:pPr>
              <w:jc w:val="right"/>
              <w:ind w:right="237"/>
              <w:spacing w:after="0"/>
              <w:rPr>
                <w:sz w:val="20"/>
                <w:szCs w:val="20"/>
                <w:color w:val="auto"/>
              </w:rPr>
            </w:pPr>
            <w:r>
              <w:rPr>
                <w:rFonts w:ascii="Arial" w:cs="Arial" w:eastAsia="Arial" w:hAnsi="Arial"/>
                <w:sz w:val="13"/>
                <w:szCs w:val="13"/>
                <w:b w:val="1"/>
                <w:bCs w:val="1"/>
                <w:color w:val="auto"/>
                <w:w w:val="99"/>
              </w:rPr>
              <w:t>Three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right"/>
              <w:ind w:right="277"/>
              <w:spacing w:after="0"/>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88"/>
              </w:rPr>
              <w:t>$ Change</w:t>
            </w: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88"/>
              </w:rPr>
              <w:t>$ Change</w:t>
            </w: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Expenses:</w:t>
            </w:r>
          </w:p>
        </w:tc>
        <w:tc>
          <w:tcPr>
            <w:tcW w:w="5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line="135" w:lineRule="exact"/>
              <w:rPr>
                <w:sz w:val="20"/>
                <w:szCs w:val="20"/>
                <w:color w:val="auto"/>
              </w:rPr>
            </w:pPr>
            <w:r>
              <w:rPr>
                <w:rFonts w:ascii="Arial" w:cs="Arial" w:eastAsia="Arial" w:hAnsi="Arial"/>
                <w:sz w:val="13"/>
                <w:szCs w:val="13"/>
                <w:color w:val="auto"/>
              </w:rPr>
              <w:t>Property operations</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21,334</w:t>
            </w:r>
          </w:p>
        </w:tc>
        <w:tc>
          <w:tcPr>
            <w:tcW w:w="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23,022</w:t>
            </w:r>
          </w:p>
        </w:tc>
        <w:tc>
          <w:tcPr>
            <w:tcW w:w="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(1,688)</w:t>
            </w:r>
          </w:p>
        </w:tc>
        <w:tc>
          <w:tcPr>
            <w:tcW w:w="12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(7.3)%   $</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64,231</w:t>
            </w:r>
          </w:p>
        </w:tc>
        <w:tc>
          <w:tcPr>
            <w:tcW w:w="3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67,456</w:t>
            </w:r>
          </w:p>
        </w:tc>
        <w:tc>
          <w:tcPr>
            <w:tcW w:w="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(3,225)</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Tenant reinsurance</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1,736</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w:t>
            </w: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37.3%</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4,416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3,996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420</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0"/>
        </w:trPr>
        <w:tc>
          <w:tcPr>
            <w:tcW w:w="2200" w:type="dxa"/>
            <w:vAlign w:val="bottom"/>
          </w:tcPr>
          <w:p>
            <w:pPr>
              <w:ind w:left="180"/>
              <w:spacing w:after="0"/>
              <w:rPr>
                <w:sz w:val="20"/>
                <w:szCs w:val="20"/>
                <w:color w:val="auto"/>
              </w:rPr>
            </w:pPr>
            <w:r>
              <w:rPr>
                <w:rFonts w:ascii="Arial" w:cs="Arial" w:eastAsia="Arial" w:hAnsi="Arial"/>
                <w:sz w:val="13"/>
                <w:szCs w:val="13"/>
                <w:color w:val="auto"/>
              </w:rPr>
              <w:t>Unrecovered development and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189</w:t>
            </w:r>
          </w:p>
        </w:tc>
        <w:tc>
          <w:tcPr>
            <w:tcW w:w="2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859.1%</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18,905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(18,482)</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(97.8)%</w:t>
            </w:r>
          </w:p>
        </w:tc>
        <w:tc>
          <w:tcPr>
            <w:tcW w:w="0" w:type="dxa"/>
            <w:vAlign w:val="bottom"/>
          </w:tcPr>
          <w:p>
            <w:pPr>
              <w:spacing w:after="0"/>
              <w:rPr>
                <w:sz w:val="1"/>
                <w:szCs w:val="1"/>
                <w:color w:val="auto"/>
              </w:rPr>
            </w:pPr>
          </w:p>
        </w:tc>
      </w:tr>
    </w:tbl>
    <w:p>
      <w:pPr>
        <w:sectPr>
          <w:pgSz w:w="11900" w:h="16896" w:orient="portrait"/>
          <w:cols w:equalWidth="0" w:num="1">
            <w:col w:w="11420"/>
          </w:cols>
          <w:pgMar w:left="240" w:top="130" w:right="239" w:bottom="0" w:gutter="0" w:footer="0" w:header="0"/>
        </w:sectPr>
      </w:pPr>
    </w:p>
    <w:bookmarkStart w:id="24" w:name="page25"/>
    <w:bookmarkEnd w:id="2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200" w:type="dxa"/>
            <w:vAlign w:val="bottom"/>
          </w:tcPr>
          <w:p>
            <w:pPr>
              <w:ind w:left="360"/>
              <w:spacing w:after="0"/>
              <w:rPr>
                <w:sz w:val="20"/>
                <w:szCs w:val="20"/>
                <w:color w:val="auto"/>
              </w:rPr>
            </w:pPr>
            <w:r>
              <w:rPr>
                <w:rFonts w:ascii="Arial" w:cs="Arial" w:eastAsia="Arial" w:hAnsi="Arial"/>
                <w:sz w:val="13"/>
                <w:szCs w:val="13"/>
                <w:color w:val="auto"/>
              </w:rPr>
              <w:t>acquisition costs</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35"/>
        </w:trPr>
        <w:tc>
          <w:tcPr>
            <w:tcW w:w="22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Loss on sublease</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62"/>
              <w:spacing w:after="0" w:line="135" w:lineRule="exact"/>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w:t>
            </w:r>
          </w:p>
        </w:tc>
      </w:tr>
      <w:tr>
        <w:trPr>
          <w:trHeight w:val="135"/>
        </w:trPr>
        <w:tc>
          <w:tcPr>
            <w:tcW w:w="2200" w:type="dxa"/>
            <w:vAlign w:val="bottom"/>
          </w:tcPr>
          <w:p>
            <w:pPr>
              <w:ind w:left="180"/>
              <w:spacing w:after="0" w:line="135" w:lineRule="exact"/>
              <w:rPr>
                <w:sz w:val="20"/>
                <w:szCs w:val="20"/>
                <w:color w:val="auto"/>
              </w:rPr>
            </w:pPr>
            <w:r>
              <w:rPr>
                <w:rFonts w:ascii="Arial" w:cs="Arial" w:eastAsia="Arial" w:hAnsi="Arial"/>
                <w:sz w:val="13"/>
                <w:szCs w:val="13"/>
                <w:color w:val="auto"/>
              </w:rPr>
              <w:t>Severance costs</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82"/>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1,400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75"/>
              <w:spacing w:after="0" w:line="135" w:lineRule="exact"/>
              <w:rPr>
                <w:sz w:val="20"/>
                <w:szCs w:val="20"/>
                <w:color w:val="auto"/>
              </w:rPr>
            </w:pPr>
            <w:r>
              <w:rPr>
                <w:rFonts w:ascii="Arial" w:cs="Arial" w:eastAsia="Arial" w:hAnsi="Arial"/>
                <w:sz w:val="13"/>
                <w:szCs w:val="13"/>
                <w:color w:val="auto"/>
              </w:rPr>
              <w:t>(1,400)</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w:t>
            </w:r>
          </w:p>
        </w:tc>
      </w:tr>
      <w:tr>
        <w:trPr>
          <w:trHeight w:val="135"/>
        </w:trPr>
        <w:tc>
          <w:tcPr>
            <w:tcW w:w="22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General and administrative</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10,618</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9,791</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827</w:t>
            </w: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62"/>
              <w:spacing w:after="0" w:line="135" w:lineRule="exact"/>
              <w:rPr>
                <w:sz w:val="20"/>
                <w:szCs w:val="20"/>
                <w:color w:val="auto"/>
              </w:rPr>
            </w:pPr>
            <w:r>
              <w:rPr>
                <w:rFonts w:ascii="Arial" w:cs="Arial" w:eastAsia="Arial" w:hAnsi="Arial"/>
                <w:sz w:val="13"/>
                <w:szCs w:val="13"/>
                <w:color w:val="auto"/>
              </w:rPr>
              <w:t>8.4%</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32,903</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30,994</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1,909</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6.2%</w:t>
            </w:r>
          </w:p>
        </w:tc>
      </w:tr>
      <w:tr>
        <w:trPr>
          <w:trHeight w:val="135"/>
        </w:trPr>
        <w:tc>
          <w:tcPr>
            <w:tcW w:w="2200" w:type="dxa"/>
            <w:vAlign w:val="bottom"/>
          </w:tcPr>
          <w:p>
            <w:pPr>
              <w:ind w:left="180"/>
              <w:spacing w:after="0" w:line="135" w:lineRule="exact"/>
              <w:rPr>
                <w:sz w:val="20"/>
                <w:szCs w:val="20"/>
                <w:color w:val="auto"/>
              </w:rPr>
            </w:pPr>
            <w:r>
              <w:rPr>
                <w:rFonts w:ascii="Arial" w:cs="Arial" w:eastAsia="Arial" w:hAnsi="Arial"/>
                <w:sz w:val="13"/>
                <w:szCs w:val="13"/>
                <w:color w:val="auto"/>
              </w:rPr>
              <w:t>Depreciation and amortization</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12,519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13,797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(1,278)</w:t>
            </w:r>
          </w:p>
        </w:tc>
        <w:tc>
          <w:tcPr>
            <w:tcW w:w="110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(9.3)%</w:t>
            </w: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37,140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39,160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75"/>
              <w:spacing w:after="0" w:line="135" w:lineRule="exact"/>
              <w:rPr>
                <w:sz w:val="20"/>
                <w:szCs w:val="20"/>
                <w:color w:val="auto"/>
              </w:rPr>
            </w:pPr>
            <w:r>
              <w:rPr>
                <w:rFonts w:ascii="Arial" w:cs="Arial" w:eastAsia="Arial" w:hAnsi="Arial"/>
                <w:sz w:val="13"/>
                <w:szCs w:val="13"/>
                <w:color w:val="auto"/>
              </w:rPr>
              <w:t>(2,020)</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w:t>
            </w:r>
          </w:p>
        </w:tc>
      </w:tr>
      <w:tr>
        <w:trPr>
          <w:trHeight w:val="142"/>
        </w:trPr>
        <w:tc>
          <w:tcPr>
            <w:tcW w:w="2200" w:type="dxa"/>
            <w:vAlign w:val="bottom"/>
            <w:tcBorders>
              <w:top w:val="single" w:sz="8" w:color="CCEEFF"/>
              <w:bottom w:val="single" w:sz="8" w:color="CCEEFF"/>
            </w:tcBorders>
            <w:shd w:val="clear" w:color="auto" w:fill="CCEEFF"/>
          </w:tcPr>
          <w:p>
            <w:pPr>
              <w:ind w:left="360"/>
              <w:spacing w:after="0" w:line="143" w:lineRule="exact"/>
              <w:rPr>
                <w:sz w:val="20"/>
                <w:szCs w:val="20"/>
                <w:color w:val="auto"/>
              </w:rPr>
            </w:pPr>
            <w:r>
              <w:rPr>
                <w:rFonts w:ascii="Arial" w:cs="Arial" w:eastAsia="Arial" w:hAnsi="Arial"/>
                <w:sz w:val="13"/>
                <w:szCs w:val="13"/>
                <w:color w:val="auto"/>
              </w:rPr>
              <w:t>Total expenses</w:t>
            </w: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48,418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47,896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522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1.1</w:t>
            </w:r>
          </w:p>
        </w:tc>
        <w:tc>
          <w:tcPr>
            <w:tcW w:w="320" w:type="dxa"/>
            <w:vAlign w:val="bottom"/>
            <w:tcBorders>
              <w:top w:val="single" w:sz="8" w:color="CCEEFF"/>
              <w:bottom w:val="single" w:sz="8" w:color="CCEEFF"/>
            </w:tcBorders>
            <w:shd w:val="clear" w:color="auto" w:fill="CCEEFF"/>
          </w:tcPr>
          <w:p>
            <w:pPr>
              <w:jc w:val="right"/>
              <w:ind w:right="162"/>
              <w:spacing w:after="0"/>
              <w:rPr>
                <w:sz w:val="20"/>
                <w:szCs w:val="20"/>
                <w:color w:val="auto"/>
              </w:rPr>
            </w:pPr>
            <w:r>
              <w:rPr>
                <w:rFonts w:ascii="Arial" w:cs="Arial" w:eastAsia="Arial" w:hAnsi="Arial"/>
                <w:sz w:val="12"/>
                <w:szCs w:val="12"/>
                <w:color w:val="auto"/>
                <w:w w:val="74"/>
              </w:rPr>
              <w:t>%</w:t>
            </w:r>
          </w:p>
        </w:tc>
        <w:tc>
          <w:tcPr>
            <w:tcW w:w="2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141,113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161,911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(20,798</w:t>
            </w:r>
          </w:p>
        </w:tc>
        <w:tc>
          <w:tcPr>
            <w:tcW w:w="200" w:type="dxa"/>
            <w:vAlign w:val="bottom"/>
            <w:tcBorders>
              <w:top w:val="single" w:sz="8" w:color="CCEEFF"/>
              <w:bottom w:val="single" w:sz="8" w:color="CCEEFF"/>
            </w:tcBorders>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(12.8</w:t>
            </w:r>
          </w:p>
        </w:tc>
        <w:tc>
          <w:tcPr>
            <w:tcW w:w="20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75"/>
              </w:rPr>
              <w:t>)%</w:t>
            </w:r>
          </w:p>
        </w:tc>
      </w:tr>
      <w:tr>
        <w:trPr>
          <w:trHeight w:val="20"/>
        </w:trPr>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 xml:space="preserve">Property Operations — </w:t>
      </w:r>
      <w:r>
        <w:rPr>
          <w:rFonts w:ascii="Arial" w:cs="Arial" w:eastAsia="Arial" w:hAnsi="Arial"/>
          <w:sz w:val="17"/>
          <w:szCs w:val="17"/>
          <w:color w:val="auto"/>
        </w:rPr>
        <w:t>The decreases in property operations expense during the three and nine months ended September 30, 2010 consist primarily of</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decreases of $1,526 and $4,165, respectively, related to the sale of 19 properties to an unconsolidated joint venture with Harrison Street on January 21, 2010 and $559 and $1,047, respectively, related to the deconsolidation of five properties as a result of our adoption of amended accounting guidance in ASC 810 effective January 1, 2010. Property operating expenses at our stabilized properties decreased by $786 and $1,019, respectively, during the three and nine months ended September 30, 2010 primarily as a result of decreases in office expenses, property taxes and insurance. These decreases were offset by increases in expenses of $1,183 and $3,006 for the three and nine months ended September 30, 2010, respectively, primarily related to the addition of properties through acquisition and development.</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Tenant reinsurance expense represents the costs that are incurred to provide tenant reinsurance, and has increased when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year as a result of overall customer participation increasing to approximately 59% at September 30, 2010 compared to approximately 55% at September 30, 2009.</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Unrecovered Development and Acquisition Costs — </w:t>
      </w:r>
      <w:r>
        <w:rPr>
          <w:rFonts w:ascii="Arial" w:cs="Arial" w:eastAsia="Arial" w:hAnsi="Arial"/>
          <w:sz w:val="16"/>
          <w:szCs w:val="16"/>
          <w:color w:val="auto"/>
        </w:rPr>
        <w:t>Unrecovered development and acquisition costs for the three and nine months ended September 30,</w:t>
      </w:r>
      <w:r>
        <w:rPr>
          <w:rFonts w:ascii="Arial" w:cs="Arial" w:eastAsia="Arial" w:hAnsi="Arial"/>
          <w:sz w:val="16"/>
          <w:szCs w:val="16"/>
          <w:b w:val="1"/>
          <w:bCs w:val="1"/>
          <w:color w:val="auto"/>
        </w:rPr>
        <w:t xml:space="preserve"> </w:t>
      </w:r>
      <w:r>
        <w:rPr>
          <w:rFonts w:ascii="Arial" w:cs="Arial" w:eastAsia="Arial" w:hAnsi="Arial"/>
          <w:sz w:val="16"/>
          <w:szCs w:val="16"/>
          <w:color w:val="auto"/>
        </w:rPr>
        <w:t>2010 and 2009 relate to unsuccessful development activities and costs associated with the acquisition of properties. The costs for the nine months ended September 30, 2009 include costs associated with the wind-down of our development program. On June 2, 2009, we announced that we had begun a wind-down of our development program, and as a result of this decision, we recorded $18,883 of impairment charges in order to write down the carrying value of undeveloped land, development projects that will be completed, and investments in development projects to their estimated fair values less costs to sell.</w:t>
      </w:r>
    </w:p>
    <w:p>
      <w:pPr>
        <w:spacing w:after="0" w:line="15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Loss on Sublease —</w:t>
      </w:r>
      <w:r>
        <w:rPr>
          <w:rFonts w:ascii="Arial" w:cs="Arial" w:eastAsia="Arial" w:hAnsi="Arial"/>
          <w:sz w:val="18"/>
          <w:szCs w:val="18"/>
          <w:color w:val="auto"/>
        </w:rPr>
        <w:t>The costs incurred during the three and nine months ended September 30, 2010 represent a $2,000 expense relating to the bankruptcy of</w:t>
      </w:r>
      <w:r>
        <w:rPr>
          <w:rFonts w:ascii="Arial" w:cs="Arial" w:eastAsia="Arial" w:hAnsi="Arial"/>
          <w:sz w:val="18"/>
          <w:szCs w:val="18"/>
          <w:b w:val="1"/>
          <w:bCs w:val="1"/>
          <w:color w:val="auto"/>
        </w:rPr>
        <w:t xml:space="preserve"> </w:t>
      </w:r>
      <w:r>
        <w:rPr>
          <w:rFonts w:ascii="Arial" w:cs="Arial" w:eastAsia="Arial" w:hAnsi="Arial"/>
          <w:sz w:val="18"/>
          <w:szCs w:val="18"/>
          <w:color w:val="auto"/>
        </w:rPr>
        <w:t>a tenant subleasing office space from us in Memphis, TN. The Memphis, TN office lease is a liability assumed as part the Storage USA acquisition in July, 2005.</w:t>
      </w:r>
    </w:p>
    <w:p>
      <w:pPr>
        <w:spacing w:after="0" w:line="1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Severance Costs — </w:t>
      </w:r>
      <w:r>
        <w:rPr>
          <w:rFonts w:ascii="Arial" w:cs="Arial" w:eastAsia="Arial" w:hAnsi="Arial"/>
          <w:sz w:val="18"/>
          <w:szCs w:val="18"/>
          <w:color w:val="auto"/>
        </w:rPr>
        <w:t>On June 2, 2009, we announced that we had begun a wind-down of our development program. As a result of this decision, we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costs of $1,400. There were no severance costs for the three and nine months ended September 30, 2010.</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General and Administrative — </w:t>
      </w:r>
      <w:r>
        <w:rPr>
          <w:rFonts w:ascii="Arial" w:cs="Arial" w:eastAsia="Arial" w:hAnsi="Arial"/>
          <w:sz w:val="18"/>
          <w:szCs w:val="18"/>
          <w:color w:val="auto"/>
        </w:rPr>
        <w:t>The increase in general and administrative expenses for the three and nine months ended September 30, 2010 was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overall cost associated with the management of additional third-party properties. We managed 157 third-party properties as of September 30, 2010 compared to 114 third-party properties as of September 30, 2009.</w:t>
      </w:r>
    </w:p>
    <w:p>
      <w:pPr>
        <w:spacing w:after="0" w:line="17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Depreciation and Amortization — </w:t>
      </w:r>
      <w:r>
        <w:rPr>
          <w:rFonts w:ascii="Arial" w:cs="Arial" w:eastAsia="Arial" w:hAnsi="Arial"/>
          <w:sz w:val="18"/>
          <w:szCs w:val="18"/>
          <w:color w:val="auto"/>
        </w:rPr>
        <w:t>Depreciation and amortization expense decreased primarily as a result of the sale of 19 properties to an unconsolidated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with Harrison Street on January 21, 2010. This decrease was partially offset by the additional depreciation on new properties added through acquisition and development.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6"/>
          </w:tcPr>
          <w:p>
            <w:pPr>
              <w:jc w:val="right"/>
              <w:ind w:right="398"/>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6"/>
          </w:tcPr>
          <w:p>
            <w:pPr>
              <w:jc w:val="right"/>
              <w:ind w:right="438"/>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6"/>
          </w:tcPr>
          <w:p>
            <w:pPr>
              <w:jc w:val="right"/>
              <w:ind w:right="598"/>
              <w:spacing w:after="0"/>
              <w:rPr>
                <w:sz w:val="20"/>
                <w:szCs w:val="20"/>
                <w:color w:val="auto"/>
              </w:rPr>
            </w:pPr>
            <w:r>
              <w:rPr>
                <w:rFonts w:ascii="Arial" w:cs="Arial" w:eastAsia="Arial" w:hAnsi="Arial"/>
                <w:sz w:val="13"/>
                <w:szCs w:val="13"/>
                <w:b w:val="1"/>
                <w:bCs w:val="1"/>
                <w:color w:val="auto"/>
              </w:rPr>
              <w:t>September 30,</w:t>
            </w: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83"/>
              </w:rPr>
              <w:t>Change</w:t>
            </w:r>
          </w:p>
        </w:tc>
        <w:tc>
          <w:tcPr>
            <w:tcW w:w="1000" w:type="dxa"/>
            <w:vAlign w:val="bottom"/>
            <w:gridSpan w:val="2"/>
            <w:vMerge w:val="restart"/>
          </w:tcPr>
          <w:p>
            <w:pPr>
              <w:jc w:val="right"/>
              <w:ind w:right="237"/>
              <w:spacing w:after="0"/>
              <w:rPr>
                <w:sz w:val="20"/>
                <w:szCs w:val="20"/>
                <w:color w:val="auto"/>
              </w:rPr>
            </w:pPr>
            <w:r>
              <w:rPr>
                <w:rFonts w:ascii="Arial" w:cs="Arial" w:eastAsia="Arial" w:hAnsi="Arial"/>
                <w:sz w:val="13"/>
                <w:szCs w:val="13"/>
                <w:b w:val="1"/>
                <w:bCs w:val="1"/>
                <w:color w:val="auto"/>
              </w:rPr>
              <w:t>% Change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6"/>
          </w:tcPr>
          <w:p>
            <w:pPr>
              <w:jc w:val="right"/>
              <w:ind w:right="598"/>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355"/>
              <w:spacing w:after="0"/>
              <w:rPr>
                <w:sz w:val="20"/>
                <w:szCs w:val="20"/>
                <w:color w:val="auto"/>
              </w:rPr>
            </w:pPr>
            <w:r>
              <w:rPr>
                <w:rFonts w:ascii="Arial" w:cs="Arial" w:eastAsia="Arial" w:hAnsi="Arial"/>
                <w:sz w:val="13"/>
                <w:szCs w:val="13"/>
                <w:b w:val="1"/>
                <w:bCs w:val="1"/>
                <w:color w:val="auto"/>
                <w:w w:val="92"/>
              </w:rPr>
              <w:t>$ Change</w:t>
            </w:r>
          </w:p>
        </w:tc>
        <w:tc>
          <w:tcPr>
            <w:tcW w:w="1080" w:type="dxa"/>
            <w:vAlign w:val="bottom"/>
            <w:gridSpan w:val="2"/>
            <w:vMerge w:val="restart"/>
          </w:tcPr>
          <w:p>
            <w:pPr>
              <w:jc w:val="right"/>
              <w:ind w:right="322"/>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2010</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Other revenue and expenses:</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Interest expense</w:t>
            </w:r>
          </w:p>
        </w:tc>
        <w:tc>
          <w:tcPr>
            <w:tcW w:w="28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(15,702)</w:t>
            </w:r>
          </w:p>
        </w:tc>
        <w:tc>
          <w:tcPr>
            <w:tcW w:w="2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(17,697)</w:t>
            </w:r>
          </w:p>
        </w:tc>
        <w:tc>
          <w:tcPr>
            <w:tcW w:w="320" w:type="dxa"/>
            <w:vAlign w:val="bottom"/>
            <w:gridSpan w:val="2"/>
          </w:tcPr>
          <w:p>
            <w:pPr>
              <w:jc w:val="right"/>
              <w:ind w:right="113"/>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1,995</w:t>
            </w:r>
          </w:p>
        </w:tc>
        <w:tc>
          <w:tcPr>
            <w:tcW w:w="20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w:t>
            </w:r>
          </w:p>
        </w:tc>
        <w:tc>
          <w:tcPr>
            <w:tcW w:w="20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95"/>
              <w:spacing w:after="0" w:line="135" w:lineRule="exact"/>
              <w:rPr>
                <w:sz w:val="20"/>
                <w:szCs w:val="20"/>
                <w:color w:val="auto"/>
              </w:rPr>
            </w:pPr>
            <w:r>
              <w:rPr>
                <w:rFonts w:ascii="Arial" w:cs="Arial" w:eastAsia="Arial" w:hAnsi="Arial"/>
                <w:sz w:val="13"/>
                <w:szCs w:val="13"/>
                <w:color w:val="auto"/>
              </w:rPr>
              <w:t>(49,209)</w:t>
            </w:r>
          </w:p>
        </w:tc>
        <w:tc>
          <w:tcPr>
            <w:tcW w:w="26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(49,308)</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99</w:t>
            </w:r>
          </w:p>
        </w:tc>
        <w:tc>
          <w:tcPr>
            <w:tcW w:w="200" w:type="dxa"/>
            <w:vAlign w:val="bottom"/>
          </w:tcPr>
          <w:p>
            <w:pPr>
              <w:spacing w:after="0"/>
              <w:rPr>
                <w:sz w:val="11"/>
                <w:szCs w:val="11"/>
                <w:color w:val="auto"/>
              </w:rPr>
            </w:pPr>
          </w:p>
        </w:tc>
        <w:tc>
          <w:tcPr>
            <w:tcW w:w="10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21"/>
        </w:trPr>
        <w:tc>
          <w:tcPr>
            <w:tcW w:w="2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Non-cash interest expense related to</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amortization of discount on</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exchangeable senior notes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(416)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(1,236)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(1,834)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Interest income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(67)</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75"/>
              <w:spacing w:after="0" w:line="135" w:lineRule="exact"/>
              <w:rPr>
                <w:sz w:val="20"/>
                <w:szCs w:val="20"/>
                <w:color w:val="auto"/>
              </w:rPr>
            </w:pPr>
            <w:r>
              <w:rPr>
                <w:rFonts w:ascii="Arial" w:cs="Arial" w:eastAsia="Arial" w:hAnsi="Arial"/>
                <w:sz w:val="13"/>
                <w:szCs w:val="13"/>
                <w:color w:val="auto"/>
              </w:rPr>
              <w:t>(384)</w:t>
            </w:r>
          </w:p>
        </w:tc>
        <w:tc>
          <w:tcPr>
            <w:tcW w:w="10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21"/>
        </w:trPr>
        <w:tc>
          <w:tcPr>
            <w:tcW w:w="23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3"/>
              </w:rPr>
              <w:t>Interest income on note receivable from</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w w:val="93"/>
              </w:rPr>
              <w:t>Preferred Operating Partnership unit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holder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340" w:type="dxa"/>
            <w:vAlign w:val="bottom"/>
          </w:tcPr>
          <w:p>
            <w:pPr>
              <w:ind w:left="180"/>
              <w:spacing w:after="0" w:line="121" w:lineRule="exact"/>
              <w:rPr>
                <w:sz w:val="20"/>
                <w:szCs w:val="20"/>
                <w:color w:val="auto"/>
              </w:rPr>
            </w:pPr>
            <w:r>
              <w:rPr>
                <w:rFonts w:ascii="Arial" w:cs="Arial" w:eastAsia="Arial" w:hAnsi="Arial"/>
                <w:sz w:val="13"/>
                <w:szCs w:val="13"/>
                <w:color w:val="auto"/>
              </w:rPr>
              <w:t>Gain on repurchase of exchangeable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360"/>
              <w:spacing w:after="0"/>
              <w:rPr>
                <w:sz w:val="20"/>
                <w:szCs w:val="20"/>
                <w:color w:val="auto"/>
              </w:rPr>
            </w:pPr>
            <w:r>
              <w:rPr>
                <w:rFonts w:ascii="Arial" w:cs="Arial" w:eastAsia="Arial" w:hAnsi="Arial"/>
                <w:sz w:val="13"/>
                <w:szCs w:val="13"/>
                <w:color w:val="auto"/>
              </w:rPr>
              <w:t>senior notes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3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27,576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75"/>
              <w:spacing w:after="0"/>
              <w:rPr>
                <w:sz w:val="20"/>
                <w:szCs w:val="20"/>
                <w:color w:val="auto"/>
              </w:rPr>
            </w:pPr>
            <w:r>
              <w:rPr>
                <w:rFonts w:ascii="Arial" w:cs="Arial" w:eastAsia="Arial" w:hAnsi="Arial"/>
                <w:sz w:val="13"/>
                <w:szCs w:val="13"/>
                <w:color w:val="auto"/>
              </w:rPr>
              <w:t>(27,576)</w:t>
            </w:r>
          </w:p>
        </w:tc>
        <w:tc>
          <w:tcPr>
            <w:tcW w:w="1080" w:type="dxa"/>
            <w:vAlign w:val="bottom"/>
            <w:gridSpan w:val="2"/>
          </w:tcPr>
          <w:p>
            <w:pPr>
              <w:jc w:val="right"/>
              <w:ind w:right="42"/>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0"/>
              </w:rPr>
              <w:t>Equity in earnings of real estate ventures</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w:t>
            </w:r>
          </w:p>
        </w:tc>
        <w:tc>
          <w:tcPr>
            <w:tcW w:w="10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5,288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75"/>
              <w:spacing w:after="0" w:line="135" w:lineRule="exact"/>
              <w:rPr>
                <w:sz w:val="20"/>
                <w:szCs w:val="20"/>
                <w:color w:val="auto"/>
              </w:rPr>
            </w:pPr>
            <w:r>
              <w:rPr>
                <w:rFonts w:ascii="Arial" w:cs="Arial" w:eastAsia="Arial" w:hAnsi="Arial"/>
                <w:sz w:val="13"/>
                <w:szCs w:val="13"/>
                <w:color w:val="auto"/>
              </w:rPr>
              <w:t>(492)</w:t>
            </w:r>
          </w:p>
        </w:tc>
        <w:tc>
          <w:tcPr>
            <w:tcW w:w="108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5"/>
        </w:trPr>
        <w:tc>
          <w:tcPr>
            <w:tcW w:w="2340" w:type="dxa"/>
            <w:vAlign w:val="bottom"/>
          </w:tcPr>
          <w:p>
            <w:pPr>
              <w:ind w:left="180"/>
              <w:spacing w:after="0" w:line="135" w:lineRule="exact"/>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(1,088)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(726)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(362)</w:t>
            </w:r>
          </w:p>
        </w:tc>
        <w:tc>
          <w:tcPr>
            <w:tcW w:w="100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49.9%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95"/>
              <w:spacing w:after="0" w:line="135" w:lineRule="exact"/>
              <w:rPr>
                <w:sz w:val="20"/>
                <w:szCs w:val="20"/>
                <w:color w:val="auto"/>
              </w:rPr>
            </w:pPr>
            <w:r>
              <w:rPr>
                <w:rFonts w:ascii="Arial" w:cs="Arial" w:eastAsia="Arial" w:hAnsi="Arial"/>
                <w:sz w:val="13"/>
                <w:szCs w:val="13"/>
                <w:color w:val="auto"/>
              </w:rPr>
              <w:t>(3,347)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(2,317)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75"/>
              <w:spacing w:after="0" w:line="135" w:lineRule="exact"/>
              <w:rPr>
                <w:sz w:val="20"/>
                <w:szCs w:val="20"/>
                <w:color w:val="auto"/>
              </w:rPr>
            </w:pPr>
            <w:r>
              <w:rPr>
                <w:rFonts w:ascii="Arial" w:cs="Arial" w:eastAsia="Arial" w:hAnsi="Arial"/>
                <w:sz w:val="13"/>
                <w:szCs w:val="13"/>
                <w:color w:val="auto"/>
              </w:rPr>
              <w:t>(1,030)</w:t>
            </w:r>
          </w:p>
        </w:tc>
        <w:tc>
          <w:tcPr>
            <w:tcW w:w="10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ind w:left="360"/>
              <w:spacing w:after="0" w:line="143" w:lineRule="exact"/>
              <w:rPr>
                <w:sz w:val="20"/>
                <w:szCs w:val="20"/>
                <w:color w:val="auto"/>
              </w:rPr>
            </w:pPr>
            <w:r>
              <w:rPr>
                <w:rFonts w:ascii="Arial" w:cs="Arial" w:eastAsia="Arial" w:hAnsi="Arial"/>
                <w:sz w:val="13"/>
                <w:szCs w:val="13"/>
                <w:color w:val="auto"/>
              </w:rPr>
              <w:t>Total other revenue (expense)</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(14,079</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(15,643</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1,564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(10.0</w:t>
            </w:r>
          </w:p>
        </w:tc>
        <w:tc>
          <w:tcPr>
            <w:tcW w:w="180" w:type="dxa"/>
            <w:vAlign w:val="bottom"/>
            <w:tcBorders>
              <w:top w:val="single" w:sz="8" w:color="CCEEFF"/>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75"/>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(44,644</w:t>
            </w:r>
          </w:p>
        </w:tc>
        <w:tc>
          <w:tcPr>
            <w:tcW w:w="120" w:type="dxa"/>
            <w:vAlign w:val="bottom"/>
            <w:tcBorders>
              <w:top w:val="single" w:sz="8" w:color="CCEEFF"/>
              <w:bottom w:val="single" w:sz="8" w:color="CCEEFF"/>
            </w:tcBorders>
            <w:shd w:val="clear" w:color="auto" w:fill="CCEEFF"/>
          </w:tcPr>
          <w:p>
            <w:pPr>
              <w:jc w:val="right"/>
              <w:ind w:right="95"/>
              <w:spacing w:after="0"/>
              <w:rPr>
                <w:sz w:val="20"/>
                <w:szCs w:val="20"/>
                <w:color w:val="auto"/>
              </w:rPr>
            </w:pPr>
            <w:r>
              <w:rPr>
                <w:rFonts w:ascii="Arial" w:cs="Arial" w:eastAsia="Arial" w:hAnsi="Arial"/>
                <w:sz w:val="1"/>
                <w:szCs w:val="1"/>
                <w:color w:val="auto"/>
                <w:w w:val="4294967281"/>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(15,859</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(28,785</w:t>
            </w:r>
          </w:p>
        </w:tc>
        <w:tc>
          <w:tcPr>
            <w:tcW w:w="200" w:type="dxa"/>
            <w:vAlign w:val="bottom"/>
            <w:tcBorders>
              <w:top w:val="single" w:sz="8" w:color="CCEEFF"/>
              <w:bottom w:val="single" w:sz="8" w:color="CCEEFF"/>
            </w:tcBorders>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8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181.5</w:t>
            </w:r>
          </w:p>
        </w:tc>
        <w:tc>
          <w:tcPr>
            <w:tcW w:w="24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Interest Expense —</w:t>
      </w:r>
      <w:r>
        <w:rPr>
          <w:rFonts w:ascii="Arial" w:cs="Arial" w:eastAsia="Arial" w:hAnsi="Arial"/>
          <w:sz w:val="17"/>
          <w:szCs w:val="17"/>
          <w:color w:val="auto"/>
        </w:rPr>
        <w:t>The decrease in interest expense was primarily the result of decreases of $1,911 and $4,960, respectively, for the three and nine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2010, relating to the deconsolidation of the debt related to the 19 properties sold to an unconsolidated joint venture with Harrison Street on January 21, 2010 and the deconsolidation of five properties as a result of our adoption of amended accounting guidance in ASC 810 effective January 1, 2010. These decreases were partially offset as a result of higher interest rates on new loans obtained in 2010 and 2009.</w:t>
      </w:r>
    </w:p>
    <w:p>
      <w:pPr>
        <w:spacing w:after="0" w:line="165"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Non-cash Interest Expense Related to Amortization of Discount on Exchangeable Senior Notes — </w:t>
      </w:r>
      <w:r>
        <w:rPr>
          <w:rFonts w:ascii="Arial" w:cs="Arial" w:eastAsia="Arial" w:hAnsi="Arial"/>
          <w:sz w:val="17"/>
          <w:szCs w:val="17"/>
          <w:color w:val="auto"/>
        </w:rPr>
        <w:t>The decrease in non-cash interest expense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amortization of discount on exchangeable senior notes for the three and nine months ended September 30, 2010 was due to our repurchase of $122,000 in aggregate principal amount of our exchangeable senior notes during 2009. The discount associated with the repurchased notes was written off as a result of these repurchases, which decreased the ongoing amortization of the discount in 2010 when compared to 2009.</w:t>
      </w:r>
    </w:p>
    <w:p>
      <w:pPr>
        <w:spacing w:after="0" w:line="16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Interest Income — </w:t>
      </w:r>
      <w:r>
        <w:rPr>
          <w:rFonts w:ascii="Arial" w:cs="Arial" w:eastAsia="Arial" w:hAnsi="Arial"/>
          <w:sz w:val="18"/>
          <w:szCs w:val="18"/>
          <w:color w:val="auto"/>
        </w:rPr>
        <w:t>The decrease in interest income is primarily due to a decrease in the average interest rate on our invested cash when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the prior year, along with a decrease in the average cash balance.</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Interest Income on Note Receivable from Preferred Operating Partnership Unit Holder — </w:t>
      </w:r>
      <w:r>
        <w:rPr>
          <w:rFonts w:ascii="Arial" w:cs="Arial" w:eastAsia="Arial" w:hAnsi="Arial"/>
          <w:sz w:val="18"/>
          <w:szCs w:val="18"/>
          <w:color w:val="auto"/>
        </w:rPr>
        <w:t>Represents interest on a $100,000 loan to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OP units.</w:t>
      </w:r>
    </w:p>
    <w:p>
      <w:pPr>
        <w:sectPr>
          <w:pgSz w:w="11900" w:h="16838" w:orient="portrait"/>
          <w:cols w:equalWidth="0" w:num="1">
            <w:col w:w="11360"/>
          </w:cols>
          <w:pgMar w:left="240" w:top="125" w:right="299" w:bottom="0" w:gutter="0" w:footer="0" w:header="0"/>
        </w:sectPr>
      </w:pP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60"/>
          </w:cols>
          <w:pgMar w:left="240" w:top="125" w:right="299" w:bottom="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Gain on Repurchase of Exchangeable Senior Notes — </w:t>
      </w:r>
      <w:r>
        <w:rPr>
          <w:rFonts w:ascii="Arial" w:cs="Arial" w:eastAsia="Arial" w:hAnsi="Arial"/>
          <w:sz w:val="18"/>
          <w:szCs w:val="18"/>
          <w:color w:val="auto"/>
        </w:rPr>
        <w:t>The 2009 amounts represents the gain recorded on the repurchase of $114,500 total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our exchangeable senior notes in March and May 2009. There were no repurchases of exchangeable senior notes during the three and nine months ended September 30, 2010.</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Equity in Earnings of Real Estate Ventures — </w:t>
      </w:r>
      <w:r>
        <w:rPr>
          <w:rFonts w:ascii="Arial" w:cs="Arial" w:eastAsia="Arial" w:hAnsi="Arial"/>
          <w:sz w:val="18"/>
          <w:szCs w:val="18"/>
          <w:color w:val="auto"/>
        </w:rPr>
        <w:t>The decrease in equity in earnings of real estate ventures for the three and nine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2010 is due primarily to the deconsolidation of five lease-up properties in conjunction with the adoption of amended accounting guidance in ASC 810 effective January 1, 2010.</w:t>
      </w:r>
    </w:p>
    <w:p>
      <w:pPr>
        <w:spacing w:after="0" w:line="176"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 The increase in income tax expense relates to the increased profitability of Extra Space Management Inc., our taxable REIT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Allocated to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net income allocated to noncontrolling interests for the periods indicated: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w w:val="99"/>
              </w:rPr>
              <w:t>Three Months Ended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w w:val="98"/>
              </w:rPr>
              <w:t>Nine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3"/>
                <w:szCs w:val="13"/>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2"/>
              </w:rPr>
              <w:t>$ Change</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September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w w:val="88"/>
              </w:rPr>
              <w:t>$ Change</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91"/>
              </w:rPr>
              <w:t>Net income allocated to noncontrolling interests:</w:t>
            </w: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180"/>
              <w:spacing w:after="0" w:line="121" w:lineRule="exact"/>
              <w:rPr>
                <w:sz w:val="20"/>
                <w:szCs w:val="20"/>
                <w:color w:val="auto"/>
              </w:rPr>
            </w:pPr>
            <w:r>
              <w:rPr>
                <w:rFonts w:ascii="Arial" w:cs="Arial" w:eastAsia="Arial" w:hAnsi="Arial"/>
                <w:sz w:val="13"/>
                <w:szCs w:val="13"/>
                <w:color w:val="auto"/>
              </w:rPr>
              <w:t>Net income allocated to Preferred Operating</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360"/>
              <w:spacing w:after="0"/>
              <w:rPr>
                <w:sz w:val="20"/>
                <w:szCs w:val="20"/>
                <w:color w:val="auto"/>
              </w:rPr>
            </w:pPr>
            <w:r>
              <w:rPr>
                <w:rFonts w:ascii="Arial" w:cs="Arial" w:eastAsia="Arial" w:hAnsi="Arial"/>
                <w:sz w:val="13"/>
                <w:szCs w:val="13"/>
                <w:color w:val="auto"/>
              </w:rPr>
              <w:t>Partnership noncontrolling interests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(1,524)</w:t>
            </w: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(1,506)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(18)</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(4,510)</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(4,681)</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171</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21"/>
        </w:trPr>
        <w:tc>
          <w:tcPr>
            <w:tcW w:w="278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6"/>
              </w:rPr>
              <w:t>Net income allocated to Operating Partnership</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and other noncontrolling interests</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188.1%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(929)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360"/>
              <w:spacing w:after="0" w:line="121" w:lineRule="exact"/>
              <w:rPr>
                <w:sz w:val="20"/>
                <w:szCs w:val="20"/>
                <w:color w:val="auto"/>
              </w:rPr>
            </w:pPr>
            <w:r>
              <w:rPr>
                <w:rFonts w:ascii="Arial" w:cs="Arial" w:eastAsia="Arial" w:hAnsi="Arial"/>
                <w:sz w:val="13"/>
                <w:szCs w:val="13"/>
                <w:color w:val="auto"/>
              </w:rPr>
              <w:t>Total income allocated to noncontrolling</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780" w:type="dxa"/>
            <w:vAlign w:val="bottom"/>
            <w:vMerge w:val="continue"/>
          </w:tcPr>
          <w:p>
            <w:pPr>
              <w:spacing w:after="0"/>
              <w:rPr>
                <w:sz w:val="8"/>
                <w:szCs w:val="8"/>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gridSpan w:val="2"/>
            <w:vMerge w:val="restart"/>
          </w:tcPr>
          <w:p>
            <w:pPr>
              <w:jc w:val="right"/>
              <w:ind w:right="60"/>
              <w:spacing w:after="0" w:line="236" w:lineRule="exact"/>
              <w:rPr>
                <w:sz w:val="20"/>
                <w:szCs w:val="20"/>
                <w:color w:val="auto"/>
              </w:rPr>
            </w:pPr>
            <w:r>
              <w:rPr>
                <w:rFonts w:ascii="Arial" w:cs="Arial" w:eastAsia="Arial" w:hAnsi="Arial"/>
                <w:sz w:val="13"/>
                <w:szCs w:val="13"/>
                <w:color w:val="auto"/>
              </w:rPr>
              <w:t>(1,815</w:t>
            </w:r>
            <w:r>
              <w:rPr>
                <w:rFonts w:ascii="Arial" w:cs="Arial" w:eastAsia="Arial" w:hAnsi="Arial"/>
                <w:sz w:val="25"/>
                <w:szCs w:val="25"/>
                <w:color w:val="auto"/>
                <w:vertAlign w:val="superscript"/>
              </w:rPr>
              <w:t>)</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40"/>
              <w:spacing w:after="0" w:line="236" w:lineRule="exact"/>
              <w:rPr>
                <w:sz w:val="20"/>
                <w:szCs w:val="20"/>
                <w:color w:val="auto"/>
              </w:rPr>
            </w:pPr>
            <w:r>
              <w:rPr>
                <w:rFonts w:ascii="Arial" w:cs="Arial" w:eastAsia="Arial" w:hAnsi="Arial"/>
                <w:sz w:val="13"/>
                <w:szCs w:val="13"/>
                <w:color w:val="auto"/>
              </w:rPr>
              <w:t>(1,607</w:t>
            </w:r>
            <w:r>
              <w:rPr>
                <w:rFonts w:ascii="Arial" w:cs="Arial" w:eastAsia="Arial" w:hAnsi="Arial"/>
                <w:sz w:val="25"/>
                <w:szCs w:val="25"/>
                <w:color w:val="auto"/>
                <w:vertAlign w:val="superscript"/>
              </w:rPr>
              <w:t>)</w:t>
            </w: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vMerge w:val="restart"/>
          </w:tcPr>
          <w:p>
            <w:pPr>
              <w:jc w:val="right"/>
              <w:ind w:right="120"/>
              <w:spacing w:after="0" w:line="236" w:lineRule="exact"/>
              <w:rPr>
                <w:sz w:val="20"/>
                <w:szCs w:val="20"/>
                <w:color w:val="auto"/>
              </w:rPr>
            </w:pPr>
            <w:r>
              <w:rPr>
                <w:rFonts w:ascii="Arial" w:cs="Arial" w:eastAsia="Arial" w:hAnsi="Arial"/>
                <w:sz w:val="13"/>
                <w:szCs w:val="13"/>
                <w:color w:val="auto"/>
              </w:rPr>
              <w:t>(208</w:t>
            </w:r>
            <w:r>
              <w:rPr>
                <w:rFonts w:ascii="Arial" w:cs="Arial" w:eastAsia="Arial" w:hAnsi="Arial"/>
                <w:sz w:val="25"/>
                <w:szCs w:val="25"/>
                <w:color w:val="auto"/>
                <w:vertAlign w:val="superscript"/>
              </w:rPr>
              <w:t>)</w:t>
            </w:r>
          </w:p>
        </w:tc>
        <w:tc>
          <w:tcPr>
            <w:tcW w:w="1000" w:type="dxa"/>
            <w:vAlign w:val="bottom"/>
            <w:gridSpan w:val="2"/>
            <w:vMerge w:val="restart"/>
          </w:tcPr>
          <w:p>
            <w:pPr>
              <w:jc w:val="right"/>
              <w:ind w:right="80"/>
              <w:spacing w:after="0" w:line="236" w:lineRule="exact"/>
              <w:rPr>
                <w:sz w:val="20"/>
                <w:szCs w:val="20"/>
                <w:color w:val="auto"/>
              </w:rPr>
            </w:pPr>
            <w:r>
              <w:rPr>
                <w:rFonts w:ascii="Arial" w:cs="Arial" w:eastAsia="Arial" w:hAnsi="Arial"/>
                <w:sz w:val="13"/>
                <w:szCs w:val="13"/>
                <w:color w:val="auto"/>
              </w:rPr>
              <w:t>12.9</w:t>
            </w:r>
            <w:r>
              <w:rPr>
                <w:rFonts w:ascii="Arial" w:cs="Arial" w:eastAsia="Arial" w:hAnsi="Arial"/>
                <w:sz w:val="25"/>
                <w:szCs w:val="25"/>
                <w:color w:val="auto"/>
                <w:vertAlign w:val="superscript"/>
              </w:rPr>
              <w:t>%</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60"/>
              <w:spacing w:after="0" w:line="236" w:lineRule="exact"/>
              <w:rPr>
                <w:sz w:val="20"/>
                <w:szCs w:val="20"/>
                <w:color w:val="auto"/>
              </w:rPr>
            </w:pPr>
            <w:r>
              <w:rPr>
                <w:rFonts w:ascii="Arial" w:cs="Arial" w:eastAsia="Arial" w:hAnsi="Arial"/>
                <w:sz w:val="13"/>
                <w:szCs w:val="13"/>
                <w:color w:val="auto"/>
              </w:rPr>
              <w:t>(5,171</w:t>
            </w:r>
            <w:r>
              <w:rPr>
                <w:rFonts w:ascii="Arial" w:cs="Arial" w:eastAsia="Arial" w:hAnsi="Arial"/>
                <w:sz w:val="25"/>
                <w:szCs w:val="25"/>
                <w:color w:val="auto"/>
                <w:vertAlign w:val="superscript"/>
              </w:rPr>
              <w:t>)</w:t>
            </w: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60"/>
              <w:spacing w:after="0" w:line="236" w:lineRule="exact"/>
              <w:rPr>
                <w:sz w:val="20"/>
                <w:szCs w:val="20"/>
                <w:color w:val="auto"/>
              </w:rPr>
            </w:pPr>
            <w:r>
              <w:rPr>
                <w:rFonts w:ascii="Arial" w:cs="Arial" w:eastAsia="Arial" w:hAnsi="Arial"/>
                <w:sz w:val="13"/>
                <w:szCs w:val="13"/>
                <w:color w:val="auto"/>
              </w:rPr>
              <w:t>(5,610</w:t>
            </w:r>
            <w:r>
              <w:rPr>
                <w:rFonts w:ascii="Arial" w:cs="Arial" w:eastAsia="Arial" w:hAnsi="Arial"/>
                <w:sz w:val="25"/>
                <w:szCs w:val="25"/>
                <w:color w:val="auto"/>
                <w:vertAlign w:val="superscript"/>
              </w:rPr>
              <w:t>)</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439</w:t>
            </w:r>
          </w:p>
        </w:tc>
        <w:tc>
          <w:tcPr>
            <w:tcW w:w="1080" w:type="dxa"/>
            <w:vAlign w:val="bottom"/>
            <w:gridSpan w:val="2"/>
            <w:vMerge w:val="restart"/>
          </w:tcPr>
          <w:p>
            <w:pPr>
              <w:jc w:val="right"/>
              <w:ind w:right="120"/>
              <w:spacing w:after="0" w:line="236" w:lineRule="exact"/>
              <w:rPr>
                <w:sz w:val="20"/>
                <w:szCs w:val="20"/>
                <w:color w:val="auto"/>
              </w:rPr>
            </w:pPr>
            <w:r>
              <w:rPr>
                <w:rFonts w:ascii="Arial" w:cs="Arial" w:eastAsia="Arial" w:hAnsi="Arial"/>
                <w:sz w:val="13"/>
                <w:szCs w:val="13"/>
                <w:color w:val="auto"/>
              </w:rPr>
              <w:t>(7.8</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36"/>
        </w:trPr>
        <w:tc>
          <w:tcPr>
            <w:tcW w:w="2780" w:type="dxa"/>
            <w:vAlign w:val="bottom"/>
          </w:tcPr>
          <w:p>
            <w:pPr>
              <w:ind w:left="540"/>
              <w:spacing w:after="0" w:line="136" w:lineRule="exact"/>
              <w:rPr>
                <w:sz w:val="20"/>
                <w:szCs w:val="20"/>
                <w:color w:val="auto"/>
              </w:rPr>
            </w:pPr>
            <w:r>
              <w:rPr>
                <w:rFonts w:ascii="Arial" w:cs="Arial" w:eastAsia="Arial" w:hAnsi="Arial"/>
                <w:sz w:val="13"/>
                <w:szCs w:val="13"/>
                <w:color w:val="auto"/>
              </w:rPr>
              <w:t>interests:</w:t>
            </w:r>
          </w:p>
        </w:tc>
        <w:tc>
          <w:tcPr>
            <w:tcW w:w="18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Net Income Allocated to Preferred Operating Partnership Noncontrolling Interests — </w:t>
      </w:r>
      <w:r>
        <w:rPr>
          <w:rFonts w:ascii="Arial" w:cs="Arial" w:eastAsia="Arial" w:hAnsi="Arial"/>
          <w:sz w:val="18"/>
          <w:szCs w:val="18"/>
          <w:color w:val="auto"/>
        </w:rPr>
        <w:t>Income allocated to the Preferred OP units for the periods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2010 and 2009 equals the fixed distribution paid to the Preferred OP unit holder plus approximately 1.1% of the remaining net income allocated after the adjustment for the fixed distribution paid.</w:t>
      </w:r>
    </w:p>
    <w:p>
      <w:pPr>
        <w:spacing w:after="0" w:line="176"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Net Income Allocated to Operating Partnership and Other Noncontrolling Interests — </w:t>
      </w:r>
      <w:r>
        <w:rPr>
          <w:rFonts w:ascii="Arial" w:cs="Arial" w:eastAsia="Arial" w:hAnsi="Arial"/>
          <w:sz w:val="16"/>
          <w:szCs w:val="16"/>
          <w:color w:val="auto"/>
        </w:rPr>
        <w:t>Income allocated to the Operating Partnership for the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ended September 30, 2010 and 2009 represents approximately 3.8% and 4.3%, respectively, of net income after the allocation of the fixed distribution paid to the Preferred OP unit holder. Loss allocated to other noncontrolling interests represents the losses allocated to partners in consolidated joint ventures.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consolidated financial statements.</w:t>
      </w:r>
    </w:p>
    <w:p>
      <w:pPr>
        <w:spacing w:after="0" w:line="1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liquidity, or as an indicator of our ability to make cash distributions.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FFO for the periods indicated:</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39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Net income attributable to common stockholders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Real estate depreciation</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34,868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35,943</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r>
      <w:tr>
        <w:trPr>
          <w:trHeight w:val="202"/>
        </w:trPr>
        <w:tc>
          <w:tcPr>
            <w:tcW w:w="3980" w:type="dxa"/>
            <w:vAlign w:val="bottom"/>
          </w:tcPr>
          <w:p>
            <w:pPr>
              <w:ind w:left="180"/>
              <w:spacing w:after="0" w:line="201" w:lineRule="exact"/>
              <w:rPr>
                <w:sz w:val="20"/>
                <w:szCs w:val="20"/>
                <w:color w:val="auto"/>
              </w:rPr>
            </w:pPr>
            <w:r>
              <w:rPr>
                <w:rFonts w:ascii="Arial" w:cs="Arial" w:eastAsia="Arial" w:hAnsi="Arial"/>
                <w:sz w:val="18"/>
                <w:szCs w:val="18"/>
                <w:color w:val="auto"/>
              </w:rPr>
              <w:t>Joint venture real estate depreciation and</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6,181</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4,284</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 (gain)/loss on sale of properties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02"/>
        </w:trPr>
        <w:tc>
          <w:tcPr>
            <w:tcW w:w="3980" w:type="dxa"/>
            <w:vAlign w:val="bottom"/>
          </w:tcPr>
          <w:p>
            <w:pPr>
              <w:ind w:left="180"/>
              <w:spacing w:after="0" w:line="201" w:lineRule="exact"/>
              <w:rPr>
                <w:sz w:val="20"/>
                <w:szCs w:val="20"/>
                <w:color w:val="auto"/>
              </w:rPr>
            </w:pPr>
            <w:r>
              <w:rPr>
                <w:rFonts w:ascii="Arial" w:cs="Arial" w:eastAsia="Arial" w:hAnsi="Arial"/>
                <w:sz w:val="18"/>
                <w:szCs w:val="18"/>
                <w:color w:val="auto"/>
              </w:rPr>
              <w:t>Distributions paid on Preferred Operating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rPr>
              <w:t>Partnership units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(4,313)</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(4,313)</w:t>
            </w:r>
          </w:p>
        </w:tc>
      </w:tr>
      <w:tr>
        <w:trPr>
          <w:trHeight w:val="202"/>
        </w:trPr>
        <w:tc>
          <w:tcPr>
            <w:tcW w:w="3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Income allocated to Operating Partnership</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5,217</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w:t>
            </w:r>
          </w:p>
        </w:tc>
      </w:tr>
      <w:tr>
        <w:trPr>
          <w:trHeight w:val="210"/>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10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22,130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20,918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59,832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69,823</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STABILIZED PROPERTY RESULTS</w:t>
      </w:r>
    </w:p>
    <w:p>
      <w:pPr>
        <w:sectPr>
          <w:pgSz w:w="11900" w:h="16838" w:orient="portrait"/>
          <w:cols w:equalWidth="0" w:num="1">
            <w:col w:w="11380"/>
          </w:cols>
          <w:pgMar w:left="240" w:top="517" w:right="279" w:bottom="0" w:gutter="0" w:footer="0" w:header="0"/>
        </w:sectPr>
      </w:pPr>
    </w:p>
    <w:bookmarkStart w:id="26" w:name="page27"/>
    <w:bookmarkEnd w:id="26"/>
    <w:p>
      <w:pPr>
        <w:ind w:right="60"/>
        <w:spacing w:after="0" w:line="259" w:lineRule="auto"/>
        <w:rPr>
          <w:sz w:val="20"/>
          <w:szCs w:val="20"/>
          <w:color w:val="auto"/>
        </w:rPr>
      </w:pPr>
      <w:r>
        <w:rPr>
          <w:rFonts w:ascii="Arial" w:cs="Arial" w:eastAsia="Arial" w:hAnsi="Arial"/>
          <w:sz w:val="18"/>
          <w:szCs w:val="18"/>
          <w:color w:val="auto"/>
        </w:rPr>
        <w:t>We consider our same-store stabilized portfolio to consist of only those properties which were wholly-owned at the beginning and at the end of the applicable periods presented that have achieved stabilization as of the first day of such period. The following table sets forth operating data for our same-store portfolio. 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September 30,</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4"/>
                <w:szCs w:val="14"/>
                <w:color w:val="auto"/>
              </w:rPr>
            </w:pPr>
          </w:p>
        </w:tc>
        <w:tc>
          <w:tcPr>
            <w:tcW w:w="2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2"/>
              </w:rPr>
              <w:t>Nine Months Ended September 30,</w:t>
            </w: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4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36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Same-store rental and tenant reinsurance</w:t>
            </w: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revenues</w:t>
            </w:r>
          </w:p>
        </w:tc>
        <w:tc>
          <w:tcPr>
            <w:tcW w:w="980" w:type="dxa"/>
            <w:vAlign w:val="bottom"/>
            <w:gridSpan w:val="2"/>
            <w:shd w:val="clear" w:color="auto" w:fill="CCEEFF"/>
          </w:tcPr>
          <w:p>
            <w:pPr>
              <w:jc w:val="right"/>
              <w:ind w:right="692"/>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93"/>
              </w:rPr>
              <w:t>57,531</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55,361</w:t>
            </w:r>
          </w:p>
        </w:tc>
        <w:tc>
          <w:tcPr>
            <w:tcW w:w="14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168,106</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165,204</w:t>
            </w: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90"/>
              </w:rPr>
              <w:t>Same-store operating and tenant reinsurance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60"/>
              <w:spacing w:after="0" w:line="159" w:lineRule="exact"/>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3"/>
              </w:rPr>
              <w:t>19,149</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19,766</w:t>
            </w:r>
          </w:p>
        </w:tc>
        <w:tc>
          <w:tcPr>
            <w:tcW w:w="14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(3.1)%</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57,961</w:t>
            </w:r>
          </w:p>
        </w:tc>
        <w:tc>
          <w:tcPr>
            <w:tcW w:w="2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58,743</w:t>
            </w:r>
          </w:p>
        </w:tc>
        <w:tc>
          <w:tcPr>
            <w:tcW w:w="220" w:type="dxa"/>
            <w:vAlign w:val="bottom"/>
          </w:tcPr>
          <w:p>
            <w:pPr>
              <w:spacing w:after="0"/>
              <w:rPr>
                <w:sz w:val="13"/>
                <w:szCs w:val="13"/>
                <w:color w:val="auto"/>
              </w:rPr>
            </w:pPr>
          </w:p>
        </w:tc>
        <w:tc>
          <w:tcPr>
            <w:tcW w:w="13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Same-store net operating income</w:t>
            </w:r>
          </w:p>
        </w:tc>
        <w:tc>
          <w:tcPr>
            <w:tcW w:w="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ind w:right="692"/>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38,382</w:t>
            </w:r>
          </w:p>
        </w:tc>
        <w:tc>
          <w:tcPr>
            <w:tcW w:w="24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35,595</w:t>
            </w:r>
          </w:p>
        </w:tc>
        <w:tc>
          <w:tcPr>
            <w:tcW w:w="220" w:type="dxa"/>
            <w:vAlign w:val="bottom"/>
            <w:vMerge w:val="continue"/>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7.8%</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110,145</w:t>
            </w:r>
          </w:p>
        </w:tc>
        <w:tc>
          <w:tcPr>
            <w:tcW w:w="24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106,461</w:t>
            </w:r>
          </w:p>
        </w:tc>
        <w:tc>
          <w:tcPr>
            <w:tcW w:w="220" w:type="dxa"/>
            <w:vAlign w:val="bottom"/>
            <w:vMerge w:val="continue"/>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Non same-store rental and tenant reinsurance</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revenues</w:t>
            </w:r>
          </w:p>
        </w:tc>
        <w:tc>
          <w:tcPr>
            <w:tcW w:w="980" w:type="dxa"/>
            <w:vAlign w:val="bottom"/>
            <w:gridSpan w:val="2"/>
            <w:shd w:val="clear" w:color="auto" w:fill="CCEEFF"/>
          </w:tcPr>
          <w:p>
            <w:pPr>
              <w:jc w:val="right"/>
              <w:ind w:right="692"/>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8,597</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10,561</w:t>
            </w:r>
          </w:p>
        </w:tc>
        <w:tc>
          <w:tcPr>
            <w:tcW w:w="14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(18.6)%</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23,181</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28,536</w:t>
            </w: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rPr>
              <w:t>Non same-store operating and tenant</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160"/>
              <w:spacing w:after="0" w:line="159" w:lineRule="exact"/>
              <w:rPr>
                <w:sz w:val="20"/>
                <w:szCs w:val="20"/>
                <w:color w:val="auto"/>
              </w:rPr>
            </w:pPr>
            <w:r>
              <w:rPr>
                <w:rFonts w:ascii="Arial" w:cs="Arial" w:eastAsia="Arial" w:hAnsi="Arial"/>
                <w:sz w:val="14"/>
                <w:szCs w:val="14"/>
                <w:color w:val="auto"/>
              </w:rPr>
              <w:t>reinsurance expenses</w:t>
            </w:r>
          </w:p>
        </w:tc>
        <w:tc>
          <w:tcPr>
            <w:tcW w:w="980" w:type="dxa"/>
            <w:vAlign w:val="bottom"/>
            <w:gridSpan w:val="2"/>
          </w:tcPr>
          <w:p>
            <w:pPr>
              <w:jc w:val="right"/>
              <w:ind w:right="692"/>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3,921</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4,520</w:t>
            </w:r>
          </w:p>
        </w:tc>
        <w:tc>
          <w:tcPr>
            <w:tcW w:w="14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(13.3)%</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10,686</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12,709</w:t>
            </w:r>
          </w:p>
        </w:tc>
        <w:tc>
          <w:tcPr>
            <w:tcW w:w="220" w:type="dxa"/>
            <w:vAlign w:val="bottom"/>
          </w:tcPr>
          <w:p>
            <w:pPr>
              <w:spacing w:after="0"/>
              <w:rPr>
                <w:sz w:val="13"/>
                <w:szCs w:val="13"/>
                <w:color w:val="auto"/>
              </w:rPr>
            </w:pPr>
          </w:p>
        </w:tc>
        <w:tc>
          <w:tcPr>
            <w:tcW w:w="13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w w:val="91"/>
              </w:rPr>
              <w:t>Total rental and tenant reinsurance revenues</w:t>
            </w:r>
          </w:p>
        </w:tc>
        <w:tc>
          <w:tcPr>
            <w:tcW w:w="980" w:type="dxa"/>
            <w:vAlign w:val="bottom"/>
            <w:gridSpan w:val="2"/>
          </w:tcPr>
          <w:p>
            <w:pPr>
              <w:jc w:val="right"/>
              <w:ind w:right="692"/>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66,128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65,922</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191,287</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193,740</w:t>
            </w:r>
          </w:p>
        </w:tc>
        <w:tc>
          <w:tcPr>
            <w:tcW w:w="22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Total operating and tenant reinsurance</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expenses</w:t>
            </w:r>
          </w:p>
        </w:tc>
        <w:tc>
          <w:tcPr>
            <w:tcW w:w="980" w:type="dxa"/>
            <w:vAlign w:val="bottom"/>
            <w:gridSpan w:val="2"/>
            <w:shd w:val="clear" w:color="auto" w:fill="CCEEFF"/>
          </w:tcPr>
          <w:p>
            <w:pPr>
              <w:jc w:val="right"/>
              <w:ind w:right="692"/>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93"/>
              </w:rPr>
              <w:t>23,070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24,286</w:t>
            </w:r>
          </w:p>
        </w:tc>
        <w:tc>
          <w:tcPr>
            <w:tcW w:w="14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68,647</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71,452</w:t>
            </w: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Same-store square foot occupancy as of</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quarter end</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85.8%</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84.0%</w:t>
            </w:r>
          </w:p>
        </w:tc>
        <w:tc>
          <w:tcPr>
            <w:tcW w:w="1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85.8%</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84.0%</w:t>
            </w: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Properties included in same-store</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246</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w:t>
            </w: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246</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increases in same-store rental revenues for the three and nine months ended September 30, 2010 as compared to the three and nine months ended September 30, 2009 were due primarily to increased rental rates to incoming and existing customers and increased occupancy. The decreases in same-store operating expenses for the three and nine months ended September 30, 2010 as compared to September 30, 2009, were primarily due to decreases in utilities, office expenses, property taxes, and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flows provided by operating activities were $74,730 and $66,092, respectively, for the nine months ended September 30, 2010 and 2009. The increase compared to the prior year primarily relates to the increase in funds collected from related parties and affiliated joint ventures of $9,373 when compared to the nine months ended September 30, 2009. The decrease in net income in the current year when compared to the nine months ended September 30, 2009 was offset partially by a gain on the repurchase of exchangeable senior notes and a loss relating to the wind-down of our development program incurred in the period ended September 30, 2009.</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Cash used in investing activities was $34,495 and $87,360 for the nine months ended September 30, 2010 and 2009, respectively. The decrease relates primarily to a decrease in cash used for the development of real estate assets of $29,382 when compared to the nine months ended September 30, 2009. Additionally, we received $15,750 of cash as a result of the sale of 19 properties into the joint venture with Harrison Street in January 2010. There was also a decrease in cash used for the acquisition of real estate assets of $2,730 when compared to the prior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Cash used in financing activities was $150,387 for the nine months ended September 30, 2010, compared to cash provided by financing activities of $58,288 for the nine months ended September 30, 2009. The decrease in cash provided by financing activities is primarily the result of decreased proceeds from notes payable and lines of credit in the current year of $251,755 when compared to the prior year. Additionally, we paid an additional $40,051 of principal payments on notes payable and lines of credit during the nine months ended September 30, 2010 when compared to the nine months ended September 30, 2009. These decreases were offset by cash outflows of $80,853 that we paid during the nine months ended September 30, 2009 to repurchase exchangeable senior notes, compared to no repurchases of exchangeable senior notes during the nine months ended September 30,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September 30, 2010, we had $21,798 available in cash and cash equivalents. We intend to use this cash to repay debt scheduled to mature in 2010 and 2011 and for general corporate purposes. We are required to distribute at least 90% of our net taxable income, excluding net capital gains, to our stockholders on an annual basis to maintain our qualification as a REIT.</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cash and cash equivalents are held in accounts managed by third party financial institutions and consist of invested cash and cash in our operating accounts. During 2009 and the first nine months of 2010 we experienced no loss or lack of access to our cash or cash equivalents; however, there can be no assurance that access to our cash and cash equivalents will not be impacted by adverse conditions in the financial markets.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4, 2010, a subsidiary entered into a $45,000 Third Credit Line that is collateralized by mortgages on certain lease-up real estate assets and matures on May 31, 2013 with a two-year extension option available. We intend to use the proceeds of the Third Credit Line to repay debt and for general corporate purposes. The Third Credit Line has an interest rate of LIBOR plus 350 basis points (3.8% at September 30, 2010). As of September 30, 2010, the Third Credit Line had $25,467 of capacity based on the lease-up of the assets collateralizing the Third Credit Line. At September 30, 2010, $10,000 was drawn on the Third Credit Line. We guarantee the Third Credit Line.</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February 13, 2009, a subsidiary entered into a $50,000 Secondary Credit Line that is collateralized by mortgages on certain real estate assets and matures on February 13, 2013 with an option to extend one additional year. We intend to use the proceeds of the Secondary Credit Line to repay debt and for general corporate purposes. The Secondary Credit Line has an interest rate of LIBOR plus 350 basis points (3.8% at September 30, 2010). As of September 30, 2010, $5,000 was drawn on the Secondary Credit Line. We guarantee the Secondary Credit Line.</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October 16, 2007, a subsidiary entered into a $100,000 Credit Line. The outstanding balance on the Credit Line at September 30, 2010 was $100,000. We intend to use the proceeds of the Credit Line to repay debt and for general corporate purposes. The Credit Line has an interest rate of between 100 and 205 basis points over LIBOR, depending on certain of our financial ratios (1.3% at September 30, 2010). The Credit Line is collateralized by mortgages on certain real estate assets and matures on October 31, 2010 with two one-year extensions available.</w:t>
      </w:r>
    </w:p>
    <w:p>
      <w:pPr>
        <w:sectPr>
          <w:pgSz w:w="11900" w:h="16838" w:orient="portrait"/>
          <w:cols w:equalWidth="0" w:num="1">
            <w:col w:w="11420"/>
          </w:cols>
          <w:pgMar w:left="240" w:top="125" w:right="239" w:bottom="0" w:gutter="0" w:footer="0" w:header="0"/>
        </w:sectPr>
      </w:pPr>
    </w:p>
    <w:bookmarkStart w:id="27" w:name="page28"/>
    <w:bookmarkEnd w:id="27"/>
    <w:p>
      <w:pPr>
        <w:ind w:right="120"/>
        <w:spacing w:after="0" w:line="257" w:lineRule="auto"/>
        <w:rPr>
          <w:sz w:val="20"/>
          <w:szCs w:val="20"/>
          <w:color w:val="auto"/>
        </w:rPr>
      </w:pPr>
      <w:r>
        <w:rPr>
          <w:rFonts w:ascii="Arial" w:cs="Arial" w:eastAsia="Arial" w:hAnsi="Arial"/>
          <w:sz w:val="18"/>
          <w:szCs w:val="18"/>
          <w:color w:val="auto"/>
        </w:rPr>
        <w:t>As of September 30, 2010, we had $1,174,065 of debt, resulting in a debt to total capitalization ratio of 44.3%. As of September 30, 2010, the ratio of total fixed rate debt and other instruments to total debt was 65.2% (including $162,431 on which we have interest rate swaps that have been included as fixed-rate debt). The weighted average interest rate of the total of fixed and variable rate debt at September 30, 2010 was 4.7%. Certain of our real estate assets are pledged as collateral for our debt. We are subject to certain restrictive covenants relating to our outstanding debt. We were in compliance with all financial covenants at September 30, 2010.</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our Credit Lines. In addition, we are actively pursuing additional term loans secured by unencumbered properties.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liquidity needs consist primarily of cash distributions to stockholders, facility development, property acquisitions, principal payments under our borrowings and non-recurring capital expenditures. We may from time to time seek to repurchase or redeem our outstanding debt, shares of common stock or other securities in open market purchases, privately negotiated transactions or otherwise. Such repurchases or redemptions, if any, will depend on prevailing market conditions, our liquidity requirements, contractual restrictions and other factors. In addition, we evaluate, on an ongoing basis, the merits of strategic acquisitions and other relationships, which may require us to raise additional funds. We do not expect that our operating cash flow or cash balances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of our common stock. We may also use OP units as currency to fund acquisitions from self-storage owners who desire tax-deferral in their exiting transactions.</w:t>
      </w:r>
    </w:p>
    <w:p>
      <w:pPr>
        <w:spacing w:after="0" w:line="1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U.S. credit markets have experienced significant dislocations and liquidity disruptions which have caused the spreads on prospective debt financings to widen. These circumstances have impacted liquidity in the debt markets, making financing terms for borrowers less attractive, and in certain cases have resulted in the unavailability of certain types of debt financing. Uncertainty in the credit markets may negatively impact our ability to make acquisitions and fund current development projects. In addition, the financial condition of the lenders of our credit facilities may worsen to the point that they default on their obligations to make available to us the funds under those facilities.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effect on other financial markets in the United States, which may make it more difficult or costly for us to raise capital through the issuance of common stock, preferred stock or other equity securities. These disruptions in the financial market may have other adverse effects on us or the economy generally, which could cause our stock price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disclosed in the notes to our condensed consolidated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exchangeable senior notes provide for excess exchange value to be paid in shares of our common stock if our stock price exceeds a certain amount. See the notes to our condensed consolidated financial statements for a further description of our exchangeable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payments due by period as of September 30,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11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Less Than</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0"/>
                <w:szCs w:val="10"/>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0"/>
                <w:szCs w:val="10"/>
                <w:color w:val="auto"/>
              </w:rPr>
            </w:pPr>
          </w:p>
        </w:tc>
        <w:tc>
          <w:tcPr>
            <w:tcW w:w="1000" w:type="dxa"/>
            <w:vAlign w:val="bottom"/>
          </w:tcPr>
          <w:p>
            <w:pPr>
              <w:jc w:val="center"/>
              <w:ind w:right="157"/>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Notes payable, notes payable to trusts,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exchangeable senior notes and lines of credit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369,862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53,749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96,426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147,527</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1,174,065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117,184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259,296</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346,832</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450,753</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1,602,807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September 30, 2010, the weighted-average interest rate for all fixed rate loans was 5.4%, and the weighted-average interest rate for all variable rate loans was 3.3%.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ectPr>
          <w:pgSz w:w="11900" w:h="16838" w:orient="portrait"/>
          <w:cols w:equalWidth="0" w:num="1">
            <w:col w:w="11420"/>
          </w:cols>
          <w:pgMar w:left="240" w:top="341" w:right="239" w:bottom="0" w:gutter="0" w:footer="0" w:header="0"/>
        </w:sectPr>
      </w:pPr>
    </w:p>
    <w:bookmarkStart w:id="28" w:name="page29"/>
    <w:bookmarkEnd w:id="28"/>
    <w:p>
      <w:pPr>
        <w:ind w:left="680" w:hanging="34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properties;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particular properties, and our company as a whole, to generate cash flow sufficient to cover expected debt service payments;</w:t>
      </w:r>
    </w:p>
    <w:p>
      <w:pPr>
        <w:spacing w:after="0" w:line="236" w:lineRule="exact"/>
        <w:rPr>
          <w:rFonts w:ascii="Arial" w:cs="Arial" w:eastAsia="Arial" w:hAnsi="Arial"/>
          <w:sz w:val="17"/>
          <w:szCs w:val="17"/>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may from time to time seek to retire, repurchase or redeem our additional outstanding debt including our exchangeable senior notes as well as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as of the end of July, while our lowest level of occupancy has been in late February and early March. Results for any quarter may not be indicative of the results that may be achieved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As of September 30, 2010, we had $1.2 billion in total debt, of which $408.7 million was subject to variable interest rates (excluding debt with interest rate swaps). If LIBOR were to increase or decrease by 100 basis points, the increase or decrease in interest expense on the variable rate debt (excluding variable rate debt with interest rate floors) would increase or decrease future earnings and cash flows by $2.7 million annually.</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notes receivable and our fixed rate notes payable are as follows:</w:t>
      </w:r>
    </w:p>
    <w:p>
      <w:pPr>
        <w:spacing w:after="0" w:line="217" w:lineRule="exact"/>
        <w:rPr>
          <w:sz w:val="20"/>
          <w:szCs w:val="20"/>
          <w:color w:val="auto"/>
        </w:rPr>
      </w:pPr>
    </w:p>
    <w:p>
      <w:pPr>
        <w:ind w:left="5800"/>
        <w:spacing w:after="0"/>
        <w:tabs>
          <w:tab w:leader="none" w:pos="8880" w:val="left"/>
        </w:tabs>
        <w:rPr>
          <w:sz w:val="20"/>
          <w:szCs w:val="20"/>
          <w:color w:val="auto"/>
        </w:rPr>
      </w:pPr>
      <w:r>
        <w:rPr>
          <w:rFonts w:ascii="Arial" w:cs="Arial" w:eastAsia="Arial" w:hAnsi="Arial"/>
          <w:sz w:val="14"/>
          <w:szCs w:val="14"/>
          <w:b w:val="1"/>
          <w:bCs w:val="1"/>
          <w:color w:val="auto"/>
        </w:rPr>
        <w:t>September 30, 2010</w:t>
      </w:r>
      <w:r>
        <w:rPr>
          <w:sz w:val="20"/>
          <w:szCs w:val="20"/>
          <w:color w:val="auto"/>
        </w:rPr>
        <w:tab/>
      </w:r>
      <w:r>
        <w:rPr>
          <w:rFonts w:ascii="Arial" w:cs="Arial" w:eastAsia="Arial" w:hAnsi="Arial"/>
          <w:sz w:val="12"/>
          <w:szCs w:val="12"/>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6350</wp:posOffset>
            </wp:positionV>
            <wp:extent cx="37217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ectPr>
          <w:pgSz w:w="11900" w:h="16838" w:orient="portrait"/>
          <w:cols w:equalWidth="0" w:num="1">
            <w:col w:w="11340"/>
          </w:cols>
          <w:pgMar w:left="240" w:top="341" w:right="319" w:bottom="0" w:gutter="0" w:footer="0" w:header="0"/>
        </w:sectPr>
      </w:pPr>
    </w:p>
    <w:bookmarkStart w:id="29" w:name="page30"/>
    <w:bookmarkEnd w:id="29"/>
    <w:p>
      <w:pPr>
        <w:spacing w:after="0" w:line="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Carrying</w:t>
            </w:r>
          </w:p>
        </w:tc>
      </w:tr>
      <w:tr>
        <w:trPr>
          <w:trHeight w:val="171"/>
        </w:trPr>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r>
      <w:tr>
        <w:trPr>
          <w:trHeight w:val="182"/>
        </w:trPr>
        <w:tc>
          <w:tcPr>
            <w:tcW w:w="4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Note receivable from Preferred Operating Partnership unit</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117,782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733,423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677,678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1,067,653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1,015,063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122,918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87,663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110,122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87,663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 disclosure committee that is responsible to ensure that all disclosures made by the company to our security holders or to the investment community will be accurate and complete and will fairly present our financial condition and results of operations in all material respects, and are made on a timely basis as required by applicable laws, regulations and stock exchange requirements.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83"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 management, are expected to have a material adverse effect on our financial condition or results of operations either individually or in the aggregate.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2009 Annual Report on Form 10-K.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Extra Space Storage Inc. Executive Change in Control Plan (incorporated by reference to Exhibit 10.1 of Form 8-K filed on August 31, 2010).</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00"/>
              <w:spacing w:after="0"/>
              <w:rPr>
                <w:sz w:val="20"/>
                <w:szCs w:val="20"/>
                <w:color w:val="auto"/>
              </w:rPr>
            </w:pPr>
            <w:r>
              <w:rPr>
                <w:rFonts w:ascii="Arial" w:cs="Arial" w:eastAsia="Arial" w:hAnsi="Arial"/>
                <w:sz w:val="18"/>
                <w:szCs w:val="18"/>
                <w:color w:val="auto"/>
                <w:w w:val="98"/>
              </w:rPr>
              <w:t>Certifications of the Chief Executive Officer and Chief Financial Officer pursuant to 18 U.S.C. Section 1350, as adopted pursuant to</w:t>
            </w:r>
          </w:p>
        </w:tc>
      </w:tr>
      <w:tr>
        <w:trPr>
          <w:trHeight w:val="230"/>
        </w:trPr>
        <w:tc>
          <w:tcPr>
            <w:tcW w:w="72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300"/>
              <w:spacing w:after="0"/>
              <w:rPr>
                <w:sz w:val="20"/>
                <w:szCs w:val="20"/>
                <w:color w:val="auto"/>
              </w:rPr>
            </w:pPr>
            <w:r>
              <w:rPr>
                <w:rFonts w:ascii="Arial" w:cs="Arial" w:eastAsia="Arial" w:hAnsi="Arial"/>
                <w:sz w:val="18"/>
                <w:szCs w:val="18"/>
                <w:color w:val="auto"/>
                <w:w w:val="95"/>
              </w:rPr>
              <w:t>The following materials from Extra Space Storage Inc.’s Quarterly Report on Form 10-Q for the quarter ended September 30, 2010 are</w:t>
            </w:r>
          </w:p>
        </w:tc>
      </w:tr>
    </w:tbl>
    <w:p>
      <w:pPr>
        <w:sectPr>
          <w:pgSz w:w="11900" w:h="16911" w:orient="portrait"/>
          <w:cols w:equalWidth="0" w:num="1">
            <w:col w:w="11400"/>
          </w:cols>
          <w:pgMar w:left="240" w:top="104" w:right="259" w:bottom="0" w:gutter="0" w:footer="0" w:header="0"/>
        </w:sectPr>
      </w:pPr>
    </w:p>
    <w:bookmarkStart w:id="30" w:name="page31"/>
    <w:bookmarkEnd w:id="30"/>
    <w:p>
      <w:pPr>
        <w:ind w:left="1020" w:right="340"/>
        <w:spacing w:after="0" w:line="264" w:lineRule="auto"/>
        <w:rPr>
          <w:sz w:val="20"/>
          <w:szCs w:val="20"/>
          <w:color w:val="auto"/>
        </w:rPr>
      </w:pPr>
      <w:r>
        <w:rPr>
          <w:rFonts w:ascii="Arial" w:cs="Arial" w:eastAsia="Arial" w:hAnsi="Arial"/>
          <w:sz w:val="18"/>
          <w:szCs w:val="18"/>
          <w:color w:val="auto"/>
        </w:rPr>
        <w:t>formatted in XBRL (eXtensible Business Reporting Language): (1) the Consolidated Balance Sheets, (2) the Consolidated Statements of Operations, (3) the Consolidated Statement of Equity, (4) the Consolidated Statements of Cash Flows and (5) related notes to these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These certifications are being furnished solely to accompany this quarterly report pursuant to 18 U.S.C. Section 1350, and are not being filed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 of the Securities Exchange Act of 1934 and are not to be incorporated by reference into any filing of Extra Space Storage Inc., whether made before or after the date hereof, regardless of any general incorporation language in such filing.</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2010</w:t>
            </w:r>
          </w:p>
        </w:tc>
        <w:tc>
          <w:tcPr>
            <w:tcW w:w="204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2010</w:t>
            </w:r>
          </w:p>
        </w:tc>
        <w:tc>
          <w:tcPr>
            <w:tcW w:w="204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7720" w:type="dxa"/>
            <w:vAlign w:val="bottom"/>
            <w:gridSpan w:val="2"/>
          </w:tcPr>
          <w:p>
            <w:pPr>
              <w:jc w:val="right"/>
              <w:ind w:right="553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5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F. Kirk,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5, 2010</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8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5, 2010</w:t>
            </w:r>
          </w:p>
        </w:tc>
        <w:tc>
          <w:tcPr>
            <w:tcW w:w="2840" w:type="dxa"/>
            <w:vAlign w:val="bottom"/>
          </w:tcPr>
          <w:p>
            <w:pPr>
              <w:ind w:left="19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3740" w:type="dxa"/>
            <w:vAlign w:val="bottom"/>
          </w:tcPr>
          <w:p>
            <w:pPr>
              <w:spacing w:after="0"/>
              <w:rPr>
                <w:sz w:val="16"/>
                <w:szCs w:val="16"/>
                <w:color w:val="auto"/>
              </w:rPr>
            </w:pPr>
          </w:p>
        </w:tc>
        <w:tc>
          <w:tcPr>
            <w:tcW w:w="28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840" w:type="dxa"/>
            <w:vAlign w:val="bottom"/>
          </w:tcPr>
          <w:p>
            <w:pPr>
              <w:ind w:left="196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20"/>
                <w:szCs w:val="20"/>
                <w:color w:val="auto"/>
              </w:rPr>
            </w:pPr>
          </w:p>
        </w:tc>
      </w:tr>
      <w:tr>
        <w:trPr>
          <w:trHeight w:val="348"/>
        </w:trPr>
        <w:tc>
          <w:tcPr>
            <w:tcW w:w="374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2010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spacing w:after="0"/>
              <w:rPr>
                <w:sz w:val="20"/>
                <w:szCs w:val="20"/>
                <w:color w:val="auto"/>
              </w:rPr>
            </w:pPr>
            <w:r>
              <w:rPr>
                <w:rFonts w:ascii="Arial" w:cs="Arial" w:eastAsia="Arial" w:hAnsi="Arial"/>
                <w:sz w:val="18"/>
                <w:szCs w:val="18"/>
                <w:color w:val="auto"/>
              </w:rPr>
              <w:t>November 5, 2010</w:t>
            </w: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2010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4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6500" w:type="dxa"/>
            <w:vAlign w:val="bottom"/>
          </w:tcPr>
          <w:p>
            <w:pPr>
              <w:ind w:left="574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6500" w:type="dxa"/>
            <w:vAlign w:val="bottom"/>
          </w:tcPr>
          <w:p>
            <w:pPr>
              <w:ind w:left="574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6500" w:type="dxa"/>
            <w:vAlign w:val="bottom"/>
          </w:tcPr>
          <w:p>
            <w:pPr>
              <w:ind w:left="5740"/>
              <w:spacing w:after="0"/>
              <w:rPr>
                <w:sz w:val="20"/>
                <w:szCs w:val="20"/>
                <w:color w:val="auto"/>
              </w:rPr>
            </w:pPr>
            <w:r>
              <w:rPr>
                <w:rFonts w:ascii="Arial" w:cs="Arial" w:eastAsia="Arial" w:hAnsi="Arial"/>
                <w:sz w:val="18"/>
                <w:szCs w:val="18"/>
                <w:color w:val="auto"/>
              </w:rPr>
              <w:t>Date:</w:t>
            </w:r>
          </w:p>
        </w:tc>
        <w:tc>
          <w:tcPr>
            <w:tcW w:w="4920" w:type="dxa"/>
            <w:vAlign w:val="bottom"/>
          </w:tcPr>
          <w:p>
            <w:pPr>
              <w:spacing w:after="0"/>
              <w:rPr>
                <w:sz w:val="20"/>
                <w:szCs w:val="20"/>
                <w:color w:val="auto"/>
              </w:rPr>
            </w:pPr>
            <w:r>
              <w:rPr>
                <w:rFonts w:ascii="Arial" w:cs="Arial" w:eastAsia="Arial" w:hAnsi="Arial"/>
                <w:sz w:val="18"/>
                <w:szCs w:val="18"/>
                <w:color w:val="auto"/>
              </w:rPr>
              <w:t>November 5, 2010</w:t>
            </w:r>
          </w:p>
        </w:tc>
        <w:tc>
          <w:tcPr>
            <w:tcW w:w="40" w:type="dxa"/>
            <w:vAlign w:val="bottom"/>
          </w:tcPr>
          <w:p>
            <w:pPr>
              <w:spacing w:after="0"/>
              <w:rPr>
                <w:sz w:val="20"/>
                <w:szCs w:val="20"/>
                <w:color w:val="auto"/>
              </w:rPr>
            </w:pPr>
          </w:p>
        </w:tc>
      </w:tr>
      <w:tr>
        <w:trPr>
          <w:trHeight w:val="348"/>
        </w:trPr>
        <w:tc>
          <w:tcPr>
            <w:tcW w:w="650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9"/>
    </w:lvl>
  </w:abstractNum>
  <w:abstractNum w:abstractNumId="8">
    <w:nsid w:val="1BEFD79F"/>
    <w:multiLevelType w:val="hybridMultilevel"/>
    <w:lvl w:ilvl="0">
      <w:lvlJc w:val="left"/>
      <w:lvlText w:val="%1"/>
      <w:numFmt w:val="upperLetter"/>
      <w:start w:val="35"/>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2019-12-10T23:55:45Z</dcterms:created>
  <dcterms:modified xsi:type="dcterms:W3CDTF">2019-12-10T23:55:45Z</dcterms:modified>
</cp:coreProperties>
</file>