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Extra Space Storage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10,474,859.00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13,090,223.00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13,090,223.00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Capital Management,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10,345,725.00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12,871,343.00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12,871,343.00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UK Limited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75,162.00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164,908.00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164,908.00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0.08 %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Asia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spacing w:before="0" w:after="283"/>
              <w:jc w:val="left"/>
              <w:rPr/>
            </w:pPr>
            <w:r>
              <w:rPr/>
              <w:t xml:space="preserve">Aggregate Amount Beneficially Owned by Each Reporting Person </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spacing w:before="0" w:after="283"/>
              <w:jc w:val="left"/>
              <w:rPr/>
            </w:pPr>
            <w:r>
              <w:rPr/>
              <w:t xml:space="preserve">Percent of class represented by amount in row (9)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Ireland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IRELAND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53,972.00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53,972.00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0.03 %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Extra Space Storage Inc.</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2795 East Cottonwood Parkway, Suite 300, Salt Lake City, UT 84121</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Cohen &amp; Steers, Inc. Cohen &amp; Steers Capital Management, Inc. Cohen &amp; Steers UK Ltd Cohen &amp; Steers Asia Ltd Cohen &amp; Steers Ireland Ltd</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principal address for Cohen &amp; Steers, Inc. and Cohen &amp; Steers Capital Management, Inc. is: 1166 Avenue of the Americas, 30th Floor New York, NY 10036 The principal address for Cohen &amp; Steers UK Ltd. is: The Burlian, 2nd Floor 3 Dering Street, London W1S 1AA United Kingdom The principal address for Cohen &amp; Steers Asia Ltd. is: 3301B, 33rd Floor, The Henderson 2 Murray Road Central, Hong Kong The principal address for Cohen &amp; Steers Ireland Ltd. is: Suite G01 81 Merrion Square South Dublin 2 D02 NR12 Ireland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Cohen &amp; Steers, Inc: Delaware corporation Cohen &amp; Steers Capital Management, Inc: New York corporation Cohen &amp; Steers UK Ltd: United Kingdom Private Limited Company Cohen &amp; Steers Asia Ltd: Asia Private Limited Company Cohen &amp; Steers Ireland Ltd: Ireland Private Limited Company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0"/>
              <w:jc w:val="left"/>
              <w:rPr/>
            </w:pPr>
            <w:r>
              <w:rPr/>
              <w:t>Corporation</w:t>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13,090,223</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6.20%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10,474,859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13,090,223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Each of Cohen &amp; Steers Capital Management, Inc., Cohen &amp; Steers UK Ltd., Cohen &amp; Steers Asia Ltd. and Cohen &amp; Steers Ireland Ltd. holds the securities of the Issuer to which this statement relates for the benefit of their respective account holders. Such account holders have the right to receive or the power to direct the receipt of dividends from, or proceeds from the sale of, the securities of the Issuer that are held on their behalf</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Cohen &amp; Steers, Inc. holds a 100% interest in Cohen &amp; Steers Capital Management, Inc., Cohen &amp; Steers UK Ltd., Cohen &amp; Steers Asia Ltd. (investment advisors registered under Section 203 of the Investment Advisers Act) and Cohen &amp; Steers Ireland Ltd. (a non-US institution).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Cohen &amp; Steers, Inc.</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Nargis Hilal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SVP, Global Chief Compliance Officer &amp; Associate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Cohen &amp; Steers Capital Management, Inc.</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Nargis Hilal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SVP, Global Chief Compliance Officer &amp; Associate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Cohen &amp; Steers UK Limited</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Natalie Okorie</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Cohen &amp; Steers Asia Limited</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Catherine Cheng</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Cohen &amp; Steers Ireland Limited</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3"/>
        <w:gridCol w:w="4432"/>
      </w:tblGrid>
      <w:tr>
        <w:trPr/>
        <w:tc>
          <w:tcPr>
            <w:tcW w:w="57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Alan Cooper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1672</Words>
  <Characters>8494</Characters>
  <CharactersWithSpaces>10091</CharactersWithSpaces>
  <Paragraphs>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