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-220345</wp:posOffset>
            </wp:positionV>
            <wp:extent cx="3524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-125095</wp:posOffset>
            </wp:positionV>
            <wp:extent cx="3524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42" w:lineRule="exact"/>
        <w:rPr>
          <w:sz w:val="24"/>
          <w:szCs w:val="24"/>
          <w:color w:val="auto"/>
        </w:rPr>
      </w:pPr>
    </w:p>
    <w:p>
      <w:pPr>
        <w:ind w:left="740" w:hanging="691"/>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0"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740" w:right="80" w:hanging="691"/>
        <w:spacing w:after="0" w:line="251" w:lineRule="auto"/>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3480" w:type="dxa"/>
        <w:tblCellMar>
          <w:top w:w="0" w:type="dxa"/>
          <w:left w:w="0" w:type="dxa"/>
          <w:bottom w:w="0" w:type="dxa"/>
          <w:right w:w="0" w:type="dxa"/>
        </w:tblCellMar>
      </w:tblPr>
      <w:tr>
        <w:trPr>
          <w:trHeight w:val="191"/>
        </w:trPr>
        <w:tc>
          <w:tcPr>
            <w:tcW w:w="23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37"/>
        </w:trPr>
        <w:tc>
          <w:tcPr>
            <w:tcW w:w="44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Commission File Number: 001-32269</w:t>
            </w:r>
          </w:p>
        </w:tc>
        <w:tc>
          <w:tcPr>
            <w:tcW w:w="40" w:type="dxa"/>
            <w:vAlign w:val="bottom"/>
          </w:tcPr>
          <w:p>
            <w:pPr>
              <w:spacing w:after="0"/>
              <w:rPr>
                <w:sz w:val="20"/>
                <w:szCs w:val="20"/>
                <w:color w:val="auto"/>
              </w:rPr>
            </w:pPr>
          </w:p>
        </w:tc>
      </w:tr>
    </w:tbl>
    <w:p>
      <w:pPr>
        <w:spacing w:after="0" w:line="2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-297815</wp:posOffset>
            </wp:positionV>
            <wp:extent cx="3524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167640</wp:posOffset>
            </wp:positionV>
            <wp:extent cx="3524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97" w:lineRule="exact"/>
        <w:rPr>
          <w:sz w:val="24"/>
          <w:szCs w:val="24"/>
          <w:color w:val="auto"/>
        </w:rPr>
      </w:pPr>
    </w:p>
    <w:p>
      <w:pPr>
        <w:ind w:left="2420"/>
        <w:spacing w:after="0"/>
        <w:tabs>
          <w:tab w:leader="none" w:pos="822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20-1076777</w:t>
      </w:r>
    </w:p>
    <w:p>
      <w:pPr>
        <w:spacing w:after="0" w:line="61" w:lineRule="exact"/>
        <w:rPr>
          <w:sz w:val="24"/>
          <w:szCs w:val="24"/>
          <w:color w:val="auto"/>
        </w:rPr>
      </w:pPr>
    </w:p>
    <w:p>
      <w:pPr>
        <w:ind w:left="1900"/>
        <w:spacing w:after="0"/>
        <w:tabs>
          <w:tab w:leader="none" w:pos="812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2795 East Cottonwood Parkway, Suite 300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365-4600</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162"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800" w:type="dxa"/>
            <w:vAlign w:val="bottom"/>
          </w:tcPr>
          <w:p>
            <w:pPr>
              <w:spacing w:after="0"/>
              <w:rPr>
                <w:sz w:val="18"/>
                <w:szCs w:val="18"/>
                <w:color w:val="auto"/>
              </w:rPr>
            </w:pPr>
          </w:p>
        </w:tc>
        <w:tc>
          <w:tcPr>
            <w:tcW w:w="41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615"/>
        </w:trPr>
        <w:tc>
          <w:tcPr>
            <w:tcW w:w="392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0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EXR</w:t>
            </w:r>
          </w:p>
        </w:tc>
        <w:tc>
          <w:tcPr>
            <w:tcW w:w="8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41" w:lineRule="exact"/>
        <w:rPr>
          <w:sz w:val="24"/>
          <w:szCs w:val="24"/>
          <w:color w:val="auto"/>
        </w:rPr>
      </w:pPr>
    </w:p>
    <w:p>
      <w:pPr>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ind w:right="1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79"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5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320"/>
          </w:cols>
          <w:pgMar w:left="240" w:top="673" w:right="339" w:bottom="1440" w:gutter="0" w:footer="0" w:header="0"/>
        </w:sectPr>
      </w:pPr>
    </w:p>
    <w:p>
      <w:pPr>
        <w:spacing w:after="0" w:line="2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20"/>
          </w:cols>
          <w:pgMar w:left="240" w:top="673" w:right="339" w:bottom="1440" w:gutter="0" w:footer="0" w:header="0"/>
          <w:type w:val="continuous"/>
        </w:sectPr>
      </w:pPr>
    </w:p>
    <w:bookmarkStart w:id="1" w:name="page2"/>
    <w:bookmarkEnd w:id="1"/>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par value $0.01 per share, as of October 30, 2019, was 129,510,514.</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80"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00" w:type="dxa"/>
            <w:vAlign w:val="bottom"/>
            <w:tcBorders>
              <w:bottom w:val="single" w:sz="8" w:color="0000EE"/>
            </w:tcBorders>
            <w:gridSpan w:val="15"/>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STATEMENT ON FORWARD-LOOKING INFORMATION</w:t>
              </w:r>
            </w:hyperlink>
          </w:p>
        </w:tc>
        <w:tc>
          <w:tcPr>
            <w:tcW w:w="64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372"/>
        </w:trPr>
        <w:tc>
          <w:tcPr>
            <w:tcW w:w="306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PART I. FINANCIAL INFORMATION</w:t>
              </w:r>
            </w:hyperlink>
          </w:p>
        </w:tc>
        <w:tc>
          <w:tcPr>
            <w:tcW w:w="81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340" w:type="dxa"/>
            <w:vAlign w:val="bottom"/>
          </w:tcPr>
          <w:p>
            <w:pPr>
              <w:spacing w:after="0"/>
              <w:rPr>
                <w:sz w:val="21"/>
                <w:szCs w:val="21"/>
                <w:color w:val="auto"/>
              </w:rPr>
            </w:pPr>
          </w:p>
        </w:tc>
        <w:tc>
          <w:tcPr>
            <w:tcW w:w="29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ITEM 1. FINANCIAL STATEMENTS</w:t>
              </w:r>
            </w:hyperlink>
          </w:p>
        </w:tc>
        <w:tc>
          <w:tcPr>
            <w:tcW w:w="786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40" w:type="dxa"/>
            <w:vAlign w:val="bottom"/>
            <w:tcBorders>
              <w:bottom w:val="single" w:sz="8" w:color="0000EE"/>
            </w:tcBorders>
            <w:gridSpan w:val="16"/>
          </w:tcPr>
          <w:p>
            <w:pPr>
              <w:spacing w:after="0"/>
              <w:rPr>
                <w:rFonts w:ascii="Times New Roman" w:cs="Times New Roman" w:eastAsia="Times New Roman" w:hAnsi="Times New Roman"/>
                <w:sz w:val="18"/>
                <w:szCs w:val="18"/>
                <w:b w:val="1"/>
                <w:bCs w:val="1"/>
                <w:color w:val="0000EE"/>
                <w:w w:val="99"/>
              </w:rPr>
            </w:pPr>
            <w:hyperlink w:anchor="page14">
              <w:r>
                <w:rPr>
                  <w:rFonts w:ascii="Times New Roman" w:cs="Times New Roman" w:eastAsia="Times New Roman" w:hAnsi="Times New Roman"/>
                  <w:sz w:val="18"/>
                  <w:szCs w:val="18"/>
                  <w:b w:val="1"/>
                  <w:bCs w:val="1"/>
                  <w:color w:val="0000EE"/>
                  <w:w w:val="99"/>
                </w:rPr>
                <w:t>NOTES TO CONDENSED CONSOLIDATED FINANCIAL STATEMENTS (unaudited)</w:t>
              </w:r>
            </w:hyperlink>
          </w:p>
        </w:tc>
        <w:tc>
          <w:tcPr>
            <w:tcW w:w="326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14</w:t>
              </w:r>
            </w:hyperlink>
          </w:p>
        </w:tc>
      </w:tr>
      <w:tr>
        <w:trPr>
          <w:trHeight w:val="250"/>
        </w:trPr>
        <w:tc>
          <w:tcPr>
            <w:tcW w:w="340" w:type="dxa"/>
            <w:vAlign w:val="bottom"/>
          </w:tcPr>
          <w:p>
            <w:pPr>
              <w:spacing w:after="0"/>
              <w:rPr>
                <w:sz w:val="21"/>
                <w:szCs w:val="21"/>
                <w:color w:val="auto"/>
              </w:rPr>
            </w:pPr>
          </w:p>
        </w:tc>
        <w:tc>
          <w:tcPr>
            <w:tcW w:w="880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ITEM 2. MANAGEMENT’S DISCUSSION AND ANALYSIS OF FINANCIAL CONDITION AND RESULTS OF</w:t>
              </w:r>
            </w:hyperlink>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7"/>
              </w:rPr>
            </w:pPr>
            <w:hyperlink w:anchor="page34">
              <w:r>
                <w:rPr>
                  <w:rFonts w:ascii="Times New Roman" w:cs="Times New Roman" w:eastAsia="Times New Roman" w:hAnsi="Times New Roman"/>
                  <w:sz w:val="18"/>
                  <w:szCs w:val="18"/>
                  <w:b w:val="1"/>
                  <w:bCs w:val="1"/>
                  <w:color w:val="0000EE"/>
                  <w:w w:val="97"/>
                </w:rPr>
                <w:t>OPERATIONS</w:t>
              </w:r>
            </w:hyperlink>
          </w:p>
        </w:tc>
        <w:tc>
          <w:tcPr>
            <w:tcW w:w="8920" w:type="dxa"/>
            <w:vAlign w:val="bottom"/>
            <w:gridSpan w:val="1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250"/>
        </w:trPr>
        <w:tc>
          <w:tcPr>
            <w:tcW w:w="340" w:type="dxa"/>
            <w:vAlign w:val="bottom"/>
          </w:tcPr>
          <w:p>
            <w:pPr>
              <w:spacing w:after="0"/>
              <w:rPr>
                <w:sz w:val="21"/>
                <w:szCs w:val="21"/>
                <w:color w:val="auto"/>
              </w:rPr>
            </w:pPr>
          </w:p>
        </w:tc>
        <w:tc>
          <w:tcPr>
            <w:tcW w:w="10840" w:type="dxa"/>
            <w:vAlign w:val="bottom"/>
            <w:gridSpan w:val="19"/>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ITEM 3. 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50"/>
        </w:trPr>
        <w:tc>
          <w:tcPr>
            <w:tcW w:w="340" w:type="dxa"/>
            <w:vAlign w:val="bottom"/>
          </w:tcPr>
          <w:p>
            <w:pPr>
              <w:spacing w:after="0"/>
              <w:rPr>
                <w:sz w:val="21"/>
                <w:szCs w:val="21"/>
                <w:color w:val="auto"/>
              </w:rPr>
            </w:pPr>
          </w:p>
        </w:tc>
        <w:tc>
          <w:tcPr>
            <w:tcW w:w="7160" w:type="dxa"/>
            <w:vAlign w:val="bottom"/>
            <w:tcBorders>
              <w:top w:val="single" w:sz="8" w:color="0000EE"/>
            </w:tcBorders>
            <w:gridSpan w:val="16"/>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ITEM 4. CONTROLS AND PROCEDURES</w:t>
              </w:r>
            </w:hyperlink>
          </w:p>
        </w:tc>
        <w:tc>
          <w:tcPr>
            <w:tcW w:w="3680" w:type="dxa"/>
            <w:vAlign w:val="bottom"/>
            <w:gridSpan w:val="3"/>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0"/>
        </w:trPr>
        <w:tc>
          <w:tcPr>
            <w:tcW w:w="3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27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7"/>
              </w:rPr>
            </w:pPr>
            <w:hyperlink w:anchor="page44">
              <w:r>
                <w:rPr>
                  <w:rFonts w:ascii="Times New Roman" w:cs="Times New Roman" w:eastAsia="Times New Roman" w:hAnsi="Times New Roman"/>
                  <w:sz w:val="18"/>
                  <w:szCs w:val="18"/>
                  <w:b w:val="1"/>
                  <w:bCs w:val="1"/>
                  <w:color w:val="0000EE"/>
                  <w:w w:val="97"/>
                </w:rPr>
                <w:t>PART II. OTHER INFORMATION</w:t>
              </w:r>
            </w:hyperlink>
          </w:p>
        </w:tc>
        <w:tc>
          <w:tcPr>
            <w:tcW w:w="842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50"/>
        </w:trPr>
        <w:tc>
          <w:tcPr>
            <w:tcW w:w="340" w:type="dxa"/>
            <w:vAlign w:val="bottom"/>
          </w:tcPr>
          <w:p>
            <w:pPr>
              <w:spacing w:after="0"/>
              <w:rPr>
                <w:sz w:val="21"/>
                <w:szCs w:val="21"/>
                <w:color w:val="auto"/>
              </w:rPr>
            </w:pPr>
          </w:p>
        </w:tc>
        <w:tc>
          <w:tcPr>
            <w:tcW w:w="10840" w:type="dxa"/>
            <w:vAlign w:val="bottom"/>
            <w:gridSpan w:val="19"/>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ITEM 1. 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50"/>
        </w:trPr>
        <w:tc>
          <w:tcPr>
            <w:tcW w:w="340" w:type="dxa"/>
            <w:vAlign w:val="bottom"/>
          </w:tcPr>
          <w:p>
            <w:pPr>
              <w:spacing w:after="0"/>
              <w:rPr>
                <w:sz w:val="21"/>
                <w:szCs w:val="21"/>
                <w:color w:val="auto"/>
              </w:rPr>
            </w:pPr>
          </w:p>
        </w:tc>
        <w:tc>
          <w:tcPr>
            <w:tcW w:w="2700" w:type="dxa"/>
            <w:vAlign w:val="bottom"/>
            <w:tcBorders>
              <w:top w:val="single" w:sz="8" w:color="0000EE"/>
            </w:tcBorders>
            <w:gridSpan w:val="7"/>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ITEM 1A. RISK FACTORS</w:t>
              </w:r>
            </w:hyperlink>
          </w:p>
        </w:tc>
        <w:tc>
          <w:tcPr>
            <w:tcW w:w="8140" w:type="dxa"/>
            <w:vAlign w:val="bottom"/>
            <w:gridSpan w:val="1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0"/>
        </w:trPr>
        <w:tc>
          <w:tcPr>
            <w:tcW w:w="3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840" w:type="dxa"/>
            <w:vAlign w:val="bottom"/>
            <w:gridSpan w:val="19"/>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ITEM 2. 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50"/>
        </w:trPr>
        <w:tc>
          <w:tcPr>
            <w:tcW w:w="340" w:type="dxa"/>
            <w:vAlign w:val="bottom"/>
          </w:tcPr>
          <w:p>
            <w:pPr>
              <w:spacing w:after="0"/>
              <w:rPr>
                <w:sz w:val="21"/>
                <w:szCs w:val="21"/>
                <w:color w:val="auto"/>
              </w:rPr>
            </w:pPr>
          </w:p>
        </w:tc>
        <w:tc>
          <w:tcPr>
            <w:tcW w:w="7100" w:type="dxa"/>
            <w:vAlign w:val="bottom"/>
            <w:tcBorders>
              <w:top w:val="single" w:sz="8" w:color="0000EE"/>
            </w:tcBorders>
            <w:gridSpan w:val="15"/>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ITEM 3. DEFAULTS UPON SENIOR SECURITIES</w:t>
              </w:r>
            </w:hyperlink>
          </w:p>
        </w:tc>
        <w:tc>
          <w:tcPr>
            <w:tcW w:w="3740" w:type="dxa"/>
            <w:vAlign w:val="bottom"/>
            <w:gridSpan w:val="4"/>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50"/>
        </w:trPr>
        <w:tc>
          <w:tcPr>
            <w:tcW w:w="340" w:type="dxa"/>
            <w:vAlign w:val="bottom"/>
          </w:tcPr>
          <w:p>
            <w:pPr>
              <w:spacing w:after="0"/>
              <w:rPr>
                <w:sz w:val="21"/>
                <w:szCs w:val="21"/>
                <w:color w:val="auto"/>
              </w:rPr>
            </w:pPr>
          </w:p>
        </w:tc>
        <w:tc>
          <w:tcPr>
            <w:tcW w:w="32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b w:val="1"/>
                <w:bCs w:val="1"/>
                <w:color w:val="0000EE"/>
                <w:w w:val="99"/>
              </w:rPr>
            </w:pPr>
            <w:hyperlink w:anchor="page44">
              <w:r>
                <w:rPr>
                  <w:rFonts w:ascii="Times New Roman" w:cs="Times New Roman" w:eastAsia="Times New Roman" w:hAnsi="Times New Roman"/>
                  <w:sz w:val="18"/>
                  <w:szCs w:val="18"/>
                  <w:b w:val="1"/>
                  <w:bCs w:val="1"/>
                  <w:color w:val="0000EE"/>
                  <w:w w:val="99"/>
                </w:rPr>
                <w:t>ITEM 4. MINE SAFETY DISCLOSURES</w:t>
              </w:r>
            </w:hyperlink>
          </w:p>
        </w:tc>
        <w:tc>
          <w:tcPr>
            <w:tcW w:w="780" w:type="dxa"/>
            <w:vAlign w:val="bottom"/>
            <w:tcBorders>
              <w:top w:val="single" w:sz="8" w:color="0000EE"/>
            </w:tcBorders>
            <w:gridSpan w:val="2"/>
          </w:tcPr>
          <w:p>
            <w:pPr>
              <w:spacing w:after="0"/>
              <w:rPr>
                <w:sz w:val="21"/>
                <w:szCs w:val="21"/>
                <w:color w:val="auto"/>
              </w:rPr>
            </w:pPr>
          </w:p>
        </w:tc>
        <w:tc>
          <w:tcPr>
            <w:tcW w:w="678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50"/>
        </w:trPr>
        <w:tc>
          <w:tcPr>
            <w:tcW w:w="340" w:type="dxa"/>
            <w:vAlign w:val="bottom"/>
          </w:tcPr>
          <w:p>
            <w:pPr>
              <w:spacing w:after="0"/>
              <w:rPr>
                <w:sz w:val="21"/>
                <w:szCs w:val="21"/>
                <w:color w:val="auto"/>
              </w:rPr>
            </w:pPr>
          </w:p>
        </w:tc>
        <w:tc>
          <w:tcPr>
            <w:tcW w:w="274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44">
              <w:r>
                <w:rPr>
                  <w:rFonts w:ascii="Times New Roman" w:cs="Times New Roman" w:eastAsia="Times New Roman" w:hAnsi="Times New Roman"/>
                  <w:sz w:val="18"/>
                  <w:szCs w:val="18"/>
                  <w:b w:val="1"/>
                  <w:bCs w:val="1"/>
                  <w:color w:val="0000EE"/>
                  <w:w w:val="99"/>
                </w:rPr>
                <w:t>ITEM 5. OTHER INFORMATION</w:t>
              </w:r>
            </w:hyperlink>
          </w:p>
        </w:tc>
        <w:tc>
          <w:tcPr>
            <w:tcW w:w="810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250"/>
        </w:trPr>
        <w:tc>
          <w:tcPr>
            <w:tcW w:w="340" w:type="dxa"/>
            <w:vAlign w:val="bottom"/>
          </w:tcPr>
          <w:p>
            <w:pPr>
              <w:spacing w:after="0"/>
              <w:rPr>
                <w:sz w:val="21"/>
                <w:szCs w:val="21"/>
                <w:color w:val="auto"/>
              </w:rPr>
            </w:pPr>
          </w:p>
        </w:tc>
        <w:tc>
          <w:tcPr>
            <w:tcW w:w="10840" w:type="dxa"/>
            <w:vAlign w:val="bottom"/>
            <w:gridSpan w:val="19"/>
          </w:tcPr>
          <w:p>
            <w:pPr>
              <w:spacing w:after="0"/>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ITEM 6. 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44</w:t>
              </w:r>
            </w:hyperlink>
          </w:p>
        </w:tc>
      </w:tr>
      <w:tr>
        <w:trPr>
          <w:trHeight w:val="250"/>
        </w:trPr>
        <w:tc>
          <w:tcPr>
            <w:tcW w:w="340" w:type="dxa"/>
            <w:vAlign w:val="bottom"/>
          </w:tcPr>
          <w:p>
            <w:pPr>
              <w:spacing w:after="0"/>
              <w:rPr>
                <w:sz w:val="21"/>
                <w:szCs w:val="21"/>
                <w:color w:val="auto"/>
              </w:rPr>
            </w:pPr>
          </w:p>
        </w:tc>
        <w:tc>
          <w:tcPr>
            <w:tcW w:w="1580" w:type="dxa"/>
            <w:vAlign w:val="bottom"/>
            <w:tcBorders>
              <w:top w:val="single" w:sz="8" w:color="0000EE"/>
            </w:tcBorders>
            <w:gridSpan w:val="3"/>
          </w:tcPr>
          <w:p>
            <w:pPr>
              <w:spacing w:after="0"/>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SIGNATURES</w:t>
              </w:r>
            </w:hyperlink>
          </w:p>
        </w:tc>
        <w:tc>
          <w:tcPr>
            <w:tcW w:w="9260" w:type="dxa"/>
            <w:vAlign w:val="bottom"/>
            <w:gridSpan w:val="1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966"/>
        </w:trPr>
        <w:tc>
          <w:tcPr>
            <w:tcW w:w="340" w:type="dxa"/>
            <w:vAlign w:val="bottom"/>
          </w:tcPr>
          <w:p>
            <w:pPr>
              <w:spacing w:after="0"/>
              <w:rPr>
                <w:sz w:val="24"/>
                <w:szCs w:val="24"/>
                <w:color w:val="auto"/>
              </w:rPr>
            </w:pPr>
          </w:p>
        </w:tc>
        <w:tc>
          <w:tcPr>
            <w:tcW w:w="1160" w:type="dxa"/>
            <w:vAlign w:val="bottom"/>
            <w:tcBorders>
              <w:top w:val="single" w:sz="8" w:color="0000EE"/>
            </w:tcBorders>
            <w:gridSpan w:val="2"/>
          </w:tcPr>
          <w:p>
            <w:pPr>
              <w:spacing w:after="0"/>
              <w:rPr>
                <w:sz w:val="24"/>
                <w:szCs w:val="24"/>
                <w:color w:val="auto"/>
              </w:rPr>
            </w:pPr>
          </w:p>
        </w:tc>
        <w:tc>
          <w:tcPr>
            <w:tcW w:w="5940" w:type="dxa"/>
            <w:vAlign w:val="bottom"/>
            <w:gridSpan w:val="13"/>
          </w:tcPr>
          <w:p>
            <w:pPr>
              <w:jc w:val="right"/>
              <w:ind w:right="17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7"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STATEMENT ON FORWARD-LOOKING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76" w:lineRule="exact"/>
        <w:rPr>
          <w:sz w:val="20"/>
          <w:szCs w:val="20"/>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the markets in which we operate;</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which could cause rents and occupancy rates to decline;</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63" w:lineRule="exact"/>
        <w:rPr>
          <w:rFonts w:ascii="Times New Roman" w:cs="Times New Roman" w:eastAsia="Times New Roman" w:hAnsi="Times New Roman"/>
          <w:sz w:val="18"/>
          <w:szCs w:val="18"/>
          <w:color w:val="auto"/>
        </w:rPr>
      </w:pPr>
    </w:p>
    <w:p>
      <w:pPr>
        <w:ind w:left="540" w:right="160" w:hanging="316"/>
        <w:spacing w:after="0" w:line="28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Times New Roman" w:cs="Times New Roman" w:eastAsia="Times New Roman" w:hAnsi="Times New Roman"/>
          <w:sz w:val="18"/>
          <w:szCs w:val="18"/>
          <w:color w:val="auto"/>
        </w:rPr>
      </w:pPr>
    </w:p>
    <w:p>
      <w:pPr>
        <w:ind w:left="540" w:right="460" w:hanging="316"/>
        <w:spacing w:after="0" w:line="28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interest rates;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 and</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disclaim any duty or obligation to update or revise any forward-looking statements set forth in this report to reflect new information, future events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76"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0"/>
        </w:trPr>
        <w:tc>
          <w:tcPr>
            <w:tcW w:w="760" w:type="dxa"/>
            <w:vAlign w:val="bottom"/>
          </w:tcPr>
          <w:p>
            <w:pPr>
              <w:spacing w:after="0"/>
              <w:rPr>
                <w:sz w:val="24"/>
                <w:szCs w:val="24"/>
                <w:color w:val="auto"/>
              </w:rPr>
            </w:pPr>
          </w:p>
        </w:tc>
        <w:tc>
          <w:tcPr>
            <w:tcW w:w="714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Extra Space Storage Inc.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0"/>
        </w:trPr>
        <w:tc>
          <w:tcPr>
            <w:tcW w:w="760" w:type="dxa"/>
            <w:vAlign w:val="bottom"/>
          </w:tcPr>
          <w:p>
            <w:pPr>
              <w:spacing w:after="0"/>
              <w:rPr>
                <w:sz w:val="19"/>
                <w:szCs w:val="19"/>
                <w:color w:val="auto"/>
              </w:rPr>
            </w:pPr>
          </w:p>
        </w:tc>
        <w:tc>
          <w:tcPr>
            <w:tcW w:w="714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760" w:type="dxa"/>
            <w:vAlign w:val="bottom"/>
          </w:tcPr>
          <w:p>
            <w:pPr>
              <w:spacing w:after="0"/>
              <w:rPr>
                <w:sz w:val="20"/>
                <w:szCs w:val="20"/>
                <w:color w:val="auto"/>
              </w:rPr>
            </w:pPr>
          </w:p>
        </w:tc>
        <w:tc>
          <w:tcPr>
            <w:tcW w:w="714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(amounts in thousands, except share data)</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16"/>
        </w:trPr>
        <w:tc>
          <w:tcPr>
            <w:tcW w:w="7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4"/>
        </w:trPr>
        <w:tc>
          <w:tcPr>
            <w:tcW w:w="76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5"/>
        </w:trPr>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7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Real estate assets,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7,665,567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7,491,831</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assets - 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Investments in unconsolidated real estate ventures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125,326</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57,496</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15,194</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141,388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158,131</w:t>
            </w:r>
          </w:p>
        </w:tc>
      </w:tr>
      <w:tr>
        <w:trPr>
          <w:trHeight w:val="237"/>
        </w:trPr>
        <w:tc>
          <w:tcPr>
            <w:tcW w:w="760" w:type="dxa"/>
            <w:vAlign w:val="bottom"/>
          </w:tcPr>
          <w:p>
            <w:pPr>
              <w:spacing w:after="0"/>
              <w:rPr>
                <w:sz w:val="20"/>
                <w:szCs w:val="20"/>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8,318,430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7,847,978</w:t>
            </w:r>
          </w:p>
        </w:tc>
      </w:tr>
      <w:tr>
        <w:trPr>
          <w:trHeight w:val="67"/>
        </w:trPr>
        <w:tc>
          <w:tcPr>
            <w:tcW w:w="790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 Noncontrolling Interests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Notes payable,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4,085,295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4,137,213</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Exchangeable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562,374</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Notes payable to trusts</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30,928</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Revolving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81,000</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distributions in unconsolidated real estate ventures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45,197</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101,461</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151,591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104,383</w:t>
            </w:r>
          </w:p>
        </w:tc>
      </w:tr>
      <w:tr>
        <w:trPr>
          <w:trHeight w:val="237"/>
        </w:trPr>
        <w:tc>
          <w:tcPr>
            <w:tcW w:w="760" w:type="dxa"/>
            <w:vAlign w:val="bottom"/>
          </w:tcPr>
          <w:p>
            <w:pPr>
              <w:spacing w:after="0"/>
              <w:rPr>
                <w:sz w:val="20"/>
                <w:szCs w:val="20"/>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5,410,441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5,062,556</w:t>
            </w:r>
          </w:p>
        </w:tc>
      </w:tr>
      <w:tr>
        <w:trPr>
          <w:trHeight w:val="27"/>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Noncontrolling Interests and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Extra Space Storage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or outstanding</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7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129,410,093 and 127,103,750 shares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1"/>
        </w:trPr>
        <w:tc>
          <w:tcPr>
            <w:tcW w:w="79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September 30, 2019 and December 31, 2018,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2,861,611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2,640,705</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34,650</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(262,902)</w:t>
            </w:r>
          </w:p>
        </w:tc>
      </w:tr>
      <w:tr>
        <w:trPr>
          <w:trHeight w:val="27"/>
        </w:trPr>
        <w:tc>
          <w:tcPr>
            <w:tcW w:w="76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Extra Space Storage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2,522,714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2,413,724</w:t>
            </w:r>
          </w:p>
        </w:tc>
      </w:tr>
      <w:tr>
        <w:trPr>
          <w:trHeight w:val="243"/>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Noncontrolling interest represented by Preferred Operating Partnership units,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153,096</w:t>
            </w:r>
          </w:p>
        </w:tc>
      </w:tr>
      <w:tr>
        <w:trPr>
          <w:trHeight w:val="27"/>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 in Operating Partnership, net and other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209,357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218,602</w:t>
            </w:r>
          </w:p>
        </w:tc>
      </w:tr>
      <w:tr>
        <w:trPr>
          <w:trHeight w:val="237"/>
        </w:trPr>
        <w:tc>
          <w:tcPr>
            <w:tcW w:w="760" w:type="dxa"/>
            <w:vAlign w:val="bottom"/>
          </w:tcPr>
          <w:p>
            <w:pPr>
              <w:spacing w:after="0"/>
              <w:rPr>
                <w:sz w:val="20"/>
                <w:szCs w:val="20"/>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noncontrolling interests and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2,907,989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2,785,422</w:t>
            </w:r>
          </w:p>
        </w:tc>
      </w:tr>
      <w:tr>
        <w:trPr>
          <w:trHeight w:val="27"/>
        </w:trPr>
        <w:tc>
          <w:tcPr>
            <w:tcW w:w="76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60" w:type="dxa"/>
            <w:vAlign w:val="bottom"/>
            <w:tcBorders>
              <w:bottom w:val="single" w:sz="8" w:color="CCEEFF"/>
            </w:tcBorders>
            <w:shd w:val="clear" w:color="auto" w:fill="CCEEFF"/>
          </w:tcPr>
          <w:p>
            <w:pPr>
              <w:spacing w:after="0"/>
              <w:rPr>
                <w:sz w:val="22"/>
                <w:szCs w:val="22"/>
                <w:color w:val="auto"/>
              </w:rPr>
            </w:pPr>
          </w:p>
        </w:tc>
        <w:tc>
          <w:tcPr>
            <w:tcW w:w="7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8,318,430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7,847,978</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7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rental</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290,917</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266,728</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841,504</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772,742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Tenant reinsurance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85,660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30,849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889,251</w:t>
            </w:r>
          </w:p>
        </w:tc>
        <w:tc>
          <w:tcPr>
            <w:tcW w:w="0" w:type="dxa"/>
            <w:vAlign w:val="bottom"/>
          </w:tcPr>
          <w:p>
            <w:pPr>
              <w:spacing w:after="0"/>
              <w:rPr>
                <w:sz w:val="1"/>
                <w:szCs w:val="1"/>
                <w:color w:val="auto"/>
              </w:rPr>
            </w:pPr>
          </w:p>
        </w:tc>
      </w:tr>
      <w:tr>
        <w:trPr>
          <w:trHeight w:val="231"/>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248,288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219,488</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Tenant reinsurance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18,798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62,822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155,924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153,362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503,545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457,032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30,807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470,313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463,026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(130,239)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equity component of</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exchangeable senior notes</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equity in earnings of unconsolidated real estate ventures and income tax</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117,343</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330,969</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333,259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real estate ventures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10,648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115,995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139,687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330,844</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337,830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108,087</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307,685</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313,827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Weighted average number of shares</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128,776,549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126,466,837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127,830,272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125,959,926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137,318,475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134,240,290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136,164,299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133,015,690</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5"/>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115,995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139,687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330,844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337,830</w:t>
            </w:r>
          </w:p>
        </w:tc>
      </w:tr>
      <w:tr>
        <w:trPr>
          <w:trHeight w:val="22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36,812</w:t>
            </w:r>
          </w:p>
        </w:tc>
      </w:tr>
      <w:tr>
        <w:trPr>
          <w:trHeight w:val="21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99,233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145,403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248,787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374,642</w:t>
            </w:r>
          </w:p>
        </w:tc>
      </w:tr>
      <w:tr>
        <w:trPr>
          <w:trHeight w:val="3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25,743</w:t>
            </w:r>
          </w:p>
        </w:tc>
      </w:tr>
      <w:tr>
        <w:trPr>
          <w:trHeight w:val="21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92,124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135,850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229,596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348,899</w:t>
            </w:r>
          </w:p>
        </w:tc>
      </w:tr>
      <w:tr>
        <w:trPr>
          <w:trHeight w:val="33"/>
        </w:trPr>
        <w:tc>
          <w:tcPr>
            <w:tcW w:w="7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0960"/>
          </w:cols>
          <w:pgMar w:left="480" w:top="11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2017</w:t>
      </w:r>
    </w:p>
    <w:p>
      <w:pPr>
        <w:spacing w:after="0" w:line="44" w:lineRule="exact"/>
        <w:rPr>
          <w:sz w:val="20"/>
          <w:szCs w:val="20"/>
          <w:color w:val="auto"/>
        </w:rPr>
      </w:pPr>
    </w:p>
    <w:p>
      <w:pPr>
        <w:ind w:left="180" w:right="24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upon the exercise of options</w:t>
      </w:r>
    </w:p>
    <w:p>
      <w:pPr>
        <w:spacing w:after="0" w:line="1" w:lineRule="exact"/>
        <w:rPr>
          <w:sz w:val="20"/>
          <w:szCs w:val="20"/>
          <w:color w:val="auto"/>
        </w:rPr>
      </w:pPr>
    </w:p>
    <w:p>
      <w:pPr>
        <w:ind w:left="20" w:right="420"/>
        <w:spacing w:after="0" w:line="402" w:lineRule="auto"/>
        <w:rPr>
          <w:sz w:val="20"/>
          <w:szCs w:val="20"/>
          <w:color w:val="auto"/>
        </w:rPr>
      </w:pPr>
      <w:r>
        <w:rPr>
          <w:rFonts w:ascii="Times New Roman" w:cs="Times New Roman" w:eastAsia="Times New Roman" w:hAnsi="Times New Roman"/>
          <w:sz w:val="14"/>
          <w:szCs w:val="14"/>
          <w:color w:val="auto"/>
        </w:rPr>
        <w:t>Restricted stock grants issued Restricted stock grants cancelled</w:t>
      </w:r>
    </w:p>
    <w:p>
      <w:pPr>
        <w:spacing w:after="0" w:line="1" w:lineRule="exact"/>
        <w:rPr>
          <w:sz w:val="20"/>
          <w:szCs w:val="20"/>
          <w:color w:val="auto"/>
        </w:rPr>
      </w:pPr>
    </w:p>
    <w:p>
      <w:pPr>
        <w:ind w:left="180" w:hanging="161"/>
        <w:spacing w:after="0" w:line="261" w:lineRule="auto"/>
        <w:rPr>
          <w:sz w:val="20"/>
          <w:szCs w:val="20"/>
          <w:color w:val="auto"/>
        </w:rPr>
      </w:pPr>
      <w:r>
        <w:rPr>
          <w:rFonts w:ascii="Times New Roman" w:cs="Times New Roman" w:eastAsia="Times New Roman" w:hAnsi="Times New Roman"/>
          <w:sz w:val="14"/>
          <w:szCs w:val="14"/>
          <w:color w:val="auto"/>
        </w:rPr>
        <w:t>Compensation expense related to stock-based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9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6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60" w:type="dxa"/>
            <w:vAlign w:val="bottom"/>
            <w:gridSpan w:val="2"/>
            <w:vMerge w:val="continue"/>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vMerge w:val="restart"/>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0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159,636</w:t>
            </w:r>
          </w:p>
        </w:tc>
        <w:tc>
          <w:tcPr>
            <w:tcW w:w="120" w:type="dxa"/>
            <w:vAlign w:val="bottom"/>
          </w:tcPr>
          <w:p>
            <w:pPr>
              <w:spacing w:after="0"/>
              <w:rPr>
                <w:sz w:val="21"/>
                <w:szCs w:val="21"/>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213,301</w:t>
            </w:r>
          </w:p>
        </w:tc>
        <w:tc>
          <w:tcPr>
            <w:tcW w:w="100" w:type="dxa"/>
            <w:vAlign w:val="bottom"/>
          </w:tcPr>
          <w:p>
            <w:pPr>
              <w:spacing w:after="0"/>
              <w:rPr>
                <w:sz w:val="21"/>
                <w:szCs w:val="21"/>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126,007,091</w:t>
            </w: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tcPr>
          <w:p>
            <w:pPr>
              <w:spacing w:after="0"/>
              <w:rPr>
                <w:sz w:val="21"/>
                <w:szCs w:val="21"/>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$2,569,485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33,290</w:t>
            </w:r>
          </w:p>
        </w:tc>
        <w:tc>
          <w:tcPr>
            <w:tcW w:w="12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  (253,284)</w:t>
            </w:r>
          </w:p>
        </w:tc>
        <w:tc>
          <w:tcPr>
            <w:tcW w:w="100" w:type="dxa"/>
            <w:vAlign w:val="bottom"/>
          </w:tcPr>
          <w:p>
            <w:pPr>
              <w:spacing w:after="0"/>
              <w:rPr>
                <w:sz w:val="21"/>
                <w:szCs w:val="21"/>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2,723,807</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31,136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-859155</wp:posOffset>
            </wp:positionV>
            <wp:extent cx="696341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3410" cy="171450"/>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-464820</wp:posOffset>
            </wp:positionV>
            <wp:extent cx="69634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3410" cy="171450"/>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-121920</wp:posOffset>
            </wp:positionV>
            <wp:extent cx="696341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3410" cy="2228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320" w:space="180"/>
            <w:col w:w="8460"/>
          </w:cols>
          <w:pgMar w:left="480" w:top="117" w:right="45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 of receivable for preferred</w:t>
            </w:r>
          </w:p>
        </w:tc>
        <w:tc>
          <w:tcPr>
            <w:tcW w:w="8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3"/>
                <w:szCs w:val="13"/>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49"/>
        </w:trPr>
        <w:tc>
          <w:tcPr>
            <w:tcW w:w="2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units pledged as collateral 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Redemption of Operating Partnership</w:t>
            </w:r>
          </w:p>
        </w:tc>
        <w:tc>
          <w:tcPr>
            <w:tcW w:w="980" w:type="dxa"/>
            <w:vAlign w:val="bottom"/>
            <w:gridSpan w:val="2"/>
            <w:shd w:val="clear" w:color="auto" w:fill="CCEEFF"/>
          </w:tcPr>
          <w:p>
            <w:pPr>
              <w:jc w:val="right"/>
              <w:ind w:righ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 for cash</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Noncontrolling interest in consolidated</w:t>
            </w:r>
          </w:p>
        </w:tc>
        <w:tc>
          <w:tcPr>
            <w:tcW w:w="980" w:type="dxa"/>
            <w:vAlign w:val="bottom"/>
            <w:gridSpan w:val="2"/>
          </w:tcPr>
          <w:p>
            <w:pPr>
              <w:jc w:val="right"/>
              <w:ind w:right="3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3"/>
                <w:szCs w:val="13"/>
                <w:color w:val="auto"/>
              </w:rPr>
            </w:pPr>
          </w:p>
        </w:tc>
        <w:tc>
          <w:tcPr>
            <w:tcW w:w="106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line="153"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3"/>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joint venture</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Repurchase of equity portion of 2013</w:t>
            </w:r>
          </w:p>
        </w:tc>
        <w:tc>
          <w:tcPr>
            <w:tcW w:w="980" w:type="dxa"/>
            <w:vAlign w:val="bottom"/>
            <w:gridSpan w:val="2"/>
            <w:shd w:val="clear" w:color="auto" w:fill="CCEEFF"/>
          </w:tcPr>
          <w:p>
            <w:pPr>
              <w:jc w:val="right"/>
              <w:ind w:righ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(21,000)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(21,000)</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exchangeable senior notes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3,390</w:t>
            </w:r>
          </w:p>
        </w:tc>
        <w:tc>
          <w:tcPr>
            <w:tcW w:w="1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88,256</w:t>
            </w:r>
          </w:p>
        </w:tc>
        <w:tc>
          <w:tcPr>
            <w:tcW w:w="1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95,430</w:t>
            </w:r>
          </w:p>
        </w:tc>
        <w:tc>
          <w:tcPr>
            <w:tcW w:w="0" w:type="dxa"/>
            <w:vAlign w:val="bottom"/>
          </w:tcPr>
          <w:p>
            <w:pPr>
              <w:spacing w:after="0"/>
              <w:rPr>
                <w:sz w:val="1"/>
                <w:szCs w:val="1"/>
                <w:color w:val="auto"/>
              </w:rPr>
            </w:pPr>
          </w:p>
        </w:tc>
      </w:tr>
      <w:tr>
        <w:trPr>
          <w:trHeight w:val="78"/>
        </w:trPr>
        <w:tc>
          <w:tcPr>
            <w:tcW w:w="2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21,981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23,063</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Distributions to Operating Partnership</w:t>
            </w:r>
          </w:p>
        </w:tc>
        <w:tc>
          <w:tcPr>
            <w:tcW w:w="86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(3,488)</w:t>
            </w:r>
          </w:p>
        </w:tc>
        <w:tc>
          <w:tcPr>
            <w:tcW w:w="120" w:type="dxa"/>
            <w:vAlign w:val="bottom"/>
          </w:tcPr>
          <w:p>
            <w:pPr>
              <w:spacing w:after="0"/>
              <w:rPr>
                <w:sz w:val="13"/>
                <w:szCs w:val="13"/>
                <w:color w:val="auto"/>
              </w:rPr>
            </w:pPr>
          </w:p>
        </w:tc>
        <w:tc>
          <w:tcPr>
            <w:tcW w:w="86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(4,421)</w:t>
            </w:r>
          </w:p>
        </w:tc>
        <w:tc>
          <w:tcPr>
            <w:tcW w:w="100" w:type="dxa"/>
            <w:vAlign w:val="bottom"/>
          </w:tcPr>
          <w:p>
            <w:pPr>
              <w:spacing w:after="0"/>
              <w:rPr>
                <w:sz w:val="13"/>
                <w:szCs w:val="13"/>
                <w:color w:val="auto"/>
              </w:rPr>
            </w:pPr>
          </w:p>
        </w:tc>
        <w:tc>
          <w:tcPr>
            <w:tcW w:w="54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(7,909)</w:t>
            </w:r>
          </w:p>
        </w:tc>
        <w:tc>
          <w:tcPr>
            <w:tcW w:w="0" w:type="dxa"/>
            <w:vAlign w:val="bottom"/>
          </w:tcPr>
          <w:p>
            <w:pPr>
              <w:spacing w:after="0"/>
              <w:rPr>
                <w:sz w:val="1"/>
                <w:szCs w:val="1"/>
                <w:color w:val="auto"/>
              </w:rPr>
            </w:pPr>
          </w:p>
        </w:tc>
      </w:tr>
      <w:tr>
        <w:trPr>
          <w:trHeight w:val="193"/>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units held by noncontrolling interests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Dividends paid on common stock at $0.78</w:t>
            </w:r>
          </w:p>
        </w:tc>
        <w:tc>
          <w:tcPr>
            <w:tcW w:w="980" w:type="dxa"/>
            <w:vAlign w:val="bottom"/>
            <w:gridSpan w:val="2"/>
            <w:shd w:val="clear" w:color="auto" w:fill="CCEEFF"/>
          </w:tcPr>
          <w:p>
            <w:pPr>
              <w:jc w:val="right"/>
              <w:ind w:righ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(98,327)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(98,327)</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2018</w:t>
            </w: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160,177</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212,476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126,068,982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$2,550,578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55,271</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  (263,355)</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2,716,648</w:t>
            </w: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stock upon the</w:t>
            </w: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23,050</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98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0960"/>
          </w:cols>
          <w:pgMar w:left="480" w:top="117" w:right="459" w:bottom="1440" w:gutter="0" w:footer="0" w:header="0"/>
          <w:type w:val="continuous"/>
        </w:sectPr>
      </w:pPr>
    </w:p>
    <w:p>
      <w:pPr>
        <w:ind w:left="20" w:right="520"/>
        <w:spacing w:after="0" w:line="402" w:lineRule="auto"/>
        <w:rPr>
          <w:sz w:val="20"/>
          <w:szCs w:val="20"/>
          <w:color w:val="auto"/>
        </w:rPr>
      </w:pPr>
      <w:r>
        <w:rPr>
          <w:rFonts w:ascii="Times New Roman" w:cs="Times New Roman" w:eastAsia="Times New Roman" w:hAnsi="Times New Roman"/>
          <w:sz w:val="14"/>
          <w:szCs w:val="14"/>
          <w:color w:val="auto"/>
        </w:rPr>
        <w:t>Restricted stock grants issued Restricted stock grants cancelled</w:t>
      </w:r>
    </w:p>
    <w:p>
      <w:pPr>
        <w:spacing w:after="0" w:line="1" w:lineRule="exact"/>
        <w:rPr>
          <w:sz w:val="20"/>
          <w:szCs w:val="20"/>
          <w:color w:val="auto"/>
        </w:rPr>
      </w:pPr>
    </w:p>
    <w:p>
      <w:pPr>
        <w:ind w:left="180" w:right="100" w:hanging="161"/>
        <w:spacing w:after="0" w:line="262" w:lineRule="auto"/>
        <w:rPr>
          <w:sz w:val="20"/>
          <w:szCs w:val="20"/>
          <w:color w:val="auto"/>
        </w:rPr>
      </w:pPr>
      <w:r>
        <w:rPr>
          <w:rFonts w:ascii="Times New Roman" w:cs="Times New Roman" w:eastAsia="Times New Roman" w:hAnsi="Times New Roman"/>
          <w:sz w:val="14"/>
          <w:szCs w:val="14"/>
          <w:color w:val="auto"/>
        </w:rPr>
        <w:t>Compensation expense related to stock-based awards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50,334</w:t>
            </w: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(6,311)</w:t>
            </w: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3,116</w:t>
            </w:r>
          </w:p>
        </w:tc>
        <w:tc>
          <w:tcPr>
            <w:tcW w:w="1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-293370</wp:posOffset>
            </wp:positionV>
            <wp:extent cx="69634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2420" w:space="720"/>
            <w:col w:w="7820"/>
          </w:cols>
          <w:pgMar w:left="480" w:top="117" w:right="45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Issuance of Operating Partnership units in</w:t>
            </w:r>
          </w:p>
        </w:tc>
        <w:tc>
          <w:tcPr>
            <w:tcW w:w="980" w:type="dxa"/>
            <w:vAlign w:val="bottom"/>
            <w:gridSpan w:val="2"/>
            <w:shd w:val="clear" w:color="auto" w:fill="CCEEFF"/>
          </w:tcPr>
          <w:p>
            <w:pPr>
              <w:jc w:val="right"/>
              <w:ind w:right="3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28"/>
              <w:spacing w:after="0" w:line="148" w:lineRule="exact"/>
              <w:rPr>
                <w:sz w:val="20"/>
                <w:szCs w:val="20"/>
                <w:color w:val="auto"/>
              </w:rPr>
            </w:pPr>
            <w:r>
              <w:rPr>
                <w:rFonts w:ascii="Times New Roman" w:cs="Times New Roman" w:eastAsia="Times New Roman" w:hAnsi="Times New Roman"/>
                <w:sz w:val="14"/>
                <w:szCs w:val="14"/>
                <w:color w:val="auto"/>
              </w:rPr>
              <w:t>1,877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28"/>
              <w:spacing w:after="0" w:line="148" w:lineRule="exact"/>
              <w:rPr>
                <w:sz w:val="20"/>
                <w:szCs w:val="20"/>
                <w:color w:val="auto"/>
              </w:rPr>
            </w:pPr>
            <w:r>
              <w:rPr>
                <w:rFonts w:ascii="Times New Roman" w:cs="Times New Roman" w:eastAsia="Times New Roman" w:hAnsi="Times New Roman"/>
                <w:sz w:val="14"/>
                <w:szCs w:val="14"/>
                <w:color w:val="auto"/>
              </w:rPr>
              <w:t>1,877</w:t>
            </w:r>
          </w:p>
        </w:tc>
      </w:tr>
      <w:tr>
        <w:trPr>
          <w:trHeight w:val="198"/>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conjunction with acquisitions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3"/>
        </w:trPr>
        <w:tc>
          <w:tcPr>
            <w:tcW w:w="26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Redemption of Operating Partnership</w:t>
            </w:r>
          </w:p>
        </w:tc>
        <w:tc>
          <w:tcPr>
            <w:tcW w:w="980" w:type="dxa"/>
            <w:vAlign w:val="bottom"/>
            <w:gridSpan w:val="2"/>
          </w:tcPr>
          <w:p>
            <w:pPr>
              <w:jc w:val="right"/>
              <w:ind w:right="3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3"/>
                <w:szCs w:val="13"/>
                <w:color w:val="auto"/>
              </w:rPr>
            </w:pPr>
          </w:p>
        </w:tc>
        <w:tc>
          <w:tcPr>
            <w:tcW w:w="54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8"/>
              <w:spacing w:after="0" w:line="153"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3"/>
                <w:szCs w:val="13"/>
                <w:color w:val="auto"/>
              </w:rPr>
            </w:pPr>
          </w:p>
        </w:tc>
        <w:tc>
          <w:tcPr>
            <w:tcW w:w="62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8"/>
              <w:spacing w:after="0" w:line="153" w:lineRule="exact"/>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93"/>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units for stock</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3,492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95,153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102,713</w:t>
            </w:r>
          </w:p>
        </w:tc>
      </w:tr>
      <w:tr>
        <w:trPr>
          <w:trHeight w:val="78"/>
        </w:trPr>
        <w:tc>
          <w:tcPr>
            <w:tcW w:w="26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7,659</w:t>
            </w:r>
          </w:p>
        </w:tc>
        <w:tc>
          <w:tcPr>
            <w:tcW w:w="1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8,033</w:t>
            </w:r>
          </w:p>
        </w:tc>
      </w:tr>
      <w:tr>
        <w:trPr>
          <w:trHeight w:val="78"/>
        </w:trPr>
        <w:tc>
          <w:tcPr>
            <w:tcW w:w="2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Distributions to Operating Partnership</w:t>
            </w:r>
          </w:p>
        </w:tc>
        <w:tc>
          <w:tcPr>
            <w:tcW w:w="860" w:type="dxa"/>
            <w:vAlign w:val="bottom"/>
            <w:shd w:val="clear" w:color="auto" w:fill="CCEEFF"/>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(3,615)</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(4,853)</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(8,468)</w:t>
            </w:r>
          </w:p>
        </w:tc>
      </w:tr>
      <w:tr>
        <w:trPr>
          <w:trHeight w:val="198"/>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 held by noncontrolling interests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3"/>
        </w:trPr>
        <w:tc>
          <w:tcPr>
            <w:tcW w:w="26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Dividends paid on common stock at $0.86</w:t>
            </w:r>
          </w:p>
        </w:tc>
        <w:tc>
          <w:tcPr>
            <w:tcW w:w="980" w:type="dxa"/>
            <w:vAlign w:val="bottom"/>
            <w:gridSpan w:val="2"/>
          </w:tcPr>
          <w:p>
            <w:pPr>
              <w:jc w:val="right"/>
              <w:ind w:right="3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(108,486)</w:t>
            </w:r>
          </w:p>
        </w:tc>
        <w:tc>
          <w:tcPr>
            <w:tcW w:w="100" w:type="dxa"/>
            <w:vAlign w:val="bottom"/>
          </w:tcPr>
          <w:p>
            <w:pPr>
              <w:spacing w:after="0"/>
              <w:rPr>
                <w:sz w:val="13"/>
                <w:szCs w:val="13"/>
                <w:color w:val="auto"/>
              </w:rPr>
            </w:pPr>
          </w:p>
        </w:tc>
        <w:tc>
          <w:tcPr>
            <w:tcW w:w="10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(108,486)</w:t>
            </w:r>
          </w:p>
        </w:tc>
      </w:tr>
      <w:tr>
        <w:trPr>
          <w:trHeight w:val="193"/>
        </w:trPr>
        <w:tc>
          <w:tcPr>
            <w:tcW w:w="2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2018</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160,104</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213,509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126,146,055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$2,554,447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62,930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(276,688)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2,715,804</w:t>
            </w: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80" w:top="117" w:right="45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0960"/>
          </w:cols>
          <w:pgMar w:left="480" w:top="11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60"/>
        <w:spacing w:after="0" w:line="402" w:lineRule="auto"/>
        <w:rPr>
          <w:sz w:val="20"/>
          <w:szCs w:val="20"/>
          <w:color w:val="auto"/>
        </w:rPr>
      </w:pPr>
      <w:r>
        <w:rPr>
          <w:rFonts w:ascii="Times New Roman" w:cs="Times New Roman" w:eastAsia="Times New Roman" w:hAnsi="Times New Roman"/>
          <w:sz w:val="14"/>
          <w:szCs w:val="14"/>
          <w:color w:val="auto"/>
        </w:rPr>
        <w:t>Restricted stock grants issued Restricted stock grants cancelled</w:t>
      </w:r>
    </w:p>
    <w:p>
      <w:pPr>
        <w:spacing w:after="0" w:line="1" w:lineRule="exact"/>
        <w:rPr>
          <w:sz w:val="20"/>
          <w:szCs w:val="20"/>
          <w:color w:val="auto"/>
        </w:rPr>
      </w:pPr>
    </w:p>
    <w:p>
      <w:pPr>
        <w:ind w:left="180" w:hanging="161"/>
        <w:spacing w:after="0" w:line="262" w:lineRule="auto"/>
        <w:rPr>
          <w:sz w:val="20"/>
          <w:szCs w:val="20"/>
          <w:color w:val="auto"/>
        </w:rPr>
      </w:pPr>
      <w:r>
        <w:rPr>
          <w:rFonts w:ascii="Times New Roman" w:cs="Times New Roman" w:eastAsia="Times New Roman" w:hAnsi="Times New Roman"/>
          <w:sz w:val="14"/>
          <w:szCs w:val="14"/>
          <w:color w:val="auto"/>
        </w:rPr>
        <w:t>Issuance of common stock, net of offering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gridSpan w:val="2"/>
            <w:vMerge w:val="continue"/>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2"/>
            <w:vMerge w:val="continue"/>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restart"/>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343,251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33,777</w:t>
            </w:r>
          </w:p>
        </w:tc>
        <w:tc>
          <w:tcPr>
            <w:tcW w:w="100" w:type="dxa"/>
            <w:vAlign w:val="bottom"/>
          </w:tcPr>
          <w:p>
            <w:pPr>
              <w:spacing w:after="0"/>
              <w:rPr>
                <w:sz w:val="23"/>
                <w:szCs w:val="23"/>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-293370</wp:posOffset>
            </wp:positionV>
            <wp:extent cx="69634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1960" w:space="480"/>
            <w:col w:w="8520"/>
          </w:cols>
          <w:pgMar w:left="480" w:top="117" w:right="45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5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Compensation expense related to stock-</w:t>
            </w:r>
          </w:p>
        </w:tc>
        <w:tc>
          <w:tcPr>
            <w:tcW w:w="96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8"/>
              <w:spacing w:after="0" w:line="148" w:lineRule="exact"/>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28"/>
              <w:spacing w:after="0" w:line="148" w:lineRule="exact"/>
              <w:rPr>
                <w:sz w:val="20"/>
                <w:szCs w:val="20"/>
                <w:color w:val="auto"/>
              </w:rPr>
            </w:pPr>
            <w:r>
              <w:rPr>
                <w:rFonts w:ascii="Times New Roman" w:cs="Times New Roman" w:eastAsia="Times New Roman" w:hAnsi="Times New Roman"/>
                <w:sz w:val="14"/>
                <w:szCs w:val="14"/>
                <w:color w:val="auto"/>
              </w:rPr>
              <w:t>2,613</w:t>
            </w:r>
          </w:p>
        </w:tc>
      </w:tr>
      <w:tr>
        <w:trPr>
          <w:trHeight w:val="198"/>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3"/>
        </w:trPr>
        <w:tc>
          <w:tcPr>
            <w:tcW w:w="25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Redemption of Operating Partnership</w:t>
            </w:r>
          </w:p>
        </w:tc>
        <w:tc>
          <w:tcPr>
            <w:tcW w:w="96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line="153" w:lineRule="exact"/>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8"/>
              <w:spacing w:after="0" w:line="153" w:lineRule="exact"/>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93"/>
        </w:trPr>
        <w:tc>
          <w:tcPr>
            <w:tcW w:w="2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units for stock</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25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Repurchase of equity portion of 2013</w:t>
            </w:r>
          </w:p>
        </w:tc>
        <w:tc>
          <w:tcPr>
            <w:tcW w:w="96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(10,251)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(10,251)</w:t>
            </w:r>
          </w:p>
        </w:tc>
      </w:tr>
      <w:tr>
        <w:trPr>
          <w:trHeight w:val="198"/>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exchangeable senior notes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5,547</w:t>
            </w:r>
          </w:p>
        </w:tc>
        <w:tc>
          <w:tcPr>
            <w:tcW w:w="12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130,418</w:t>
            </w:r>
          </w:p>
        </w:tc>
        <w:tc>
          <w:tcPr>
            <w:tcW w:w="1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139,687</w:t>
            </w:r>
          </w:p>
        </w:tc>
      </w:tr>
      <w:tr>
        <w:trPr>
          <w:trHeight w:val="78"/>
        </w:trPr>
        <w:tc>
          <w:tcPr>
            <w:tcW w:w="2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5,432</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5,716</w:t>
            </w:r>
          </w:p>
        </w:tc>
      </w:tr>
      <w:tr>
        <w:trPr>
          <w:trHeight w:val="78"/>
        </w:trPr>
        <w:tc>
          <w:tcPr>
            <w:tcW w:w="25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53"/>
        </w:trPr>
        <w:tc>
          <w:tcPr>
            <w:tcW w:w="25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Distributions to Operating Partnership</w:t>
            </w:r>
          </w:p>
        </w:tc>
        <w:tc>
          <w:tcPr>
            <w:tcW w:w="86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(3,616)</w:t>
            </w:r>
          </w:p>
        </w:tc>
        <w:tc>
          <w:tcPr>
            <w:tcW w:w="100" w:type="dxa"/>
            <w:vAlign w:val="bottom"/>
          </w:tcPr>
          <w:p>
            <w:pPr>
              <w:spacing w:after="0"/>
              <w:rPr>
                <w:sz w:val="13"/>
                <w:szCs w:val="13"/>
                <w:color w:val="auto"/>
              </w:rPr>
            </w:pPr>
          </w:p>
        </w:tc>
        <w:tc>
          <w:tcPr>
            <w:tcW w:w="86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(4,844)</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(8,460)</w:t>
            </w:r>
          </w:p>
        </w:tc>
      </w:tr>
      <w:tr>
        <w:trPr>
          <w:trHeight w:val="193"/>
        </w:trPr>
        <w:tc>
          <w:tcPr>
            <w:tcW w:w="2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units held by noncontrolling interests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25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Dividends paid on common stock at</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(108,795)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(108,795)</w:t>
            </w:r>
          </w:p>
        </w:tc>
      </w:tr>
      <w:tr>
        <w:trPr>
          <w:trHeight w:val="193"/>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$0.86 per share</w:t>
            </w: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r>
        <w:trPr>
          <w:trHeight w:val="242"/>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2018</w:t>
            </w: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160,250</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  213,885</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126,504,802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$2,581,158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68,362</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  (255,065)</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2,770,094</w:t>
            </w:r>
          </w:p>
        </w:tc>
      </w:tr>
      <w:tr>
        <w:trPr>
          <w:trHeight w:val="20"/>
        </w:trPr>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80" w:top="117" w:right="4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Balances at December 31, 2018</w:t>
      </w:r>
    </w:p>
    <w:p>
      <w:pPr>
        <w:spacing w:after="0" w:line="44" w:lineRule="exact"/>
        <w:rPr>
          <w:sz w:val="20"/>
          <w:szCs w:val="20"/>
          <w:color w:val="auto"/>
        </w:rPr>
      </w:pPr>
    </w:p>
    <w:p>
      <w:pPr>
        <w:ind w:left="20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upon the exercise of options</w:t>
      </w:r>
    </w:p>
    <w:p>
      <w:pPr>
        <w:spacing w:after="0" w:line="1" w:lineRule="exact"/>
        <w:rPr>
          <w:sz w:val="20"/>
          <w:szCs w:val="20"/>
          <w:color w:val="auto"/>
        </w:rPr>
      </w:pPr>
    </w:p>
    <w:p>
      <w:pPr>
        <w:ind w:left="40" w:right="840"/>
        <w:spacing w:after="0" w:line="402" w:lineRule="auto"/>
        <w:rPr>
          <w:sz w:val="20"/>
          <w:szCs w:val="20"/>
          <w:color w:val="auto"/>
        </w:rPr>
      </w:pPr>
      <w:r>
        <w:rPr>
          <w:rFonts w:ascii="Times New Roman" w:cs="Times New Roman" w:eastAsia="Times New Roman" w:hAnsi="Times New Roman"/>
          <w:sz w:val="14"/>
          <w:szCs w:val="14"/>
          <w:color w:val="auto"/>
        </w:rPr>
        <w:t>Restricted stock grants issued Restricted stock grants cancelled</w:t>
      </w:r>
    </w:p>
    <w:p>
      <w:pPr>
        <w:spacing w:after="0" w:line="1" w:lineRule="exact"/>
        <w:rPr>
          <w:sz w:val="20"/>
          <w:szCs w:val="20"/>
          <w:color w:val="auto"/>
        </w:rPr>
      </w:pPr>
    </w:p>
    <w:p>
      <w:pPr>
        <w:ind w:left="200" w:right="100" w:hanging="161"/>
        <w:spacing w:after="0" w:line="261" w:lineRule="auto"/>
        <w:rPr>
          <w:sz w:val="20"/>
          <w:szCs w:val="20"/>
          <w:color w:val="auto"/>
        </w:rPr>
      </w:pPr>
      <w:r>
        <w:rPr>
          <w:rFonts w:ascii="Times New Roman" w:cs="Times New Roman" w:eastAsia="Times New Roman" w:hAnsi="Times New Roman"/>
          <w:sz w:val="14"/>
          <w:szCs w:val="14"/>
          <w:color w:val="auto"/>
        </w:rPr>
        <w:t>Compensation expense related to stock-based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5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860" w:type="dxa"/>
            <w:vAlign w:val="bottom"/>
          </w:tcPr>
          <w:p>
            <w:pPr>
              <w:spacing w:after="0"/>
              <w:rPr>
                <w:sz w:val="16"/>
                <w:szCs w:val="16"/>
                <w:color w:val="auto"/>
              </w:rPr>
            </w:pPr>
          </w:p>
        </w:tc>
        <w:tc>
          <w:tcPr>
            <w:tcW w:w="390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9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2"/>
            <w:vMerge w:val="continue"/>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restart"/>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5"/>
        </w:trPr>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153,096</w:t>
            </w:r>
          </w:p>
        </w:tc>
        <w:tc>
          <w:tcPr>
            <w:tcW w:w="1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218,362</w:t>
            </w:r>
          </w:p>
        </w:tc>
        <w:tc>
          <w:tcPr>
            <w:tcW w:w="120" w:type="dxa"/>
            <w:vAlign w:val="bottom"/>
          </w:tcPr>
          <w:p>
            <w:pPr>
              <w:spacing w:after="0"/>
              <w:rPr>
                <w:sz w:val="21"/>
                <w:szCs w:val="21"/>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127,103,750</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$ 1,271</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$2,640,705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34,650</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  (262,902)</w:t>
            </w:r>
          </w:p>
        </w:tc>
        <w:tc>
          <w:tcPr>
            <w:tcW w:w="100" w:type="dxa"/>
            <w:vAlign w:val="bottom"/>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2,785,422</w:t>
            </w:r>
          </w:p>
        </w:tc>
        <w:tc>
          <w:tcPr>
            <w:tcW w:w="0" w:type="dxa"/>
            <w:vAlign w:val="bottom"/>
          </w:tcPr>
          <w:p>
            <w:pPr>
              <w:spacing w:after="0"/>
              <w:rPr>
                <w:sz w:val="1"/>
                <w:szCs w:val="1"/>
                <w:color w:val="auto"/>
              </w:rPr>
            </w:pPr>
          </w:p>
        </w:tc>
      </w:tr>
      <w:tr>
        <w:trPr>
          <w:trHeight w:val="351"/>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169,021</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1,757</w:t>
            </w:r>
          </w:p>
        </w:tc>
        <w:tc>
          <w:tcPr>
            <w:tcW w:w="0" w:type="dxa"/>
            <w:vAlign w:val="bottom"/>
          </w:tcPr>
          <w:p>
            <w:pPr>
              <w:spacing w:after="0"/>
              <w:rPr>
                <w:sz w:val="1"/>
                <w:szCs w:val="1"/>
                <w:color w:val="auto"/>
              </w:rPr>
            </w:pPr>
          </w:p>
        </w:tc>
      </w:tr>
      <w:tr>
        <w:trPr>
          <w:trHeight w:val="270"/>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35,022</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-859155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-464820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-121920</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760" w:space="280"/>
            <w:col w:w="838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3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Redemption of Operating Partnership units for</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(3,310)</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85,501</w:t>
            </w:r>
          </w:p>
        </w:tc>
        <w:tc>
          <w:tcPr>
            <w:tcW w:w="100" w:type="dxa"/>
            <w:vAlign w:val="bottom"/>
          </w:tcPr>
          <w:p>
            <w:pPr>
              <w:spacing w:after="0"/>
              <w:rPr>
                <w:sz w:val="13"/>
                <w:szCs w:val="13"/>
                <w:color w:val="auto"/>
              </w:rPr>
            </w:pPr>
          </w:p>
        </w:tc>
        <w:tc>
          <w:tcPr>
            <w:tcW w:w="6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3"/>
                <w:szCs w:val="13"/>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Issuance of Preferred D Units in the Operating</w:t>
            </w:r>
          </w:p>
        </w:tc>
        <w:tc>
          <w:tcPr>
            <w:tcW w:w="880" w:type="dxa"/>
            <w:vAlign w:val="bottom"/>
            <w:shd w:val="clear" w:color="auto" w:fill="CCEEFF"/>
          </w:tcPr>
          <w:p>
            <w:pPr>
              <w:jc w:val="right"/>
              <w:ind w:right="128"/>
              <w:spacing w:after="0" w:line="158" w:lineRule="exact"/>
              <w:rPr>
                <w:sz w:val="20"/>
                <w:szCs w:val="20"/>
                <w:color w:val="auto"/>
              </w:rPr>
            </w:pPr>
            <w:r>
              <w:rPr>
                <w:rFonts w:ascii="Times New Roman" w:cs="Times New Roman" w:eastAsia="Times New Roman" w:hAnsi="Times New Roman"/>
                <w:sz w:val="14"/>
                <w:szCs w:val="14"/>
                <w:color w:val="auto"/>
              </w:rPr>
              <w:t>23,447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23,447</w:t>
            </w:r>
          </w:p>
        </w:tc>
      </w:tr>
      <w:tr>
        <w:trPr>
          <w:trHeight w:val="198"/>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Partnership in conjunction with acquisitions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3"/>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4,235</w:t>
            </w:r>
          </w:p>
        </w:tc>
        <w:tc>
          <w:tcPr>
            <w:tcW w:w="12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94,770</w:t>
            </w:r>
          </w:p>
        </w:tc>
        <w:tc>
          <w:tcPr>
            <w:tcW w:w="1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102,160</w:t>
            </w:r>
          </w:p>
        </w:tc>
      </w:tr>
      <w:tr>
        <w:trPr>
          <w:trHeight w:val="78"/>
        </w:trPr>
        <w:tc>
          <w:tcPr>
            <w:tcW w:w="30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3"/>
        </w:trPr>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(22,843)</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(23,993)</w:t>
            </w:r>
          </w:p>
        </w:tc>
      </w:tr>
      <w:tr>
        <w:trPr>
          <w:trHeight w:val="78"/>
        </w:trPr>
        <w:tc>
          <w:tcPr>
            <w:tcW w:w="30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53"/>
        </w:trPr>
        <w:tc>
          <w:tcPr>
            <w:tcW w:w="30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Distributions to Operating Partnership units held by</w:t>
            </w:r>
          </w:p>
        </w:tc>
        <w:tc>
          <w:tcPr>
            <w:tcW w:w="88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(3,296)</w:t>
            </w:r>
          </w:p>
        </w:tc>
        <w:tc>
          <w:tcPr>
            <w:tcW w:w="100" w:type="dxa"/>
            <w:vAlign w:val="bottom"/>
          </w:tcPr>
          <w:p>
            <w:pPr>
              <w:spacing w:after="0"/>
              <w:rPr>
                <w:sz w:val="13"/>
                <w:szCs w:val="13"/>
                <w:color w:val="auto"/>
              </w:rPr>
            </w:pPr>
          </w:p>
        </w:tc>
        <w:tc>
          <w:tcPr>
            <w:tcW w:w="86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(5,116)</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(8,412)</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Dividends paid on common stock at $0.86 per</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(109,523)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(109,523)</w:t>
            </w:r>
          </w:p>
        </w:tc>
      </w:tr>
      <w:tr>
        <w:trPr>
          <w:trHeight w:val="193"/>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w:t>
            </w: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bl>
    <w:p>
      <w:pPr>
        <w:spacing w:after="0" w:line="56"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Balances at March 31, 2019</w:t>
      </w:r>
    </w:p>
    <w:p>
      <w:pPr>
        <w:spacing w:after="0" w:line="44" w:lineRule="exact"/>
        <w:rPr>
          <w:sz w:val="20"/>
          <w:szCs w:val="20"/>
          <w:color w:val="auto"/>
        </w:rPr>
      </w:pPr>
    </w:p>
    <w:p>
      <w:pPr>
        <w:ind w:left="200" w:right="4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upon the exercise of options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Restricted stock grants issued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Restricted stock grants cancelled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p>
      <w:pPr>
        <w:spacing w:after="0" w:line="109" w:lineRule="exact"/>
        <w:rPr>
          <w:sz w:val="20"/>
          <w:szCs w:val="20"/>
          <w:color w:val="auto"/>
        </w:rPr>
      </w:pPr>
    </w:p>
    <w:p>
      <w:pPr>
        <w:ind w:left="200" w:right="140" w:hanging="161"/>
        <w:spacing w:after="0" w:line="261" w:lineRule="auto"/>
        <w:rPr>
          <w:sz w:val="20"/>
          <w:szCs w:val="20"/>
          <w:color w:val="auto"/>
        </w:rPr>
      </w:pPr>
      <w:r>
        <w:rPr>
          <w:rFonts w:ascii="Times New Roman" w:cs="Times New Roman" w:eastAsia="Times New Roman" w:hAnsi="Times New Roman"/>
          <w:sz w:val="14"/>
          <w:szCs w:val="14"/>
          <w:color w:val="auto"/>
        </w:rPr>
        <w:t>Compensation expense related to stock-based awards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176,264</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  213,168</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127,392,050</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$ 1,274</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$2,648,723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11,807</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  (277,655)</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   2,773,812</w:t>
            </w:r>
          </w:p>
        </w:tc>
      </w:tr>
      <w:tr>
        <w:trPr>
          <w:trHeight w:val="326"/>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17,042</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468</w:t>
            </w:r>
          </w:p>
        </w:tc>
      </w:tr>
      <w:tr>
        <w:trPr>
          <w:trHeight w:val="270"/>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53,789</w:t>
            </w:r>
          </w:p>
        </w:tc>
        <w:tc>
          <w:tcPr>
            <w:tcW w:w="10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930,000</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98,787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98,796</w:t>
            </w:r>
          </w:p>
        </w:tc>
      </w:tr>
      <w:tr>
        <w:trPr>
          <w:trHeight w:val="270"/>
        </w:trPr>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-859155</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-464820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-121920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800" w:space="240"/>
            <w:col w:w="838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3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Redemption of Operating Partnership units for</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(4,823)</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3"/>
                <w:szCs w:val="13"/>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Issuance of Preferred D Units in the Operating</w:t>
            </w:r>
          </w:p>
        </w:tc>
        <w:tc>
          <w:tcPr>
            <w:tcW w:w="880" w:type="dxa"/>
            <w:vAlign w:val="bottom"/>
            <w:shd w:val="clear" w:color="auto" w:fill="CCEEFF"/>
          </w:tcPr>
          <w:p>
            <w:pPr>
              <w:jc w:val="right"/>
              <w:ind w:right="128"/>
              <w:spacing w:after="0" w:line="158" w:lineRule="exact"/>
              <w:rPr>
                <w:sz w:val="20"/>
                <w:szCs w:val="20"/>
                <w:color w:val="auto"/>
              </w:rPr>
            </w:pPr>
            <w:r>
              <w:rPr>
                <w:rFonts w:ascii="Times New Roman" w:cs="Times New Roman" w:eastAsia="Times New Roman" w:hAnsi="Times New Roman"/>
                <w:sz w:val="14"/>
                <w:szCs w:val="14"/>
                <w:color w:val="auto"/>
              </w:rPr>
              <w:t>4,575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4,575</w:t>
            </w:r>
          </w:p>
        </w:tc>
      </w:tr>
      <w:tr>
        <w:trPr>
          <w:trHeight w:val="198"/>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Partnership in conjunction with acquisitions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3"/>
        </w:trPr>
        <w:tc>
          <w:tcPr>
            <w:tcW w:w="30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Noncontrolling interest in consolidated joint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line="153"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line="153" w:lineRule="exact"/>
              <w:rPr>
                <w:sz w:val="20"/>
                <w:szCs w:val="20"/>
                <w:color w:val="auto"/>
              </w:rPr>
            </w:pPr>
            <w:r>
              <w:rPr>
                <w:rFonts w:ascii="Times New Roman" w:cs="Times New Roman" w:eastAsia="Times New Roman" w:hAnsi="Times New Roman"/>
                <w:sz w:val="14"/>
                <w:szCs w:val="14"/>
                <w:color w:val="auto"/>
              </w:rPr>
              <w:t>50</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venture</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Conversion of Preferred C Units in the Operating</w:t>
            </w:r>
          </w:p>
        </w:tc>
        <w:tc>
          <w:tcPr>
            <w:tcW w:w="88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(4,374)</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4,374</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0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for Common Operating Partnership</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98"/>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3"/>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3,129</w:t>
            </w:r>
          </w:p>
        </w:tc>
        <w:tc>
          <w:tcPr>
            <w:tcW w:w="1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4,754</w:t>
            </w:r>
          </w:p>
        </w:tc>
        <w:tc>
          <w:tcPr>
            <w:tcW w:w="12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104,828</w:t>
            </w:r>
          </w:p>
        </w:tc>
        <w:tc>
          <w:tcPr>
            <w:tcW w:w="1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112,689</w:t>
            </w:r>
          </w:p>
        </w:tc>
      </w:tr>
      <w:tr>
        <w:trPr>
          <w:trHeight w:val="78"/>
        </w:trPr>
        <w:tc>
          <w:tcPr>
            <w:tcW w:w="30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3"/>
        </w:trPr>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(1,765)</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(39,283)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(41,302)</w:t>
            </w:r>
          </w:p>
        </w:tc>
      </w:tr>
      <w:tr>
        <w:trPr>
          <w:trHeight w:val="78"/>
        </w:trPr>
        <w:tc>
          <w:tcPr>
            <w:tcW w:w="30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53"/>
        </w:trPr>
        <w:tc>
          <w:tcPr>
            <w:tcW w:w="30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Distributions to Operating Partnership units held by</w:t>
            </w:r>
          </w:p>
        </w:tc>
        <w:tc>
          <w:tcPr>
            <w:tcW w:w="88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3"/>
                <w:szCs w:val="13"/>
                <w:color w:val="auto"/>
              </w:rPr>
            </w:pPr>
          </w:p>
        </w:tc>
        <w:tc>
          <w:tcPr>
            <w:tcW w:w="86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(5,473)</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(8,705)</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Dividends paid on common stock at $0.90 per</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(115,572)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(115,572)</w:t>
            </w:r>
          </w:p>
        </w:tc>
      </w:tr>
      <w:tr>
        <w:trPr>
          <w:trHeight w:val="198"/>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w:t>
            </w: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240"/>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June 30, 2019</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176,108</w:t>
            </w:r>
          </w:p>
        </w:tc>
        <w:tc>
          <w:tcPr>
            <w:tcW w:w="100" w:type="dxa"/>
            <w:vAlign w:val="bottom"/>
          </w:tcPr>
          <w:p>
            <w:pPr>
              <w:spacing w:after="0"/>
              <w:rPr>
                <w:sz w:val="20"/>
                <w:szCs w:val="20"/>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210,235</w:t>
            </w:r>
          </w:p>
        </w:tc>
        <w:tc>
          <w:tcPr>
            <w:tcW w:w="120" w:type="dxa"/>
            <w:vAlign w:val="bottom"/>
          </w:tcPr>
          <w:p>
            <w:pPr>
              <w:spacing w:after="0"/>
              <w:rPr>
                <w:sz w:val="20"/>
                <w:szCs w:val="20"/>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Pr>
          <w:p>
            <w:pPr>
              <w:spacing w:after="0"/>
              <w:rPr>
                <w:sz w:val="20"/>
                <w:szCs w:val="20"/>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128,513,095</w:t>
            </w:r>
          </w:p>
        </w:tc>
        <w:tc>
          <w:tcPr>
            <w:tcW w:w="100" w:type="dxa"/>
            <w:vAlign w:val="bottom"/>
          </w:tcPr>
          <w:p>
            <w:pPr>
              <w:spacing w:after="0"/>
              <w:rPr>
                <w:sz w:val="20"/>
                <w:szCs w:val="20"/>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$ 1,285</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$2,756,799</w:t>
            </w:r>
          </w:p>
        </w:tc>
        <w:tc>
          <w:tcPr>
            <w:tcW w:w="10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(27,476)</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  (288,399)</w:t>
            </w:r>
          </w:p>
        </w:tc>
        <w:tc>
          <w:tcPr>
            <w:tcW w:w="100" w:type="dxa"/>
            <w:vAlign w:val="bottom"/>
          </w:tcPr>
          <w:p>
            <w:pPr>
              <w:spacing w:after="0"/>
              <w:rPr>
                <w:sz w:val="20"/>
                <w:szCs w:val="20"/>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   2,828,811</w:t>
            </w: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right="40" w:hanging="161"/>
        <w:spacing w:after="0" w:line="261" w:lineRule="auto"/>
        <w:rPr>
          <w:sz w:val="20"/>
          <w:szCs w:val="20"/>
          <w:color w:val="auto"/>
        </w:rPr>
      </w:pPr>
      <w:r>
        <w:rPr>
          <w:rFonts w:ascii="Times New Roman" w:cs="Times New Roman" w:eastAsia="Times New Roman" w:hAnsi="Times New Roman"/>
          <w:sz w:val="14"/>
          <w:szCs w:val="14"/>
          <w:color w:val="auto"/>
        </w:rPr>
        <w:t>Issuance of common stock upon the exercise of options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Restricted stock grants issued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Restricted stock grants cancelled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p>
      <w:pPr>
        <w:spacing w:after="0" w:line="109" w:lineRule="exact"/>
        <w:rPr>
          <w:sz w:val="20"/>
          <w:szCs w:val="20"/>
          <w:color w:val="auto"/>
        </w:rPr>
      </w:pPr>
    </w:p>
    <w:p>
      <w:pPr>
        <w:ind w:left="200" w:right="140" w:hanging="161"/>
        <w:spacing w:after="0" w:line="261" w:lineRule="auto"/>
        <w:rPr>
          <w:sz w:val="20"/>
          <w:szCs w:val="20"/>
          <w:color w:val="auto"/>
        </w:rPr>
      </w:pPr>
      <w:r>
        <w:rPr>
          <w:rFonts w:ascii="Times New Roman" w:cs="Times New Roman" w:eastAsia="Times New Roman" w:hAnsi="Times New Roman"/>
          <w:sz w:val="14"/>
          <w:szCs w:val="14"/>
          <w:color w:val="auto"/>
        </w:rPr>
        <w:t>Compensation expense related to stock-based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10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40" w:type="dxa"/>
            <w:vAlign w:val="bottom"/>
            <w:gridSpan w:val="3"/>
            <w:vMerge w:val="continue"/>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restart"/>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00" w:type="dxa"/>
            <w:vAlign w:val="bottom"/>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26"/>
        </w:trPr>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14,850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24"/>
                <w:szCs w:val="24"/>
                <w:color w:val="auto"/>
              </w:rPr>
            </w:pP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70"/>
        </w:trPr>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849,200</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100,047</w:t>
            </w:r>
          </w:p>
        </w:tc>
        <w:tc>
          <w:tcPr>
            <w:tcW w:w="100" w:type="dxa"/>
            <w:vAlign w:val="bottom"/>
          </w:tcPr>
          <w:p>
            <w:pPr>
              <w:spacing w:after="0"/>
              <w:rPr>
                <w:sz w:val="17"/>
                <w:szCs w:val="17"/>
                <w:color w:val="auto"/>
              </w:rPr>
            </w:pP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100,056</w:t>
            </w:r>
          </w:p>
        </w:tc>
        <w:tc>
          <w:tcPr>
            <w:tcW w:w="0" w:type="dxa"/>
            <w:vAlign w:val="bottom"/>
          </w:tcPr>
          <w:p>
            <w:pPr>
              <w:spacing w:after="0"/>
              <w:rPr>
                <w:sz w:val="1"/>
                <w:szCs w:val="1"/>
                <w:color w:val="auto"/>
              </w:rPr>
            </w:pPr>
          </w:p>
        </w:tc>
      </w:tr>
      <w:tr>
        <w:trPr>
          <w:trHeight w:val="270"/>
        </w:trPr>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Pr>
          <w:p>
            <w:pPr>
              <w:spacing w:after="0"/>
              <w:rPr>
                <w:sz w:val="23"/>
                <w:szCs w:val="23"/>
                <w:color w:val="auto"/>
              </w:rPr>
            </w:pP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-859155</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-464820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-121920</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800" w:space="240"/>
            <w:col w:w="838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3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Repayment of receivable for preferred operating</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3"/>
                <w:szCs w:val="13"/>
                <w:color w:val="auto"/>
              </w:rPr>
            </w:pPr>
          </w:p>
        </w:tc>
        <w:tc>
          <w:tcPr>
            <w:tcW w:w="6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1,211</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units pledged as collateral on loan</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Redemption of Operating Partnership units for</w:t>
            </w:r>
          </w:p>
        </w:tc>
        <w:tc>
          <w:tcPr>
            <w:tcW w:w="98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line="158" w:lineRule="exact"/>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29,118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w:t>
            </w:r>
          </w:p>
        </w:tc>
      </w:tr>
      <w:tr>
        <w:trPr>
          <w:trHeight w:val="198"/>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3"/>
        </w:trPr>
        <w:tc>
          <w:tcPr>
            <w:tcW w:w="30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Noncontrolling interest in consolidated joint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line="153"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8"/>
              <w:spacing w:after="0" w:line="153" w:lineRule="exact"/>
              <w:rPr>
                <w:sz w:val="20"/>
                <w:szCs w:val="20"/>
                <w:color w:val="auto"/>
              </w:rPr>
            </w:pPr>
            <w:r>
              <w:rPr>
                <w:rFonts w:ascii="Times New Roman" w:cs="Times New Roman" w:eastAsia="Times New Roman" w:hAnsi="Times New Roman"/>
                <w:sz w:val="14"/>
                <w:szCs w:val="14"/>
                <w:color w:val="auto"/>
              </w:rPr>
              <w:t>96</w:t>
            </w:r>
          </w:p>
        </w:tc>
      </w:tr>
      <w:tr>
        <w:trPr>
          <w:trHeight w:val="193"/>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venture</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108,087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115,995</w:t>
            </w:r>
          </w:p>
        </w:tc>
      </w:tr>
      <w:tr>
        <w:trPr>
          <w:trHeight w:val="78"/>
        </w:trPr>
        <w:tc>
          <w:tcPr>
            <w:tcW w:w="30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3"/>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(698)</w:t>
            </w:r>
          </w:p>
        </w:tc>
        <w:tc>
          <w:tcPr>
            <w:tcW w:w="120" w:type="dxa"/>
            <w:vAlign w:val="bottom"/>
          </w:tcPr>
          <w:p>
            <w:pPr>
              <w:spacing w:after="0"/>
              <w:rPr>
                <w:sz w:val="16"/>
                <w:szCs w:val="16"/>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(15,963)</w:t>
            </w:r>
          </w:p>
        </w:tc>
        <w:tc>
          <w:tcPr>
            <w:tcW w:w="1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(16,762)</w:t>
            </w:r>
          </w:p>
        </w:tc>
      </w:tr>
      <w:tr>
        <w:trPr>
          <w:trHeight w:val="78"/>
        </w:trPr>
        <w:tc>
          <w:tcPr>
            <w:tcW w:w="30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53"/>
        </w:trPr>
        <w:tc>
          <w:tcPr>
            <w:tcW w:w="304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Distributions to Operating Partnership units held by</w:t>
            </w:r>
          </w:p>
        </w:tc>
        <w:tc>
          <w:tcPr>
            <w:tcW w:w="880" w:type="dxa"/>
            <w:vAlign w:val="bottom"/>
            <w:shd w:val="clear" w:color="auto" w:fill="CCEEFF"/>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(3,178)</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(5,440)</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(8,618)</w:t>
            </w:r>
          </w:p>
        </w:tc>
      </w:tr>
      <w:tr>
        <w:trPr>
          <w:trHeight w:val="198"/>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53"/>
        </w:trPr>
        <w:tc>
          <w:tcPr>
            <w:tcW w:w="30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Dividends paid on common stock at $0.90 per</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(116,440)</w:t>
            </w:r>
          </w:p>
        </w:tc>
        <w:tc>
          <w:tcPr>
            <w:tcW w:w="100" w:type="dxa"/>
            <w:vAlign w:val="bottom"/>
          </w:tcPr>
          <w:p>
            <w:pPr>
              <w:spacing w:after="0"/>
              <w:rPr>
                <w:sz w:val="13"/>
                <w:szCs w:val="13"/>
                <w:color w:val="auto"/>
              </w:rPr>
            </w:pPr>
          </w:p>
        </w:tc>
        <w:tc>
          <w:tcPr>
            <w:tcW w:w="104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(116,440)</w:t>
            </w:r>
          </w:p>
        </w:tc>
      </w:tr>
      <w:tr>
        <w:trPr>
          <w:trHeight w:val="193"/>
        </w:trPr>
        <w:tc>
          <w:tcPr>
            <w:tcW w:w="3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share</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42"/>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Balances at September 30, 2019</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175,918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209,011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129,410,093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$ 1,294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$ 2,861,611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(43,439)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(296,752)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2,907,989</w:t>
            </w: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8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330,844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337,830</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155,924</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9,230</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equity component of exchangeable senior notes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3,525</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Compensation expense related to stock-based awards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8,455</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Distributions from unconsolidated real estate ventures in excess of earnings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5,235</w:t>
            </w:r>
          </w:p>
        </w:tc>
      </w:tr>
      <w:tr>
        <w:trPr>
          <w:trHeight w:val="224"/>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37"/>
        </w:trPr>
        <w:tc>
          <w:tcPr>
            <w:tcW w:w="85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27,677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12,597</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544,466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529,027</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(327,011)</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real estate assets, investments in real estate ventures and other assets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51,889</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(52,806)</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Return of investment in unconsolidated real estate ventures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47,964</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(13,889)</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payments received from notes receivable</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25,226</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(356,377)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(317,029)</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the sale of common stock, net of offering costs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198,852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33,780</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notes payable and revolving lines of credit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1,508,000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973,386</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payments on notes payable and revolving lines of credit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(1,503,686)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(787,939)</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 payments on notes payable to trusts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 of exchangeable senior notes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(80,270)</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proceeds from exercise of stock options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1,170</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(315,608)</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(24,837)</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(231,459)</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(19,461)</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72,690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86,044</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66,715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66,583</w:t>
            </w:r>
          </w:p>
        </w:tc>
      </w:tr>
      <w:tr>
        <w:trPr>
          <w:trHeight w:val="33"/>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49"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8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136,563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117,627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w:t>
            </w: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Establishment of operating lease right of use assets and lease liabilities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Real estate assets - operating lease right-of-use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Acquisitions of real estate assets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Real estate assets,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88,842</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Value of Operating Partnership units issued</w:t>
            </w: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Notes payable assumed</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construction costs and capital expenditures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 of Preferred OP Units to unconsolidated real estate venture</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Investments in unconsolidated real estate ventures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Value of Preferred Operating Partnership units issued</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Conversion of Preferred OP Units to common OP Units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OP Units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OP Units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4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invests in stores by acquiring wholly-owned stores or by acquiring an equity interest in real estate entities. At September 30, 2019, the Company had direct and indirect equity interests in 1,167 stores. In addition, the Company managed 630 stores for third parties, bringing the total number of stores which it owns and/or manages to 1,797. These stores are located in 40 states, Washington, D.C. and Puerto Rico. The Company also offers tenant reinsurance at its owned and managed stores that insures the value of goods in the storage units.</w:t>
      </w:r>
    </w:p>
    <w:p>
      <w:pPr>
        <w:spacing w:after="0" w:line="284"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2019 are not necessarily indicative of results that may be expected for the year ending December 31, 2019. The condensed consolidated balance sheet as of December 31, 2018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2018, as filed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modifies the accounting for leases, intending to increase transparency and comparability of organizations by requiring balance sheet presentation of leased assets and increased financial statement disclosure of leasing arrangements. ASU 2016-02 requires entities to recognize a liability for their lease obligations and a corresponding asset representing the right to use the underlying asset over the lease term. Lease obligations are measured at their present value and accounted for using the effective interest method. The accounting for the leased asset differs slightly depending on whether the agreement is deemed to be a financing or operating lease. For financing leases, the leased asset is depreciated on a straight-line basis and is recorded separately from the interest expense in the statements of operations, resulting in higher expense in the earlier part of the lease term. For operating leases, the depreciation and interest expense components are combined, recognized evenly over the term of the lease, and presented as a reduction to operating income. ASU 2016-02 requires that assets and liabilities be presented or disclosed separately, and requires additional disclosure of certain qualitative and quantitative information related to these lease agreements. ASU 2016-02 became effective for annual and interim periods beginning after December 15, 2018. The Company adopted the standard using the modified retrospective approach as of January 1, 2019. The Company elected the package of practical expedients upon adoption, which allows for the application of the standard solely to the transition period in 2019 but does not require application to prior fiscal comparative periods presented. The Company also elected the practical expedient provided in a subsequent amendment to the standard that removed the requirement to separate lease and nonlease components. The Company did not record a significant cumulative catch-up adjustment to retained earnings upon adoption of ASU 2016-02. The primary impact was related to the Company's 21 operating ground leases and two corporate facility leases under which it served as lessee at the time of adoption. The Company recognized lease liabilities of $104,863 and right-of-use assets related to operating leases totaling $95,506 as of the adoption date. Refer to footnote 13 for further discussion of the Company's leases.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333"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ASU 2018-15 amends the accounting for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in a hosting arrangement that is a service contract, and aligns them with the requirements for capitalizing implementation costs incurred to develop or obtain internal-use software. ASU 2018-15 also requires that entities amortize the capitalized implementation costs over the term of the hosting arrangement. ASU 2018-15 is effective for annual periods beginning after December 15, 2020, with early adoption permitted, including early adoption in any interim period. The Company adopted this standard on a prospective basis as of October 1, 2018. The adoption of this standard did not have a material impact on the Company's financial statements.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ASU 2016-13 changes how entities measure credit losses for most financial assets. This standard requires an entity to estimate its lifetime "expected credit loss" and record an allowance that, when deducted from the amortized cost basis of the financial asset, presents the net amount expected to be collected on the financial asset. In November 2018, the FASB issued ASU 2018-19,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xml:space="preserve"> which clarified that receivables arising from operating leases are within the scope of the leasing standard (ASU 2016-02), and not within the scope of ASU 2016-13. This new standard will be effective for the Company on January 1, 2020. The Company is evaluating the impact this new standard will have and does not expect this new standard to have a material impact on the Company's consolidated financial statements.</w:t>
      </w:r>
    </w:p>
    <w:p>
      <w:pPr>
        <w:spacing w:after="0" w:line="28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2019,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333"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assets and liabilities measured at fair value on a recurring basis as of September 30, 2019, aggregated by the level in the fair value hierarchy within which those measurements fall.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6"/>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4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1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67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 Cash flow hedge swap agreements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 - Cash flow hedge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43,880</w:t>
            </w:r>
          </w:p>
        </w:tc>
        <w:tc>
          <w:tcPr>
            <w:tcW w:w="10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did not have any significant assets or liabilities that are re-measured on a recurring basis using significant unobservable inputs as of September 30, 2019 or December 31,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are presented as part of normal operations for all periods presented. As of September 30, 2019, the Company had one parcel of land classified as held for sale which is included in real estate assets, net. The estimated fair value less selling costs for this asset is greater than the carrying value of the asset, and therefore no loss has been recorded.</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September 30, 2019 and December 31, 2018 approximate fair value. Restricted cash is comprised of escrowed funds deposited with financial institutions located throughout the United States relating to earnest money deposits on potential acquisitions, real estate taxes, insurance and capital expenditures.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fair values of the Company’s notes receivable from Preferred and Common Operating Partnership unit holders,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fixed-rate assets and liabilities were as follows for the periods indicated: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9"/>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51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Notes receivable from Preferred and Common Operating Partnership</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1"/>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 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118,756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115,467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119,735</w:t>
            </w: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payable and notes payable to trusts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3,296,231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3,166,208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2,985,731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3,022,414</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724,500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620,149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575,000</w:t>
            </w:r>
          </w:p>
        </w:tc>
      </w:tr>
      <w:tr>
        <w:trPr>
          <w:trHeight w:val="27"/>
        </w:trPr>
        <w:tc>
          <w:tcPr>
            <w:tcW w:w="5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together with the Series A Units, Series B Units and Series C Units, the “Preferred OP Units”) and common Operating Partnership units (“OP Units”)) that do not have a current right to participate in earnings of the Company but could do so in the future by virtue of their option, redemption or conversion right.</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and nine months ended September 30, 2019, and for the three months ended September 30, 2018, there were no anti-dilutive options. For the nine months ended September 30, 2018, options to purchase an aggregate of approximately 36,404 shares of common stock were excluded from the computation of earnings per share as their effect would have been anti-dilutive.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33"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2019 and 2018 was $115.63 and $92.83, respectively. The average share price for the nine months ended September 30, 2019 and 2018 was $105.74 and $90.09, respectively.</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36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50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42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top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49"/>
        </w:trPr>
        <w:tc>
          <w:tcPr>
            <w:tcW w:w="42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r>
      <w:tr>
        <w:trPr>
          <w:trHeight w:val="195"/>
        </w:trPr>
        <w:tc>
          <w:tcPr>
            <w:tcW w:w="42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35"/>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B Units</w:t>
            </w:r>
          </w:p>
        </w:tc>
        <w:tc>
          <w:tcPr>
            <w:tcW w:w="17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362,382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451,386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396,276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465,115</w:t>
            </w:r>
          </w:p>
        </w:tc>
      </w:tr>
      <w:tr>
        <w:trPr>
          <w:trHeight w:val="237"/>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C Units (1)</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319,283</w:t>
            </w:r>
          </w:p>
        </w:tc>
        <w:tc>
          <w:tcPr>
            <w:tcW w:w="12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328,994</w:t>
            </w:r>
          </w:p>
        </w:tc>
      </w:tr>
      <w:tr>
        <w:trPr>
          <w:trHeight w:val="33"/>
        </w:trPr>
        <w:tc>
          <w:tcPr>
            <w:tcW w:w="4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D Units</w:t>
            </w:r>
          </w:p>
        </w:tc>
        <w:tc>
          <w:tcPr>
            <w:tcW w:w="1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1,038,538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1,074,417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1,021,901</w:t>
            </w:r>
          </w:p>
        </w:tc>
      </w:tr>
      <w:tr>
        <w:trPr>
          <w:trHeight w:val="217"/>
        </w:trPr>
        <w:tc>
          <w:tcPr>
            <w:tcW w:w="4220" w:type="dxa"/>
            <w:vAlign w:val="bottom"/>
          </w:tcPr>
          <w:p>
            <w:pPr>
              <w:spacing w:after="0"/>
              <w:rPr>
                <w:sz w:val="18"/>
                <w:szCs w:val="18"/>
                <w:color w:val="auto"/>
              </w:rPr>
            </w:pPr>
          </w:p>
        </w:tc>
        <w:tc>
          <w:tcPr>
            <w:tcW w:w="17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1,400,920</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770,669</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1,470,693</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1,816,010</w:t>
            </w:r>
          </w:p>
        </w:tc>
      </w:tr>
      <w:tr>
        <w:trPr>
          <w:trHeight w:val="33"/>
        </w:trPr>
        <w:tc>
          <w:tcPr>
            <w:tcW w:w="4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The remainder of the Series C Units were converted to OP Units on April 25, 2019.</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2018, the Operating Partnership redeemed the remaining balance of its 2.375% Exchangeable Senior Notes due 2033 (the “2013 Notes”). Prior to their redemption, the 2013 Notes could potentially have had a dilutive impact on the Company’s earnings per share calculations. The 2013 Notes were exchangeable by holders into shares of the Company’s common stock under certain circumstances per the terms of the indenture governing the 2013 Notes. The Company had irrevocably agreed to pay only cash for the accreted principal amount of the 2013 Notes relative to its exchange obligations, but retained the right to satisfy the exchange obligation in excess of the accreted principal amount in cash and/or common stock.</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Partnership had $575,000 of its 3.125% Exchangeable Senior Notes due 2035 (the “2015 Notes”) issued and outstanding as of September 30, 2019.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$92.04 per share as of September 30, 2019,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Although the Company has retained the right to satisfy the exchange obligation in excess of the accreted principal amount of the 2013 Notes and 2015 Notes in cash and/or common stock, Accounting Standards Codification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three and nine months ended September 30, 2019 and 2018, zero shares related to the 2013 Notes were included in the computation for diluted earnings per share, as the Company had repaid all outstanding 2013 Notes in July 2018. For the three and nine months ended September 30, 2019 and 2018, 1,274,675 and zero shares, respectively, related to the 2015 Notes were included in the computation for diluted earnings per share.</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3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earnings per common share is as follows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30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55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108,087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130,418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307,685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313,827</w:t>
            </w: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2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r>
      <w:tr>
        <w:trPr>
          <w:trHeight w:val="33"/>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107,922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130,199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307,177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313,277</w:t>
            </w: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550</w:t>
            </w:r>
          </w:p>
        </w:tc>
      </w:tr>
      <w:tr>
        <w:trPr>
          <w:trHeight w:val="33"/>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allocated to noncontrolling interest - Preferred Operating Partnership</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55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Units and Operating Partnership Units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7,336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17,539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17,191</w:t>
            </w:r>
          </w:p>
        </w:tc>
      </w:tr>
      <w:tr>
        <w:trPr>
          <w:trHeight w:val="216"/>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Fixed component of income allocated to noncontrolling interest - Preferred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5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Operating Partnership (Series A Units)</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(1,716)</w:t>
            </w:r>
          </w:p>
        </w:tc>
      </w:tr>
      <w:tr>
        <w:trPr>
          <w:trHeight w:val="33"/>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for diluted computations</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136,963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329,302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2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128,776,549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126,466,837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127,830,272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125,959,926</w:t>
            </w:r>
          </w:p>
        </w:tc>
      </w:tr>
      <w:tr>
        <w:trPr>
          <w:trHeight w:val="33"/>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 Units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6,050,028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5,636,845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6,032,656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5,650,599</w:t>
            </w: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Series A Units</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875,480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875,480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875,480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875,480</w:t>
            </w:r>
          </w:p>
        </w:tc>
      </w:tr>
      <w:tr>
        <w:trPr>
          <w:trHeight w:val="33"/>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Series D Units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991,738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Unvested restricted stock awards included for treasury stock method</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209,963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250,630</w:t>
            </w:r>
          </w:p>
        </w:tc>
      </w:tr>
      <w:tr>
        <w:trPr>
          <w:trHeight w:val="33"/>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Shares related to exchangeable senior notes and dilutive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1,406,455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269,390</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1,425,891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279,055</w:t>
            </w:r>
          </w:p>
        </w:tc>
      </w:tr>
      <w:tr>
        <w:trPr>
          <w:trHeight w:val="217"/>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number of common shares outstanding - diluted</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137,318,475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134,240,290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136,164,299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133,015,690</w:t>
            </w:r>
          </w:p>
        </w:tc>
      </w:tr>
      <w:tr>
        <w:trPr>
          <w:trHeight w:val="73"/>
        </w:trPr>
        <w:tc>
          <w:tcPr>
            <w:tcW w:w="55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540" w:type="dxa"/>
            <w:vAlign w:val="bottom"/>
            <w:shd w:val="clear" w:color="auto" w:fill="CCEEFF"/>
          </w:tcPr>
          <w:p>
            <w:pPr>
              <w:ind w:left="380"/>
              <w:spacing w:after="0" w:line="177" w:lineRule="exact"/>
              <w:rPr>
                <w:sz w:val="20"/>
                <w:szCs w:val="20"/>
                <w:color w:val="auto"/>
              </w:rPr>
            </w:pPr>
            <w:r>
              <w:rPr>
                <w:rFonts w:ascii="Times New Roman" w:cs="Times New Roman" w:eastAsia="Times New Roman" w:hAnsi="Times New Roman"/>
                <w:sz w:val="16"/>
                <w:szCs w:val="16"/>
                <w:color w:val="auto"/>
              </w:rPr>
              <w:t>Earnings per common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60"/>
        </w:trPr>
        <w:tc>
          <w:tcPr>
            <w:tcW w:w="5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2.49</w:t>
            </w:r>
          </w:p>
        </w:tc>
      </w:tr>
      <w:tr>
        <w:trPr>
          <w:trHeight w:val="33"/>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w:t>
            </w:r>
          </w:p>
        </w:tc>
      </w:tr>
      <w:tr>
        <w:trPr>
          <w:trHeight w:val="33"/>
        </w:trPr>
        <w:tc>
          <w:tcPr>
            <w:tcW w:w="5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STORE ACQUISITIONS AND DISPOSITIONS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Acquisitions</w:t>
      </w:r>
    </w:p>
    <w:p>
      <w:pPr>
        <w:spacing w:after="0" w:line="22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acquisitions of stores for the three and nine months ended September 30, 2019 and 2018. The table excludes purchases of raw land and improvements made to existing assets. All acquisitions are considered asset acquisitions under ASU 2017-01,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(Topic 805): Clarifying the Definition of a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Consideration Paid</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Loan</w:t>
            </w:r>
          </w:p>
        </w:tc>
        <w:tc>
          <w:tcPr>
            <w:tcW w:w="140" w:type="dxa"/>
            <w:vAlign w:val="bottom"/>
          </w:tcPr>
          <w:p>
            <w:pPr>
              <w:spacing w:after="0"/>
              <w:rPr>
                <w:sz w:val="12"/>
                <w:szCs w:val="12"/>
                <w:color w:val="auto"/>
              </w:rPr>
            </w:pPr>
          </w:p>
        </w:tc>
        <w:tc>
          <w:tcPr>
            <w:tcW w:w="100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Liabilities/</w:t>
            </w:r>
          </w:p>
        </w:tc>
        <w:tc>
          <w:tcPr>
            <w:tcW w:w="140" w:type="dxa"/>
            <w:vAlign w:val="bottom"/>
          </w:tcPr>
          <w:p>
            <w:pPr>
              <w:spacing w:after="0"/>
              <w:rPr>
                <w:sz w:val="12"/>
                <w:szCs w:val="12"/>
                <w:color w:val="auto"/>
              </w:rPr>
            </w:pPr>
          </w:p>
        </w:tc>
        <w:tc>
          <w:tcPr>
            <w:tcW w:w="8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8"/>
              </w:rPr>
              <w:t>Value of OP</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w:t>
            </w:r>
          </w:p>
        </w:tc>
        <w:tc>
          <w:tcPr>
            <w:tcW w:w="140" w:type="dxa"/>
            <w:vAlign w:val="bottom"/>
          </w:tcPr>
          <w:p>
            <w:pPr>
              <w:spacing w:after="0"/>
              <w:rPr>
                <w:sz w:val="12"/>
                <w:szCs w:val="12"/>
                <w:color w:val="auto"/>
              </w:rPr>
            </w:pPr>
          </w:p>
        </w:tc>
        <w:tc>
          <w:tcPr>
            <w:tcW w:w="8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80" w:type="dxa"/>
            <w:vAlign w:val="bottom"/>
          </w:tcPr>
          <w:p>
            <w:pPr>
              <w:spacing w:after="0"/>
              <w:rPr>
                <w:sz w:val="12"/>
                <w:szCs w:val="12"/>
                <w:color w:val="auto"/>
              </w:rPr>
            </w:pPr>
          </w:p>
        </w:tc>
        <w:tc>
          <w:tcPr>
            <w:tcW w:w="8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0" w:type="dxa"/>
            <w:vAlign w:val="bottom"/>
          </w:tcPr>
          <w:p>
            <w:pPr>
              <w:spacing w:after="0"/>
              <w:rPr>
                <w:sz w:val="1"/>
                <w:szCs w:val="1"/>
                <w:color w:val="auto"/>
              </w:rPr>
            </w:pPr>
          </w:p>
        </w:tc>
      </w:tr>
      <w:tr>
        <w:trPr>
          <w:trHeight w:val="249"/>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Q3 2019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16,937</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Q2 2019</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8,424</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Q1 2019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223,740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202,890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2,780</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913</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223,740</w:t>
            </w: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16</w:t>
            </w:r>
          </w:p>
        </w:tc>
        <w:tc>
          <w:tcPr>
            <w:tcW w:w="34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249,101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228,255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17,157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2,780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909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249,101</w:t>
            </w:r>
          </w:p>
        </w:tc>
        <w:tc>
          <w:tcPr>
            <w:tcW w:w="0" w:type="dxa"/>
            <w:vAlign w:val="bottom"/>
          </w:tcPr>
          <w:p>
            <w:pPr>
              <w:spacing w:after="0"/>
              <w:rPr>
                <w:sz w:val="1"/>
                <w:szCs w:val="1"/>
                <w:color w:val="auto"/>
              </w:rPr>
            </w:pPr>
          </w:p>
        </w:tc>
      </w:tr>
      <w:tr>
        <w:trPr>
          <w:trHeight w:val="73"/>
        </w:trPr>
        <w:tc>
          <w:tcPr>
            <w:tcW w:w="15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Q3 2018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74,694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71,989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74,694</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Q2 2018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281</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1,877</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237,284</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Q1 2018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70,787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70,171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70,787</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w:t>
            </w:r>
          </w:p>
        </w:tc>
        <w:tc>
          <w:tcPr>
            <w:tcW w:w="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382,765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290,810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87,500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3,113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1,877</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21,768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382,765</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40" w:hanging="251"/>
        <w:spacing w:after="0" w:line="228" w:lineRule="auto"/>
        <w:tabs>
          <w:tab w:leader="none" w:pos="289"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Store acquisitions during the three months ended March 31, 2019 include the purchase of 12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spacing w:after="0" w:line="197" w:lineRule="exact"/>
        <w:rPr>
          <w:rFonts w:ascii="Times New Roman" w:cs="Times New Roman" w:eastAsia="Times New Roman" w:hAnsi="Times New Roman"/>
          <w:sz w:val="25"/>
          <w:szCs w:val="25"/>
          <w:color w:val="auto"/>
          <w:vertAlign w:val="superscript"/>
        </w:rPr>
      </w:pPr>
    </w:p>
    <w:p>
      <w:pPr>
        <w:ind w:left="340" w:right="380" w:hanging="251"/>
        <w:spacing w:after="0" w:line="218" w:lineRule="auto"/>
        <w:tabs>
          <w:tab w:leader="none" w:pos="289"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Store acquisitions during the six months ended June 30, 2018 include the acquisition of 15 stores that had been owned by a joint venture in which the Company held a noncontrolling interest. No gain or loss was recognized as a result of these acquisitions.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Dispositions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April 11, 2019, the Company closed on the sale of a store located in New York that had been classified as held for sale for $11,272 in cash. The Company recorded a gain on the sale of $1,205.</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August 16, 2018, the Company closed on the sale of a store located in California that had been classified as held for sale for $40,235 in cash. The Company recorded a gain on the sale of $30,671.</w:t>
      </w:r>
    </w:p>
    <w:p>
      <w:pPr>
        <w:spacing w:after="0" w:line="26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REAL ESTATE VENTURES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Investments in unconsolidated real estate ventures represent the Company's noncontrolling interests in properties. The Company accounts for these investments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w:t>
      </w:r>
    </w:p>
    <w:p>
      <w:pPr>
        <w:sectPr>
          <w:pgSz w:w="11900" w:h="16838" w:orient="portrait"/>
          <w:cols w:equalWidth="0" w:num="1">
            <w:col w:w="11420"/>
          </w:cols>
          <w:pgMar w:left="240" w:top="333"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result of financing distributions, capital events or operating distributions that are usually greater than net income, as net income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for depreciation and amortization while distributions do not.</w:t>
      </w:r>
    </w:p>
    <w:p>
      <w:pPr>
        <w:spacing w:after="0" w:line="1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May 2019, the Company entered into a new joint venture, ESS-NYFL JV LP with two joint venture partners. The Company contributed a total of $13,936 to this joint venture for the purchase of 11 operating stores and four annex sites and received a 16.0% interest in the joint venture.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contributed a total of $56,799 to its joint ventures for the purchase of 19 operating stores and six stores acquired at the issuance of certificate of occupancy.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investments in unconsolidated real estate ventures and cash distributions in unconsolidated real estate ventures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Excess Profit %</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80"/>
        </w:trPr>
        <w:tc>
          <w:tcPr>
            <w:tcW w:w="45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PRISA Self Storage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9,182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9,334</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Portfolio II JV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Storage Portfolio I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(38,129)</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VRS Self Storage,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45%</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17,560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ESS-NYFL JV LP</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13,931</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Extra Space Northern Properties Six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WICNN JV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32,428</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26,885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Alan Jathoo JV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8,021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ESS Bristol Investments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GFN JV,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12,238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10,586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Extra Space West Two LLC (2)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Extra Space West One LLC (2)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minority owned stores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79,003</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45,814</w:t>
            </w:r>
          </w:p>
        </w:tc>
        <w:tc>
          <w:tcPr>
            <w:tcW w:w="0" w:type="dxa"/>
            <w:vAlign w:val="bottom"/>
          </w:tcPr>
          <w:p>
            <w:pPr>
              <w:spacing w:after="0"/>
              <w:rPr>
                <w:sz w:val="1"/>
                <w:szCs w:val="1"/>
                <w:color w:val="auto"/>
              </w:rPr>
            </w:pPr>
          </w:p>
        </w:tc>
      </w:tr>
      <w:tr>
        <w:trPr>
          <w:trHeight w:val="205"/>
        </w:trPr>
        <w:tc>
          <w:tcPr>
            <w:tcW w:w="45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Investments in and Cash distributions in</w:t>
            </w: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242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130,299</w:t>
            </w:r>
          </w:p>
        </w:tc>
        <w:tc>
          <w:tcPr>
            <w:tcW w:w="3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80,129</w:t>
            </w:r>
          </w:p>
        </w:tc>
        <w:tc>
          <w:tcPr>
            <w:tcW w:w="0" w:type="dxa"/>
            <w:vAlign w:val="bottom"/>
          </w:tcPr>
          <w:p>
            <w:pPr>
              <w:spacing w:after="0"/>
              <w:rPr>
                <w:sz w:val="1"/>
                <w:szCs w:val="1"/>
                <w:color w:val="auto"/>
              </w:rPr>
            </w:pPr>
          </w:p>
        </w:tc>
      </w:tr>
      <w:tr>
        <w:trPr>
          <w:trHeight w:val="24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unconsolidated real estate ventures</w:t>
            </w: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pro-rata equity ownership share and promoted interest.</w:t>
      </w:r>
    </w:p>
    <w:p>
      <w:pPr>
        <w:spacing w:after="0" w:line="197" w:lineRule="exact"/>
        <w:rPr>
          <w:rFonts w:ascii="Times New Roman" w:cs="Times New Roman" w:eastAsia="Times New Roman" w:hAnsi="Times New Roman"/>
          <w:sz w:val="24"/>
          <w:szCs w:val="24"/>
          <w:color w:val="auto"/>
          <w:vertAlign w:val="superscript"/>
        </w:rPr>
      </w:pPr>
    </w:p>
    <w:p>
      <w:pPr>
        <w:ind w:right="100" w:firstLine="8"/>
        <w:spacing w:after="0" w:line="245" w:lineRule="auto"/>
        <w:tabs>
          <w:tab w:leader="none" w:pos="192"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January 2019, the Company purchased its joint venture partners' 95% interests in the Extra Space West One LLC and Extra Space West Two LLC joint ventures, which owned a total of 12 stores. The Company paid $172,505 of cash to acquire the equity interests, and subsequent to this acquisition, the Company owned 100% of the joint ventures and the related stores.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333"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Operating Partnership had three wholly-owned unconsolidated subsidiaries (“Trust,” “Trust II” and “Trust III,” together, the “Trusts”) that had issued trust preferred securities to third parties and common securities to the Operating Partnership. The proceeds from the sale of the preferred and common securities were loaned in the form of notes to the Operating Partnership. The Trusts were variable interest entities ("VIEs") because the holders of the equity investment at risk (the trust preferred securities) did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cannot be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condensed consolidated balance sheets.</w:t>
      </w:r>
    </w:p>
    <w:p>
      <w:pPr>
        <w:spacing w:after="0" w:line="1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repaid a total principal amount of $88,662,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time they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consolidated VIEs during the three and nine months ended September 30, 2019.</w:t>
      </w:r>
    </w:p>
    <w:p>
      <w:pPr>
        <w:spacing w:after="0" w:line="32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2019 and 2018, such derivatives were used to hedge the variable cash flows associated with existing variable-rate debt. In the coming 12 months, the Company estimates that $3,296 will be reclassified and increase interest expense.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3"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25 derivative financial instruments which had a total combined notional amount of $2,402,883 as of September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condensed 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r>
      <w:tr>
        <w:trPr>
          <w:trHeight w:val="264"/>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2"/>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21"/>
                <w:szCs w:val="21"/>
                <w:color w:val="auto"/>
              </w:rPr>
            </w:pPr>
          </w:p>
        </w:tc>
        <w:tc>
          <w:tcPr>
            <w:tcW w:w="3140" w:type="dxa"/>
            <w:vAlign w:val="bottom"/>
            <w:gridSpan w:val="3"/>
          </w:tcPr>
          <w:p>
            <w:pPr>
              <w:jc w:val="right"/>
              <w:ind w:right="1176"/>
              <w:spacing w:after="0"/>
              <w:rPr>
                <w:sz w:val="20"/>
                <w:szCs w:val="20"/>
                <w:color w:val="auto"/>
              </w:rPr>
            </w:pPr>
            <w:r>
              <w:rPr>
                <w:rFonts w:ascii="Times New Roman" w:cs="Times New Roman" w:eastAsia="Times New Roman" w:hAnsi="Times New Roman"/>
                <w:sz w:val="18"/>
                <w:szCs w:val="18"/>
                <w:color w:val="auto"/>
              </w:rPr>
              <w:t>Fair Value</w:t>
            </w:r>
          </w:p>
        </w:tc>
      </w:tr>
      <w:tr>
        <w:trPr>
          <w:trHeight w:val="27"/>
        </w:trPr>
        <w:tc>
          <w:tcPr>
            <w:tcW w:w="8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42,324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43,880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2,131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 Instruments</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OCI For the Three Months</w:t>
            </w:r>
          </w:p>
        </w:tc>
        <w:tc>
          <w:tcPr>
            <w:tcW w:w="120" w:type="dxa"/>
            <w:vAlign w:val="bottom"/>
          </w:tcPr>
          <w:p>
            <w:pPr>
              <w:spacing w:after="0"/>
              <w:rPr>
                <w:sz w:val="13"/>
                <w:szCs w:val="13"/>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60" w:type="dxa"/>
            <w:vAlign w:val="bottom"/>
          </w:tcPr>
          <w:p>
            <w:pPr>
              <w:spacing w:after="0"/>
              <w:rPr>
                <w:sz w:val="13"/>
                <w:szCs w:val="13"/>
                <w:color w:val="auto"/>
              </w:rPr>
            </w:pPr>
          </w:p>
        </w:tc>
        <w:tc>
          <w:tcPr>
            <w:tcW w:w="314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Gain (loss) reclassified from OCI For the Three</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80" w:type="dxa"/>
            <w:vAlign w:val="bottom"/>
            <w:gridSpan w:val="3"/>
          </w:tcPr>
          <w:p>
            <w:pPr>
              <w:jc w:val="center"/>
              <w:ind w:left="542"/>
              <w:spacing w:after="0" w:line="147"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4"/>
          </w:tcPr>
          <w:p>
            <w:pPr>
              <w:jc w:val="center"/>
              <w:ind w:right="39"/>
              <w:spacing w:after="0" w:line="147" w:lineRule="exact"/>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54"/>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Type</w:t>
            </w: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reclassified from OCI into</w:t>
            </w: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8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vMerge w:val="restart"/>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vMerge w:val="continue"/>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vMerge w:val="restart"/>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Swap Agreements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8,325</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OCI For the Nine Months</w:t>
            </w:r>
          </w:p>
        </w:tc>
        <w:tc>
          <w:tcPr>
            <w:tcW w:w="120" w:type="dxa"/>
            <w:vAlign w:val="bottom"/>
          </w:tcPr>
          <w:p>
            <w:pPr>
              <w:spacing w:after="0"/>
              <w:rPr>
                <w:sz w:val="13"/>
                <w:szCs w:val="13"/>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40" w:type="dxa"/>
            <w:vAlign w:val="bottom"/>
          </w:tcPr>
          <w:p>
            <w:pPr>
              <w:spacing w:after="0"/>
              <w:rPr>
                <w:sz w:val="13"/>
                <w:szCs w:val="13"/>
                <w:color w:val="auto"/>
              </w:rPr>
            </w:pPr>
          </w:p>
        </w:tc>
        <w:tc>
          <w:tcPr>
            <w:tcW w:w="3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Gain reclassified from OCI For the Nine Months</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80" w:type="dxa"/>
            <w:vAlign w:val="bottom"/>
            <w:gridSpan w:val="3"/>
          </w:tcPr>
          <w:p>
            <w:pPr>
              <w:jc w:val="center"/>
              <w:ind w:left="542"/>
              <w:spacing w:after="0" w:line="147"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3"/>
          </w:tcPr>
          <w:p>
            <w:pPr>
              <w:ind w:left="860"/>
              <w:spacing w:after="0" w:line="147"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Type</w:t>
            </w: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reclassified from OCI into</w:t>
            </w: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8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vMerge w:val="restart"/>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vMerge w:val="continue"/>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vMerge w:val="restart"/>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Swap Agreements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(70,387)</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41,610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11,792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September 30, 2019, the fair value of derivatives in a net liability position, which includes accrued interest but excludes any adjustment for nonperformance risk, related to these agreements was $44,985. As of September 30, 2019, the Company had not posted any collateral related to these agreements. If the Company had breached any of these provisions as of September 30, 2019, it could have been required to cash settle its obligations under the agreements at their termination value of $45,120, including accrued interest.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EXCHANGEABLE SENIOR NOTES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exchangeable senior notes, net, in the condensed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2015 Notes bear interest at 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September 30, 2019 was approximately 10.87 shares of the Company’s common stock per $1,000 principal amount of the 2015 Notes.</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 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did not exceed 130% of the exchange price for the required time period for the 2015 Notes during the quarter ended September 30, 2019.</w:t>
      </w:r>
    </w:p>
    <w:p>
      <w:pPr>
        <w:spacing w:after="0" w:line="18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June 21, 2013, the Operating Partnership issued $250,000 of its 2.375% Exchangeable Senior Notes due 2033 at a 1.5% discount, or $3,750, and costs incurred to issue the 2013 Notes were approximately $1,672. These costs were amortized as an adjustment to interest expense over five years, which represented the estimated term based on the first available redemption date. The 2013 Notes bore interest at 2.375% per annum and contained an exchange settlement feature. During the three months ended March 31, 2018, the Company repurchased a total principal amount of $37,709 of the 2013 Notes. The Company paid cash of $58,469 for the total of the principal amount and the exchange value in excess of the principal amount. The Operating Partnership redeemed all remaining outstanding 2013 Notes on July 5, 2018.</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2013 Notes and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are amortized as interest expense over the remaining period of the debt through its first redemption date: July 1, 2018 for the 2013 Notes, and October 1, 2020 for the 2015 Notes. The effective interest rate on the liability components of the 2013 Notes and the 2015 Notes is 4.0%, which approximated the market rate of interest of similar debt without exchange features (i.e. nonconvertible debt) at the time of issuance.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about the Company’s 2015 Notes, including the total carrying amount of the equity component, the principal amount of the liability component, the unamortized discount and the net carrying amount was as follows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 of equity component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22,597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amount of liability component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575,000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discount - equity component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carrying amount of liability components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567,705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562,374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amount of interest cost recognized relating to the contractual interest rate and the amortization of the discount on the liability component of the Notes were as follows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33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4,492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13,614</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discount</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3,525</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 recognized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5,632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17,139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May 15, 2019, the Company filed its $500,000 "at the market" equity program with the Securities and Exchange Commission using a shelf registration statement on Form S-3, and entered into separate equity distribution agreements with nine sales agents.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the Company sold 849,200 shares of common stock under its "at the market" equity program at an average sales price of $119.30 per share, resulting in net proceeds of $100,056. As of September 30, 2019, the Company had $298,621 available for issuance under the equity distribution agreements.</w:t>
      </w:r>
    </w:p>
    <w:p>
      <w:pPr>
        <w:spacing w:after="0" w:line="28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 REPRESENTED BY PREFERRED OPERATING PARTNERSHIP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Noncontrolling Interests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September 30, 2019 and December 31, 2018, the noncontrolling interests represented by the Preferred OP Units qualified for classification as permanent equity on the Company's condensed consolidated balance sheets. The partnership agreement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Operating Partnership (as amended, the "Partnership Agreement") provides for the designation and issuance of the OP Units. As of September 30, 2019 and December 31, 2018, noncontrolling interests in Preferred OP Units were presented net of notes receivable from Preferred OP Unit holders of $100,000 and $108,644, respectfully, as more fully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Participating Redeemable Preferred Units</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 On April 18, 2017, the holder of the Series A Units and the Operating Partnership agreed to reduce the fixed priority return on the Series A Units from 5.0% to 2.3% in exchange for a reduction in the interest rate of the related loan, as more fully described below.</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25, 2007, the Operating Partnership loaned the holder of the Series A Units $100,000. On April 18, 2017, a loan amendment was signed modifying the maturity date of the loan to the later of the death of the Series A Unit holder or his spouse and also lowering the interest rate of the loan from 4.9% to</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2.1%. The loan amendment was determined to be a loan modification under GAAP, and therefore no change in value was recognized.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Redeemable Preferred Units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Series B Units were issued in 2013 and 2014 and have a liquidation value of $25.00 per unit for a fixed liquidation value of $41,902, which represents 1,676,087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Convertible Redeemable Preferred Units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18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December 1, 2018, certain holders of the Series C Units converted their Series C Units into OP Units, with a total of 407,996 Series C Units being converted into a total of 373,113 OP Units. As part of this conversion, the holders of the Series 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Units agreed to pledge the OP Units received in the conversion as collateral on the loan receivable to replace the Series C Units that were converted. As of December 31, 2018, the total outstanding balance of the loan receivable was $19,735, of which $8,644 was shown as a reduction of the noncontrolling interests related to the Series C Units and $11,091 was shown as a reduction of the noncontrolling interests related to the OP Units on the Company's consolidated balance sheets. On April 25, 2019, the remaining 296,020 Series C Units were converted into 270,709 OP Units. The remaining outstanding balance of the loan receivable of $18,524 is shown as a reduction of the noncontrolling interests related to the OP Units as of September 30, 2019. See footnote 12 for further discussion of noncontrolling interests.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Redeemable Preferred Units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Series D Units have been issued at various times from 2014 to 2019. In addition, during the nine months ended September 30, 2019, the Operating Partnership issued 1,120,924 Series D Units valued at $28,022 in conjunction with joint venture acquisitions.</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Series D Units have a liquidation value of $25.00 per unit, for a fixed liquidation value of $120,086, which represents 4,803,445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9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 IN OPERATING PARTNERSHIP AND OTHER NONCONTROLLING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 in Operating Partnership</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interest in its stores is held through the Operating Partnership. Between its general partner and limited partner interests, the Company held a 90.6% ownership interest in the Operating Partnership as of September 30, 2019. The remaining ownership interests in the Operating Partnership (including Preferred OP Units) of 9.4% are held by certain former owners of assets acquired by the Operating Partnership. As of September 30, 2019, and December 31, 2018 the noncontrolling interests in the Operating Partnership are shown on the balance sheet net of notes receivable of $18,524 and $11,091, respectively, because the borrowers under the loan receivable are also holders of OP Units. This loan receivable bears interest at 5.0% per annum and matures on December 15, 2024.</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2019, the ten-day average closing price of the Company's common stock was $116.80 and there were 6,025,341 OP Units outstanding. Assuming that all of the OP Unit holders exercised their right to redeem all of their OP Units on September 30, 2019 and the Company elected to pay the OP Unit holders cash, the Company would have paid $703,760 in cash consideration to redeem the units.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333"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 Unit activity is summarized as follows for the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398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33"/>
        </w:trPr>
        <w:tc>
          <w:tcPr>
            <w:tcW w:w="74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 Units redeemed for common stock</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239,619</w:t>
            </w: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 Units redeemed for cash</w:t>
            </w:r>
          </w:p>
        </w:tc>
        <w:tc>
          <w:tcPr>
            <w:tcW w:w="1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30,000</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paid for OP Units redeemed</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 Units issued in conjunction with acquisitions</w:t>
            </w:r>
          </w:p>
        </w:tc>
        <w:tc>
          <w:tcPr>
            <w:tcW w:w="1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21,768</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Value of OP Units issued in conjunction with acquisitions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 Units issued upon redemption of Series C Units</w:t>
            </w:r>
          </w:p>
        </w:tc>
        <w:tc>
          <w:tcPr>
            <w:tcW w:w="11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270,709</w:t>
            </w:r>
          </w:p>
        </w:tc>
        <w:tc>
          <w:tcPr>
            <w:tcW w:w="5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Noncontrolling Interests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noncontrolling interests represent the ownership interests of third parties in two consolidated joint ventures as of September 30, 2019. One joint venture owns two operating stores in Texas and two operating stores in Colorado, and the other joint venture owns one operating store in Pennsylvania and one development property in New Jersey. The voting interests of the third-party owners are between 5.0% and 20.0%.</w:t>
      </w:r>
    </w:p>
    <w:p>
      <w:pPr>
        <w:spacing w:after="0" w:line="28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effective January 1, 2019 on a modified retrospective basis as allowed under the standard and prior periods have not been restated. The Company elected the package of transition practical expedients, and has therefore (1) not reassessed whether any expired or existing contracts are or contain leases, (2) not reassessed the lease classification for any expired or existing leases, and (3) not reassessed initial direct costs for any expired or existing leases.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14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recognized right-of-use assets related to operating leases totaling $95,506 and lease liabilities of $104,863 as of the adoption date, January 1, 2019. These are presented as “Operating lease liabilities” and “Real estate assets-operating lease right-of-use assets” on the Company’s consolidated balance sheets.</w:t>
      </w:r>
    </w:p>
    <w:p>
      <w:pPr>
        <w:spacing w:after="0" w:line="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June and August 2019, the Company entered into new triple-net lease agreements to lease land and buildings at 22 and five operating stores, respectively. These leases are categorized as operating leases, and have contractual lease terms of 25 years, but have termination options after 10 years that result in lease terms of 10 years under ASC 842. The Company recorded new operating lease right-of-use assets and operating lease liabilities of $127,532 and $52,224, respectively, in conjunction with these new lease agreements.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lessee under several types of lease agreements. Generally, these leases fall into the following categories:</w:t>
      </w:r>
    </w:p>
    <w:p>
      <w:pPr>
        <w:spacing w:after="0" w:line="144" w:lineRule="exact"/>
        <w:rPr>
          <w:sz w:val="20"/>
          <w:szCs w:val="20"/>
          <w:color w:val="auto"/>
        </w:rPr>
      </w:pPr>
    </w:p>
    <w:p>
      <w:pPr>
        <w:ind w:left="660" w:right="4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real estate at 49 stores classified as wholly-owned. These leases generally have original lease terms between 10-67 years. Under these leases, the Company typically has the option to extend the lease term for additional terms of 5-35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its corporate offices and call center. These leases have original lease terms between 5.3 and 12.1 years, with no extension options.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13 regional offices. These leases have original lease terms between three and five years. The Company has the option on five of these leases to extend the lease term for three additional years.</w:t>
      </w:r>
    </w:p>
    <w:p>
      <w:pPr>
        <w:ind w:left="660" w:right="30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small district offices. These leases generally have terms of 12 months or less. The Company has made an election to account for these under the short-term lease exception outlined under ASC 842. Therefore, no lease assets or liabilities are recorded related to these leases, and the Company will recognize lease payments as expense on a straight-line basis over the related lease terms.</w:t>
      </w:r>
    </w:p>
    <w:p>
      <w:pPr>
        <w:spacing w:after="0" w:line="1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has included lease extension options in the lease term for calculations of its right-of-use assets and liabilities related to the real estate asset leases at its stores when it is reasonably certain that the Company plans to extend the lease terms as the options arise.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Several of the leases of real estate at the Company’s stores include escalation clauses based on an index or rate, such as the Consumer Price Index (CPI). The Company included these lease payments in its calculations of right-of-use assets and liabilities based on the prevailing index or rate as of the adoption date. The Company will recognize changes to these variable lease payments in earnings in the period of change.</w:t>
      </w:r>
    </w:p>
    <w:p>
      <w:pPr>
        <w:spacing w:after="0" w:line="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One of the real estate leases includes variable lease payments that are based upon a percentage of gross revenues. Certain other leases include additional variable payments relating to a percentage of sales in excess of a specified amount, common area maintenance, property taxes, etc. These payments are variable lease payments that do not depend on an index or rate and are excluded from the measurement of the lease liabilities and right-of-use-assets for these leases. The Company will recognize costs from these variable lease payments in the period in which the obligation for those payments is incurred.</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signed a lease agreement for a store in New Jersey. The store is currently under construction by the lessor, and the Company will take possession of the leased asset upon completion of construction, which is estimated to be completed in early 2020. The lease term is 75 years from the lease commencement date, with three 10-year extension options. The Company has also signed a lease agreement for a store in California. The store is under construction by the lessor, and the Company will take possession of the leased asset upon completion of construction, which is estimated to be completed in mid-2020. The lease term is 15 years from the lease commencement date, with three 10-year extension options and one 5-year extension option. The Company has not recorded right-of-use assets or lease liabilities related to these leases as of September 30, 2019 as the lease term has not yet commenced for either lease. The lease commencement date will occur when the Company takes possession of the leased asset, and the Company will recognize a lease liability and right-of-use asset relating to the leases at that time.</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uses its incremental borrowing rate based on the information available surrounding the Company’s unsecured borrowing rates and implied secured spread at the lease commencement date in determining the present value of lease payments. These discount rates vary depending on the term of the specific leases.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333"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information on our total lease costs as of the period(s) indicated:</w:t>
      </w:r>
    </w:p>
    <w:p>
      <w:pPr>
        <w:spacing w:after="0" w:line="309" w:lineRule="exact"/>
        <w:rPr>
          <w:sz w:val="20"/>
          <w:szCs w:val="20"/>
          <w:color w:val="auto"/>
        </w:rPr>
      </w:pPr>
    </w:p>
    <w:p>
      <w:pPr>
        <w:jc w:val="right"/>
        <w:ind w:right="80"/>
        <w:spacing w:after="0"/>
        <w:tabs>
          <w:tab w:leader="none" w:pos="1440" w:val="left"/>
        </w:tabs>
        <w:rPr>
          <w:sz w:val="20"/>
          <w:szCs w:val="20"/>
          <w:color w:val="auto"/>
        </w:rPr>
      </w:pPr>
      <w:r>
        <w:rPr>
          <w:rFonts w:ascii="Times New Roman" w:cs="Times New Roman" w:eastAsia="Times New Roman" w:hAnsi="Times New Roman"/>
          <w:sz w:val="16"/>
          <w:szCs w:val="16"/>
          <w:b w:val="1"/>
          <w:bCs w:val="1"/>
          <w:color w:val="auto"/>
        </w:rPr>
        <w:t>For the Three Months</w:t>
      </w:r>
      <w:r>
        <w:rPr>
          <w:sz w:val="20"/>
          <w:szCs w:val="20"/>
          <w:color w:val="auto"/>
        </w:rPr>
        <w:tab/>
      </w:r>
      <w:r>
        <w:rPr>
          <w:rFonts w:ascii="Times New Roman" w:cs="Times New Roman" w:eastAsia="Times New Roman" w:hAnsi="Times New Roman"/>
          <w:sz w:val="16"/>
          <w:szCs w:val="16"/>
          <w:b w:val="1"/>
          <w:bCs w:val="1"/>
          <w:color w:val="auto"/>
        </w:rPr>
        <w:t>For the Nine Months</w:t>
      </w:r>
    </w:p>
    <w:p>
      <w:pPr>
        <w:spacing w:after="0" w:line="28" w:lineRule="exact"/>
        <w:rPr>
          <w:sz w:val="20"/>
          <w:szCs w:val="20"/>
          <w:color w:val="auto"/>
        </w:rPr>
      </w:pPr>
    </w:p>
    <w:p>
      <w:pPr>
        <w:jc w:val="right"/>
        <w:ind w:right="6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Ended September 30,</w:t>
      </w:r>
      <w:r>
        <w:rPr>
          <w:sz w:val="20"/>
          <w:szCs w:val="20"/>
          <w:color w:val="auto"/>
        </w:rPr>
        <w:tab/>
      </w:r>
      <w:r>
        <w:rPr>
          <w:rFonts w:ascii="Times New Roman" w:cs="Times New Roman" w:eastAsia="Times New Roman" w:hAnsi="Times New Roman"/>
          <w:sz w:val="16"/>
          <w:szCs w:val="16"/>
          <w:b w:val="1"/>
          <w:bCs w:val="1"/>
          <w:color w:val="auto"/>
        </w:rPr>
        <w:t>Ended September 30,</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expense related to finance lease liabilities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right="2120" w:hanging="179"/>
        <w:spacing w:after="0" w:line="313"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Operating cash outflows for finance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Operating cash outflows for operating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cash flows for lease liability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right="1800"/>
        <w:spacing w:after="0" w:line="379" w:lineRule="auto"/>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 Right-of-use assets obtained in exchange for new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 finance leases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77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70"/>
        </w:trPr>
        <w:tc>
          <w:tcPr>
            <w:tcW w:w="38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0"/>
        </w:trPr>
        <w:tc>
          <w:tcPr>
            <w:tcW w:w="38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7,060</w:t>
            </w: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12,737</w:t>
            </w:r>
          </w:p>
        </w:tc>
      </w:tr>
      <w:tr>
        <w:trPr>
          <w:trHeight w:val="270"/>
        </w:trPr>
        <w:tc>
          <w:tcPr>
            <w:tcW w:w="38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1,624</w:t>
            </w: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r>
      <w:tr>
        <w:trPr>
          <w:trHeight w:val="270"/>
        </w:trPr>
        <w:tc>
          <w:tcPr>
            <w:tcW w:w="38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8,827</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16,643</w:t>
            </w: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3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70"/>
        </w:trPr>
        <w:tc>
          <w:tcPr>
            <w:tcW w:w="38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6,573</w:t>
            </w: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12,122</w:t>
            </w: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6,631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12,295</w:t>
            </w: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48"/>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52,413</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277,430</w:t>
            </w:r>
          </w:p>
        </w:tc>
      </w:tr>
      <w:tr>
        <w:trPr>
          <w:trHeight w:val="270"/>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8,050</w:t>
            </w:r>
          </w:p>
        </w:tc>
      </w:tr>
      <w:tr>
        <w:trPr>
          <w:trHeight w:val="594"/>
        </w:trPr>
        <w:tc>
          <w:tcPr>
            <w:tcW w:w="38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47.1</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8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14.9</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80" w:type="dxa"/>
            <w:vAlign w:val="bottom"/>
          </w:tcPr>
          <w:p>
            <w:pPr>
              <w:spacing w:after="0"/>
              <w:rPr>
                <w:sz w:val="23"/>
                <w:szCs w:val="23"/>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80" w:type="dxa"/>
            <w:vAlign w:val="bottom"/>
          </w:tcPr>
          <w:p>
            <w:pPr>
              <w:spacing w:after="0"/>
              <w:rPr>
                <w:sz w:val="23"/>
                <w:szCs w:val="23"/>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7220" w:space="720"/>
            <w:col w:w="3480"/>
          </w:cols>
          <w:pgMar w:left="240" w:top="333" w:right="239" w:bottom="1440" w:gutter="0" w:footer="0" w:header="0"/>
          <w:type w:val="continuous"/>
        </w:sectPr>
      </w:pP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is information about the Company’s undiscounted cash flows on an annual basis for operating and finance leases, including a reconciliation of the undiscounted cash flows to the finance lease and operating lease liabilities recognized in the Company’s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28,331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28,563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28,586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28,823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28,866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28,698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252,832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269,609</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374,040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391,853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value adjustments</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(94,991)</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(107,981)</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279,049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283,872</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property rental revenue is primarily related to rents received from tenants at its operating stores. The Company's leases with its self-storage tenants are generally on month-to-month terms, include automatic monthly renewals, allow flexibility to increase rental rates over time as market conditions permit, and provide for the collection of contingent fees such as late fees. These leases do not include any terms or conditions that allow the tenants to purchase the leased space. All self-storage leases for which the Company acts as lessor have been classified as operating leases. The real estate assets related to the Company's stores are included in Real estate assets, net on the Company's condensed consolidated balance sheets and are presented at historical cost less accumulated depreciation and impairment, if any. Rental income related to these operating leases is included in Property rental revenue on the Company's condensed consolidated statements of operations, and is recognized each month during the month-to-month terms at the rental rate in place during each month.</w:t>
      </w:r>
    </w:p>
    <w:p>
      <w:pPr>
        <w:spacing w:after="0" w:line="28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230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18"/>
                <w:szCs w:val="18"/>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Self-Storage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290,917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266,728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841,504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772,742</w:t>
            </w:r>
          </w:p>
        </w:tc>
        <w:tc>
          <w:tcPr>
            <w:tcW w:w="0" w:type="dxa"/>
            <w:vAlign w:val="bottom"/>
          </w:tcPr>
          <w:p>
            <w:pPr>
              <w:spacing w:after="0"/>
              <w:rPr>
                <w:sz w:val="1"/>
                <w:szCs w:val="1"/>
                <w:color w:val="auto"/>
              </w:rPr>
            </w:pPr>
          </w:p>
        </w:tc>
      </w:tr>
      <w:tr>
        <w:trPr>
          <w:trHeight w:val="24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Tenant Reinsurance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33,588</w:t>
            </w:r>
          </w:p>
        </w:tc>
        <w:tc>
          <w:tcPr>
            <w:tcW w:w="5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30,105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95,086</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85,660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324,505</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296,833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936,590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858,402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Self-Storage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88,653</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73,652</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248,288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219,488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Tenant Reinsurance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7,644</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21,593</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18,798</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96,297</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81,372</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269,881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238,286</w:t>
            </w: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Self-Storage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202,264</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593,216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553,254</w:t>
            </w:r>
          </w:p>
        </w:tc>
        <w:tc>
          <w:tcPr>
            <w:tcW w:w="0" w:type="dxa"/>
            <w:vAlign w:val="bottom"/>
          </w:tcPr>
          <w:p>
            <w:pPr>
              <w:spacing w:after="0"/>
              <w:rPr>
                <w:sz w:val="1"/>
                <w:szCs w:val="1"/>
                <w:color w:val="auto"/>
              </w:rPr>
            </w:pPr>
          </w:p>
        </w:tc>
      </w:tr>
      <w:tr>
        <w:trPr>
          <w:trHeight w:val="24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Tenant Reinsurance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25,944</w:t>
            </w:r>
          </w:p>
        </w:tc>
        <w:tc>
          <w:tcPr>
            <w:tcW w:w="5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73,493</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66,862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net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228,208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215,461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666,709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620,116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components of 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management fees and other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13,000</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10,120</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36,063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(56,051)</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(165,116)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real estate 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30,807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w:t>
            </w:r>
          </w:p>
        </w:tc>
        <w:tc>
          <w:tcPr>
            <w:tcW w:w="0" w:type="dxa"/>
            <w:vAlign w:val="bottom"/>
          </w:tcPr>
          <w:p>
            <w:pPr>
              <w:spacing w:after="0"/>
              <w:rPr>
                <w:sz w:val="1"/>
                <w:szCs w:val="1"/>
                <w:color w:val="auto"/>
              </w:rPr>
            </w:pPr>
          </w:p>
        </w:tc>
      </w:tr>
      <w:tr>
        <w:trPr>
          <w:trHeight w:val="24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interest expense related to the amortization of discount on equity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component of exchangeable senior notes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4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2,799</w:t>
            </w:r>
          </w:p>
        </w:tc>
        <w:tc>
          <w:tcPr>
            <w:tcW w:w="5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5,905</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2,704</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4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115,995</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139,687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330,844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337,830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0" w:gutter="0" w:footer="0" w:header="0"/>
        </w:sectPr>
      </w:pPr>
    </w:p>
    <w:p>
      <w:pPr>
        <w:spacing w:after="0" w:line="200" w:lineRule="exact"/>
        <w:rPr>
          <w:sz w:val="20"/>
          <w:szCs w:val="20"/>
          <w:color w:val="auto"/>
        </w:rPr>
      </w:pPr>
    </w:p>
    <w:p>
      <w:pPr>
        <w:spacing w:after="0" w:line="33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ectPr>
          <w:pgSz w:w="11900" w:h="16838" w:orient="portrait"/>
          <w:cols w:equalWidth="0" w:num="1">
            <w:col w:w="11420"/>
          </w:cols>
          <w:pgMar w:left="240" w:top="333" w:right="239" w:bottom="0" w:gutter="0" w:footer="0" w:header="0"/>
          <w:type w:val="continuous"/>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As of September 30, 2019,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12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was under agreement to acquire four stores at a total purchase price of $41,828. These stores are scheduled to close in 2020. Additionally, the Company is under agreement to acquire five stores with joint venture partners, for a total investment of $31,384. Three of these stores are scheduled to close in 2019 and the remaining stores are expected to close in 2020.</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8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29, 2019, the Company invested $150.0 million in shares of newly issued convertible preferred stock of SmartStop Self Storage REIT, Inc. ("SmartStop"), with an additional commitment to purchase up to $50.0 million of the preferred shares over the next 12 months. The dividend rate for the preferred shares is 6.25% per annum, subject to increase after five years. The preferred shares are generally not redeemable for five years, except in the case of a change of control or initial listing of SmartStop.</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80"/>
          </w:cols>
          <w:pgMar w:left="240" w:top="333" w:right="379" w:bottom="1440" w:gutter="0" w:footer="0" w:header="0"/>
        </w:sectPr>
      </w:pPr>
    </w:p>
    <w:bookmarkStart w:id="33" w:name="page34"/>
    <w:bookmarkEnd w:id="3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w:t>
      </w:r>
    </w:p>
    <w:p>
      <w:pPr>
        <w:spacing w:after="0" w:line="22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our unaudited </w:t>
      </w:r>
      <w:r>
        <w:rPr>
          <w:rFonts w:ascii="Times New Roman" w:cs="Times New Roman" w:eastAsia="Times New Roman" w:hAnsi="Times New Roman"/>
          <w:sz w:val="18"/>
          <w:szCs w:val="18"/>
          <w:i w:val="1"/>
          <w:iCs w:val="1"/>
          <w:color w:val="auto"/>
        </w:rPr>
        <w:t>“Condensed Consolidated Financial Statements”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Consolidated Financial Statements (unaudited)” </w:t>
      </w:r>
      <w:r>
        <w:rPr>
          <w:rFonts w:ascii="Times New Roman" w:cs="Times New Roman" w:eastAsia="Times New Roman" w:hAnsi="Times New Roman"/>
          <w:sz w:val="18"/>
          <w:szCs w:val="18"/>
          <w:color w:val="auto"/>
        </w:rPr>
        <w:t>appearing elsewhere in this report and the</w:t>
      </w:r>
      <w:r>
        <w:rPr>
          <w:rFonts w:ascii="Times New Roman" w:cs="Times New Roman" w:eastAsia="Times New Roman" w:hAnsi="Times New Roman"/>
          <w:sz w:val="18"/>
          <w:szCs w:val="18"/>
          <w:i w:val="1"/>
          <w:iCs w:val="1"/>
          <w:color w:val="auto"/>
        </w:rPr>
        <w:t xml:space="preserve"> “Consolidated Financial Statements,” “Notes to Consolidated Financial Statements”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“Management’s Discussion and Analysis of Financial Condition and Results of Operations” </w:t>
      </w:r>
      <w:r>
        <w:rPr>
          <w:rFonts w:ascii="Times New Roman" w:cs="Times New Roman" w:eastAsia="Times New Roman" w:hAnsi="Times New Roman"/>
          <w:sz w:val="18"/>
          <w:szCs w:val="18"/>
          <w:color w:val="auto"/>
        </w:rPr>
        <w:t>contained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2018.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8"/>
          <w:szCs w:val="18"/>
          <w:i w:val="1"/>
          <w:iCs w:val="1"/>
          <w:color w:val="auto"/>
        </w:rPr>
        <w:t>Statement on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2018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576" w:right="25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30, 2019, we owned or had ownership interests in 1,167 operating stores. Of these stores, 920 are wholly-owned, five are in consolidated joint ventures, and 242 are in unconsolidated joint ventures. In addition, we managed an additional 630 stores for third parties bringing the total number of stores which we own and/or manage to 1,797.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2019, approximately 1,020,000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2019, the average length of stay was approximately 15.6 months.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average annual rent per square foot for our existing customers at stabilized stores, net of discounts and bad debt, was $16.42 for the three months ended September 30, 2019, compared to $15.95 for the three months ended September 30, 2018. Average annual rent per square foot for new leases was $18.34 for the three months ended September 30, 2019, compared to $18.21 for the three months ended September 30, 2018. The average discounts, as a percentage of rental revenues, at all stabilized properties during these periods were 3.6% and 4.5%, respectively.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796"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2280" w:type="dxa"/>
            <w:vAlign w:val="bottom"/>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280" w:type="dxa"/>
            <w:vAlign w:val="bottom"/>
          </w:tcPr>
          <w:p>
            <w:pPr>
              <w:spacing w:after="0"/>
              <w:rPr>
                <w:sz w:val="18"/>
                <w:szCs w:val="18"/>
                <w:color w:val="auto"/>
              </w:rPr>
            </w:pPr>
          </w:p>
        </w:tc>
        <w:tc>
          <w:tcPr>
            <w:tcW w:w="236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900" w:type="dxa"/>
            <w:vAlign w:val="bottom"/>
          </w:tcPr>
          <w:p>
            <w:pPr>
              <w:spacing w:after="0"/>
              <w:rPr>
                <w:sz w:val="18"/>
                <w:szCs w:val="18"/>
                <w:color w:val="auto"/>
              </w:rPr>
            </w:pPr>
          </w:p>
        </w:tc>
        <w:tc>
          <w:tcPr>
            <w:tcW w:w="13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33"/>
        </w:trPr>
        <w:tc>
          <w:tcPr>
            <w:tcW w:w="2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228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Rentable</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Rentable</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 Rentable</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Net Rentable</w:t>
            </w:r>
          </w:p>
        </w:tc>
      </w:tr>
      <w:tr>
        <w:trPr>
          <w:trHeight w:val="245"/>
        </w:trPr>
        <w:tc>
          <w:tcPr>
            <w:tcW w:w="2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Count</w:t>
            </w:r>
            <w:r>
              <w:rPr>
                <w:rFonts w:ascii="Times New Roman" w:cs="Times New Roman" w:eastAsia="Times New Roman" w:hAnsi="Times New Roman"/>
                <w:sz w:val="21"/>
                <w:szCs w:val="21"/>
                <w:b w:val="1"/>
                <w:bCs w:val="1"/>
                <w:color w:val="auto"/>
                <w:vertAlign w:val="superscript"/>
              </w:rPr>
              <w:t>(1)</w:t>
            </w: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Square Feet</w:t>
            </w:r>
          </w:p>
        </w:tc>
      </w:tr>
      <w:tr>
        <w:trPr>
          <w:trHeight w:val="23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557,143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75,801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866,846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1,499,790</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1,623,112</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467,460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1,359,605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3,450,177</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165</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12,663,924</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3,021,681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5,646,172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21,331,777</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1,075,157</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186,293</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1,958,876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3,220,326</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529,455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626,227</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284,432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1,440,114</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76,945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70,653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147,598</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6,969,378</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2,543,565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6,361,651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15,874,594</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4,563,704</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431,477</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1,283,478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6,278,659</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843,974</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209,215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1,053,189</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711,074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711,074</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2,725,286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570,172</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2,121,546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5,417,004</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950,359</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58,086</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850,080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1,858,525</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50,142</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108,770</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70,420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229,332</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928,307</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51,128</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311,138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1,290,573</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150,555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299,802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450,357</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2,587,910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618,640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1,807,234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5,013,784</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2,972,797</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641,063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605,365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4,219,225</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561,966</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314,331</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102,147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978,444</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382,301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615,894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998,195</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215,812</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256,550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472,362</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333,580</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119,275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608,303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1,061,158</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164,494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164,494</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1,035,845</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472,981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533,505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2,042,331</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136,135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84,325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61,535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281,995</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4,658,053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1,246,731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825,939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6,730,723</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722,310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349,860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891,950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1,964,120</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1,968,598</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1,404,529</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1,122,883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4,496,010</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1,411,295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374,010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1,586,691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3,371,996</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1,314,894</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327,053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398,956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2,040,903</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1,577,962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1,577,962</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399,941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281,689</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598,810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1,280,440</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1,350,092</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510,446</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1,369,890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3,230,428</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130,846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84,665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215,511</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1,757,606</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497,578</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1,399,429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3,654,613</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1,403,456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804,121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1,150,636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3,358,213</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8,605,464</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706,854</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6,281,835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15,594,153</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710,204</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1,272,392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1,982,596</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3,681,166</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565,118</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1,003,892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5,250,176</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589,997</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57,340</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480,838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1,128,175</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100,039</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104,058</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186,048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390,145</w:t>
            </w:r>
          </w:p>
        </w:tc>
      </w:tr>
      <w:tr>
        <w:trPr>
          <w:trHeight w:val="33"/>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505,806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445,529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951,335</w:t>
            </w: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Puerto Rico</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916,616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916,616</w:t>
            </w:r>
          </w:p>
        </w:tc>
      </w:tr>
      <w:tr>
        <w:trPr>
          <w:trHeight w:val="33"/>
        </w:trPr>
        <w:tc>
          <w:tcPr>
            <w:tcW w:w="2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925</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70,660,803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242</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18,203,413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630</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48,754,976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137,619,192</w:t>
            </w:r>
          </w:p>
        </w:tc>
      </w:tr>
      <w:tr>
        <w:trPr>
          <w:trHeight w:val="20"/>
        </w:trPr>
        <w:tc>
          <w:tcPr>
            <w:tcW w:w="2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five consolidated joint venture stores.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6" w:right="2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Results for the three and nine months ended September 30, 2019 included the operations of 1,167 stores (920 wholly-owned, five in consolidated joint ventures, and 242 in joint ventures accounted for using the equity method) compared to the results for the three and nine months ended September 30, 2018, which included the operations of 1,099 stores (872 wholly-owned, four in consolidated joint ventures, and 223 in joint ventures accounted for using the equity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revenues earned for the periods indicated:</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28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60"/>
        </w:trPr>
        <w:tc>
          <w:tcPr>
            <w:tcW w:w="2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rental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290,917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266,728</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24,189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841,504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772,742</w:t>
            </w:r>
          </w:p>
        </w:tc>
        <w:tc>
          <w:tcPr>
            <w:tcW w:w="10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68,762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Tenant reinsurance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95,086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85,660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10,120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36,063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30,849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5,214</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28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337,505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306,953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972,653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889,251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83,402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b w:val="1"/>
          <w:bCs w:val="1"/>
          <w:color w:val="auto"/>
        </w:rPr>
        <w:t>Property Rental—</w:t>
      </w:r>
      <w:r>
        <w:rPr>
          <w:rFonts w:ascii="Times New Roman" w:cs="Times New Roman" w:eastAsia="Times New Roman" w:hAnsi="Times New Roman"/>
          <w:sz w:val="17"/>
          <w:szCs w:val="17"/>
          <w:color w:val="auto"/>
        </w:rPr>
        <w:t>The increase in property rental revenues for the three and nine months ended September 30, 2019 was primarily the result of revenues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newly-acquired stores and increases in rental rates at our stabilized stores. Increases of $15,173 and $38,542, respectively, were attributable to store acquisitions completed in 2019 and 2018. We acquired 16 wholly-owned stores and 27 leased properties (as part of a new net lease agreement signed) during the nine months ended September 30, 2019. We acquired 34 stores during the year ended December 31, 2018. Increases of $8,253 and $27,400 for the three and nine months ended September 30, 2019, respectively, were due to higher net rental rates for new and existing customers at our stabilized stores.</w:t>
      </w:r>
    </w:p>
    <w:p>
      <w:pPr>
        <w:spacing w:after="0" w:line="1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The increase in our tenant reinsurance revenues was due primarily to an increase in the number of stores operated. We operated 1,797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at September 30, 2019 compared to 1,606 stores at September 30, 2018.</w:t>
      </w:r>
    </w:p>
    <w:p>
      <w:pPr>
        <w:spacing w:after="0" w:line="1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Management Fees and Other Income—</w:t>
      </w:r>
      <w:r>
        <w:rPr>
          <w:rFonts w:ascii="Times New Roman" w:cs="Times New Roman" w:eastAsia="Times New Roman" w:hAnsi="Times New Roman"/>
          <w:sz w:val="18"/>
          <w:szCs w:val="18"/>
          <w:color w:val="auto"/>
        </w:rPr>
        <w:t>Management fees and other income primarily represent the fee collected for our management of stores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and unconsolidated joint ventures and other transaction fee income. The increase for the three and nine months ended September 30, 2019 was primarily due to an increase in the number of stores managed. As of September 30, 2019, we managed 630 stores for third parties, compared to 507 stores as of September 30, 2018, and we also managed 247 stores for joint ventures as of September 30, 2019, compared to 227 as of September 30, 2018.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expenses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0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5"/>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4"/>
        </w:trPr>
        <w:tc>
          <w:tcPr>
            <w:tcW w:w="3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3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60"/>
        </w:trPr>
        <w:tc>
          <w:tcPr>
            <w:tcW w:w="3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3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operations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88,653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73,652</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15,001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248,288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219,488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28,800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Tenant reinsurance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3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20"/>
                <w:szCs w:val="20"/>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22,519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19,707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68,548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62,822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5,726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56,051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52,283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165,116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155,924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9,192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7"/>
        </w:trPr>
        <w:tc>
          <w:tcPr>
            <w:tcW w:w="31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174,867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153,362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503,545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457,032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46,513</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6" w:right="239" w:bottom="1440" w:gutter="0" w:footer="0" w:header="0"/>
        </w:sectPr>
      </w:pPr>
    </w:p>
    <w:bookmarkStart w:id="37" w:name="page38"/>
    <w:bookmarkEnd w:id="37"/>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Property Operations—</w:t>
      </w:r>
      <w:r>
        <w:rPr>
          <w:rFonts w:ascii="Times New Roman" w:cs="Times New Roman" w:eastAsia="Times New Roman" w:hAnsi="Times New Roman"/>
          <w:sz w:val="18"/>
          <w:szCs w:val="18"/>
          <w:color w:val="auto"/>
        </w:rPr>
        <w:t>The increases in property operations expense during the three and nine months ended September 30, 2019 were due primarily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of $9,872 and $18,588, respectively, attributable to store acquisitions completed in 2019 and 2018. We acquired 16 wholly-owned stores and 27 leased properties (as part of a new net lease agreement signed) during the nine months ended September 30, 2019. We acquired 34 stores during the year ended December 31, 2018. Additional increases of $4,748 and $9,098 for the three and nine months ended September 30, 2019, respectively, were related to an increase in expenses from property taxes and marketing at stabilized stores.</w:t>
      </w:r>
    </w:p>
    <w:p>
      <w:pPr>
        <w:spacing w:after="0" w:line="1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Tenant reinsurance expense represents the costs that are incurred to provide tenant reinsurance. The increase in tenant reinsurance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for nine months ended September 30, 2019 was due primarily to an increase in the number of stores we owned and/or managed and an increase in the overall average payout on claims when compared to the nine months ended September 30, 2018.</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primarily include all expenses not directly related to our stores, including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office expense, office rent, travel and professional fees. We did not observe any material trends in specific payroll, travel or other expenses apart from the increase due to the management of additional stores.</w:t>
      </w:r>
    </w:p>
    <w:p>
      <w:pPr>
        <w:spacing w:after="0" w:line="171"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18"/>
          <w:szCs w:val="18"/>
          <w:color w:val="auto"/>
        </w:rPr>
        <w:t>Depreciation and amortization expense increased as a result of the acquisition of new stores. We acquired 16 stores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nine months ended September 30, 2019. We acquired 34 stores during the year ended December 31, 2018.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other revenues and expenses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9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5"/>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28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28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24"/>
        </w:trPr>
        <w:tc>
          <w:tcPr>
            <w:tcW w:w="2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30,807</w:t>
            </w:r>
          </w:p>
        </w:tc>
        <w:tc>
          <w:tcPr>
            <w:tcW w:w="100" w:type="dxa"/>
            <w:vAlign w:val="bottom"/>
          </w:tcPr>
          <w:p>
            <w:pPr>
              <w:spacing w:after="0"/>
              <w:rPr>
                <w:sz w:val="19"/>
                <w:szCs w:val="19"/>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30,807</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47"/>
        </w:trPr>
        <w:tc>
          <w:tcPr>
            <w:tcW w:w="2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2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16"/>
        </w:trPr>
        <w:tc>
          <w:tcPr>
            <w:tcW w:w="2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interest expense related to</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3"/>
        </w:trPr>
        <w:tc>
          <w:tcPr>
            <w:tcW w:w="2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amortization of discount on equity</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component of exchangeable senior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2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47.7 %</w:t>
            </w:r>
          </w:p>
        </w:tc>
      </w:tr>
      <w:tr>
        <w:trPr>
          <w:trHeight w:val="216"/>
        </w:trPr>
        <w:tc>
          <w:tcPr>
            <w:tcW w:w="2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w:t>
            </w:r>
          </w:p>
        </w:tc>
        <w:tc>
          <w:tcPr>
            <w:tcW w:w="1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8,455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0"/>
        </w:trPr>
        <w:tc>
          <w:tcPr>
            <w:tcW w:w="2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real estate ventures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r>
      <w:tr>
        <w:trPr>
          <w:trHeight w:val="217"/>
        </w:trPr>
        <w:tc>
          <w:tcPr>
            <w:tcW w:w="284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(32,739)</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235.5 %</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(138,264)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(94,389)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46.5 %</w:t>
            </w:r>
          </w:p>
        </w:tc>
      </w:tr>
      <w:tr>
        <w:trPr>
          <w:trHeight w:val="33"/>
        </w:trPr>
        <w:tc>
          <w:tcPr>
            <w:tcW w:w="2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Gain on Real Estate Transactions— </w:t>
      </w:r>
      <w:r>
        <w:rPr>
          <w:rFonts w:ascii="Times New Roman" w:cs="Times New Roman" w:eastAsia="Times New Roman" w:hAnsi="Times New Roman"/>
          <w:sz w:val="18"/>
          <w:szCs w:val="18"/>
          <w:color w:val="auto"/>
        </w:rPr>
        <w:t>The gain of $1,205 for the nine months ended September 30, 2019 was a result of the sale of one property in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$11,781. During the three and nine months ended September 30, 2018, we recorded a $30,671 gain on the sale of one property in California.</w:t>
      </w:r>
    </w:p>
    <w:p>
      <w:pPr>
        <w:spacing w:after="0" w:line="15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The increase in interest expense during the three and nine months ended September 30, 2019 was primarily the result of a higher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balance when compared to the same periods in the prior year. Information on the total face value of debt and average interest rate for each quarter during the nine months ended September 30, 2019 and 2018 follows: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9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r>
      <w:tr>
        <w:trPr>
          <w:trHeight w:val="195"/>
        </w:trPr>
        <w:tc>
          <w:tcPr>
            <w:tcW w:w="400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1380" w:type="dxa"/>
            <w:vAlign w:val="bottom"/>
            <w:gridSpan w:val="3"/>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64"/>
        </w:trPr>
        <w:tc>
          <w:tcPr>
            <w:tcW w:w="400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face value of debt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$4,844,620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$4,803,360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$5,072,936</w:t>
            </w:r>
          </w:p>
        </w:tc>
        <w:tc>
          <w:tcPr>
            <w:tcW w:w="1380" w:type="dxa"/>
            <w:vAlign w:val="bottom"/>
            <w:tcBorders>
              <w:bottom w:val="single" w:sz="8" w:color="CCEEFF"/>
            </w:tcBorders>
            <w:gridSpan w:val="3"/>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rPr>
              <w:t>$4,809,483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left="43"/>
              <w:spacing w:after="0"/>
              <w:rPr>
                <w:sz w:val="20"/>
                <w:szCs w:val="20"/>
                <w:color w:val="auto"/>
              </w:rPr>
            </w:pPr>
            <w:r>
              <w:rPr>
                <w:rFonts w:ascii="Times New Roman" w:cs="Times New Roman" w:eastAsia="Times New Roman" w:hAnsi="Times New Roman"/>
                <w:sz w:val="16"/>
                <w:szCs w:val="16"/>
                <w:color w:val="auto"/>
              </w:rPr>
              <w:t>$5,039,286</w:t>
            </w:r>
          </w:p>
        </w:tc>
        <w:tc>
          <w:tcPr>
            <w:tcW w:w="1360" w:type="dxa"/>
            <w:vAlign w:val="bottom"/>
            <w:tcBorders>
              <w:bottom w:val="single" w:sz="8" w:color="CCEEFF"/>
            </w:tcBorders>
            <w:gridSpan w:val="3"/>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rPr>
              <w:t>$4,557,414</w:t>
            </w:r>
          </w:p>
        </w:tc>
      </w:tr>
      <w:tr>
        <w:trPr>
          <w:trHeight w:val="237"/>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Average interest rate of debt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3.4%</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102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rPr>
              <w:t>3.5%</w:t>
            </w:r>
          </w:p>
        </w:tc>
        <w:tc>
          <w:tcPr>
            <w:tcW w:w="1380" w:type="dxa"/>
            <w:vAlign w:val="bottom"/>
            <w:gridSpan w:val="3"/>
          </w:tcPr>
          <w:p>
            <w:pPr>
              <w:jc w:val="center"/>
              <w:ind w:left="16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02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gridSpan w:val="3"/>
          </w:tcPr>
          <w:p>
            <w:pPr>
              <w:jc w:val="center"/>
              <w:ind w:left="142"/>
              <w:spacing w:after="0"/>
              <w:rPr>
                <w:sz w:val="20"/>
                <w:szCs w:val="20"/>
                <w:color w:val="auto"/>
              </w:rPr>
            </w:pPr>
            <w:r>
              <w:rPr>
                <w:rFonts w:ascii="Times New Roman" w:cs="Times New Roman" w:eastAsia="Times New Roman" w:hAnsi="Times New Roman"/>
                <w:sz w:val="16"/>
                <w:szCs w:val="16"/>
                <w:color w:val="auto"/>
              </w:rPr>
              <w:t>3.4%</w:t>
            </w:r>
          </w:p>
        </w:tc>
      </w:tr>
    </w:tbl>
    <w:p>
      <w:pPr>
        <w:spacing w:after="0" w:line="200" w:lineRule="exact"/>
        <w:rPr>
          <w:sz w:val="20"/>
          <w:szCs w:val="20"/>
          <w:color w:val="auto"/>
        </w:rPr>
      </w:pPr>
    </w:p>
    <w:p>
      <w:pPr>
        <w:spacing w:after="0" w:line="24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Non-cash Interest Expense Related to Amortization of Discount on Equity Component of Exchangeable Senior Notes—</w:t>
      </w:r>
      <w:r>
        <w:rPr>
          <w:rFonts w:ascii="Times New Roman" w:cs="Times New Roman" w:eastAsia="Times New Roman" w:hAnsi="Times New Roman"/>
          <w:sz w:val="18"/>
          <w:szCs w:val="18"/>
          <w:color w:val="auto"/>
        </w:rPr>
        <w:t>Represents the amortization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discounts related to the equity components of the exchangeable senior notes issued by our Operating Partnership. The 2013 Notes and 2015 Notes both had an effective interest rate of 4.0% relative to the carrying amount of the liability.</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Interest income represents amounts earned on cash and cash equivalents deposited with financial institutions, interest earned on bridge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and income earned on note receivable from Common and Preferred Operating Partnership unit holders. In late 2018 we began to provide bridge financing on completed, including recently completed properties, owned by third parties that we manage. The increase in interest income during the three and nine months ended September 30, 2019 was primarily the result of interest earned on these bridge loans.</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Equity in Earnings of Unconsolidated Real Estate Ventures—</w:t>
      </w:r>
      <w:r>
        <w:rPr>
          <w:rFonts w:ascii="Times New Roman" w:cs="Times New Roman" w:eastAsia="Times New Roman" w:hAnsi="Times New Roman"/>
          <w:sz w:val="18"/>
          <w:szCs w:val="18"/>
          <w:color w:val="auto"/>
        </w:rPr>
        <w:t>Equity in earnings of unconsolidated real estate ventures represents the income earned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The decrease in earnings for the three and nine months ended September 30, 2019 related primarily to 12 properties that we purchased from joint ventures in January 2019.</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color w:val="auto"/>
        </w:rPr>
        <w:t>—For the three and nine months ended September 30, 2019, the increase in income tax expense was the result of an increase in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by our taxable REIT subsidiary when compared to the same period in the prior year.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2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FFO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9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0" w:type="dxa"/>
            <w:vAlign w:val="bottom"/>
          </w:tcPr>
          <w:p>
            <w:pPr>
              <w:spacing w:after="0"/>
              <w:rPr>
                <w:sz w:val="13"/>
                <w:szCs w:val="13"/>
                <w:color w:val="auto"/>
              </w:rPr>
            </w:pPr>
          </w:p>
        </w:tc>
        <w:tc>
          <w:tcPr>
            <w:tcW w:w="21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98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307,685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313,827</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 estate depreciation</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153,745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144,018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Unconsolidated joint venture real estate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on Series A Preferred Operating Partnership units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allocated to Operating Partnership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23,159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24,003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Funds from operations attributable to common stockholders and unit holders</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170,595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160,597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492,893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460,683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SAME-STORE RESULTS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same-store pool for the periods presented consists of 821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86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7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120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2860" w:type="dxa"/>
            <w:vAlign w:val="bottom"/>
            <w:gridSpan w:val="6"/>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262,739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254,351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773,323</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745,146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73,731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69,191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208,569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189,008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185,160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555,744</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536,577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Same-store square foot occupancy as of quarter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93.8%</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Properties included in same-store</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w w:val="96"/>
              </w:rPr>
              <w:t>821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Same-store revenues for the three and nine months ended September 30, 2019 increased due to higher net rental rates for both new and existing customers. Same-store expenses were higher for the three and nine months ended September 30, 2019 primarily due to increases in marketing, and property taxes. For the nine months ended September 30, 2019, the increase in same-store expenses was partially offset by decreases in payroll and benefits and utilities expense.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same-store net operating income to net income as presented on our condensed consolidated statements of operations for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88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88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115,995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330,844</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337,830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to exclude: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real estate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48,094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145,249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133,764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56,051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165,116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155,924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68,548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fees, other income and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tenant insurance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 same store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 same store expense</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30,709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Same Store NOI</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189,008</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185,160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555,744</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536,577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262,739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254,351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773,323</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745,146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217,579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208,569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189,008</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185,160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555,744</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536,577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increased as a result of our continued revenue growth. This growth was due to increased rental rates and an increase in the number of stores we own and operate.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544,466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529,027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(317,029)</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(231,459)</w:t>
            </w:r>
          </w:p>
        </w:tc>
      </w:tr>
      <w:tr>
        <w:trPr>
          <w:trHeight w:val="324"/>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Significant components of net cash flow included:</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330,844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337,830</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155,924</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and development of new stores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(372,387)</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real estate transactions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 of real estate assets, investments in real estate ventures and other assets</w:t>
            </w:r>
          </w:p>
        </w:tc>
        <w:tc>
          <w:tcPr>
            <w:tcW w:w="1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51,889</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notes receivable, net of principal payments received</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11,337</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1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33,780</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proceeds (payments) from our debt financing</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83,527</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(315,608)</w:t>
            </w:r>
          </w:p>
        </w:tc>
      </w:tr>
      <w:tr>
        <w:trPr>
          <w:trHeight w:val="486"/>
        </w:trPr>
        <w:tc>
          <w:tcPr>
            <w:tcW w:w="85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generate positive cash flow from operations in 2019,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2019, we had $62,277 available in cash and cash equivalents. Our cash and cash equivalents are held in accounts managed by third party financial institutions and consist of invested cash and cash in our operating accounts. During 2019 and 2018, we experienced no loss or lack of access to our cash or cash equivalents; however, there can be no assurance that access to our cash and cash equivalents will not be impacted by adverse conditions in the financial markets.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2019, we had $4,844,620 face value of debt, resulting in a debt to total enterprise value ratio of 23.0%. As of September 30, 2019, the ratio of total fixed-rate debt and other instruments to total debt was 77.2% (including $2,338,048 on which we have interest rate swaps that have been included as fixed-rate debt). The weighted average interest rate of the total of fixed- and variable-rate debt at September 30, 2019 was 3.4%. Certain of our real estate assets are pledged as collateral for our debt. We are subject to certain restrictive covenants relating to our outstanding debt. We were in compliance with all financial covenants at September 30, 2019.</w:t>
      </w:r>
    </w:p>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96" w:right="239" w:bottom="1440" w:gutter="0" w:footer="0" w:header="0"/>
        </w:sectPr>
      </w:pPr>
    </w:p>
    <w:bookmarkStart w:id="42" w:name="page43"/>
    <w:bookmarkEnd w:id="4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2019, we had approximately $4.8 billion in total face value of debt, of which approximately $1.1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$11.0 million annually.</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3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6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7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576" w:right="279" w:bottom="1440" w:gutter="0" w:footer="0" w:header="0"/>
        </w:sectPr>
      </w:pPr>
    </w:p>
    <w:bookmarkStart w:id="43" w:name="page44"/>
    <w:bookmarkEnd w:id="4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and results of operations. There have been no material changes to the risk factors described in the “Risk Factors” section in our Annual Report on Form 10-K for the year ended December 31, 2018.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4" w:name="page45"/>
    <w:bookmarkEnd w:id="4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p>
      <w:pPr>
        <w:ind w:left="720" w:right="180" w:hanging="580"/>
        <w:spacing w:after="0" w:line="261"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7">
        <w:r>
          <w:rPr>
            <w:rFonts w:ascii="Times New Roman" w:cs="Times New Roman" w:eastAsia="Times New Roman" w:hAnsi="Times New Roman"/>
            <w:sz w:val="18"/>
            <w:szCs w:val="18"/>
            <w:u w:val="single" w:color="auto"/>
            <w:color w:val="0000FF"/>
          </w:rPr>
          <w:t>Amendment No. 1, dated as of July 1, 2019, to the Amended and Restated Credit Agreement, dated as of December 7, 2018, by and among Extra</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Space Storage Inc., Extra Space Storage LP, U.S. Bank National Association, as administrative agent, certain other financial institutions acting as</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syndication agents, documentation agents and lead arrangers and book runners, and certain lenders party thereto (incorporated by reference to</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Exhibit 10.1 of Form 8-K filed on July 8, 2019).</w:t>
        </w:r>
      </w:hyperlink>
    </w:p>
    <w:p>
      <w:pPr>
        <w:spacing w:after="0" w:line="126" w:lineRule="exact"/>
        <w:rPr>
          <w:rFonts w:ascii="Times New Roman" w:cs="Times New Roman" w:eastAsia="Times New Roman" w:hAnsi="Times New Roman"/>
          <w:sz w:val="18"/>
          <w:szCs w:val="18"/>
          <w:u w:val="single" w:color="auto"/>
          <w:color w:val="0000FF"/>
        </w:rPr>
      </w:pPr>
    </w:p>
    <w:p>
      <w:pPr>
        <w:ind w:left="180"/>
        <w:spacing w:after="0"/>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47">
        <w:r>
          <w:rPr>
            <w:rFonts w:ascii="Times New Roman" w:cs="Times New Roman" w:eastAsia="Times New Roman" w:hAnsi="Times New Roman"/>
            <w:sz w:val="17"/>
            <w:szCs w:val="17"/>
            <w:u w:val="single" w:color="auto"/>
            <w:color w:val="0000FF"/>
          </w:rPr>
          <w:t>Certification of Chief Executive Officer pursuant to Section 302 of the Sarbanes-Oxley Act of 2002.</w:t>
        </w:r>
      </w:hyperlink>
    </w:p>
    <w:p>
      <w:pPr>
        <w:spacing w:after="0" w:line="171" w:lineRule="exact"/>
        <w:rPr>
          <w:rFonts w:ascii="Times New Roman" w:cs="Times New Roman" w:eastAsia="Times New Roman" w:hAnsi="Times New Roman"/>
          <w:sz w:val="18"/>
          <w:szCs w:val="18"/>
          <w:u w:val="single" w:color="auto"/>
          <w:color w:val="0000FF"/>
        </w:rPr>
      </w:pPr>
    </w:p>
    <w:p>
      <w:pPr>
        <w:ind w:left="180"/>
        <w:spacing w:after="0"/>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48">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hyperlink>
    </w:p>
    <w:p>
      <w:pPr>
        <w:spacing w:after="0" w:line="171" w:lineRule="exact"/>
        <w:rPr>
          <w:rFonts w:ascii="Times New Roman" w:cs="Times New Roman" w:eastAsia="Times New Roman" w:hAnsi="Times New Roman"/>
          <w:sz w:val="18"/>
          <w:szCs w:val="18"/>
          <w:u w:val="single" w:color="auto"/>
          <w:color w:val="0000FF"/>
        </w:rPr>
      </w:pPr>
    </w:p>
    <w:p>
      <w:pPr>
        <w:ind w:left="740" w:right="20" w:hanging="566"/>
        <w:spacing w:after="0" w:line="282" w:lineRule="auto"/>
        <w:tabs>
          <w:tab w:leader="none" w:pos="7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49">
        <w:r>
          <w:rPr>
            <w:rFonts w:ascii="Times New Roman" w:cs="Times New Roman" w:eastAsia="Times New Roman" w:hAnsi="Times New Roman"/>
            <w:sz w:val="18"/>
            <w:szCs w:val="18"/>
            <w:u w:val="single" w:color="auto"/>
            <w:color w:val="0000FF"/>
          </w:rPr>
          <w:t>Certifications of the Chief Executive Officer and Chief Financial Officer pursuant to 18 U.S.C. Section 1350, as adopted pursuant to Section 906 of</w:t>
        </w:r>
      </w:hyperlink>
      <w:r>
        <w:rPr>
          <w:rFonts w:ascii="Times New Roman" w:cs="Times New Roman" w:eastAsia="Times New Roman" w:hAnsi="Times New Roman"/>
          <w:sz w:val="18"/>
          <w:szCs w:val="18"/>
          <w:u w:val="single" w:color="auto"/>
          <w:color w:val="0000FF"/>
        </w:rPr>
        <w:t xml:space="preserve"> </w:t>
      </w:r>
      <w:hyperlink w:anchor="page49">
        <w:r>
          <w:rPr>
            <w:rFonts w:ascii="Times New Roman" w:cs="Times New Roman" w:eastAsia="Times New Roman" w:hAnsi="Times New Roman"/>
            <w:sz w:val="18"/>
            <w:szCs w:val="18"/>
            <w:u w:val="single" w:color="auto"/>
            <w:color w:val="0000FF"/>
          </w:rPr>
          <w:t>the Sarbanes-Oxley Act of 2002.</w:t>
        </w:r>
      </w:hyperlink>
    </w:p>
    <w:p>
      <w:pPr>
        <w:spacing w:after="0" w:line="108" w:lineRule="exact"/>
        <w:rPr>
          <w:sz w:val="20"/>
          <w:szCs w:val="20"/>
          <w:color w:val="auto"/>
        </w:rPr>
      </w:pPr>
    </w:p>
    <w:p>
      <w:pPr>
        <w:ind w:left="740" w:hanging="570"/>
        <w:spacing w:after="0" w:line="261"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Extra Space Storage Inc.’s Quarterly Report on Form 10-Q for the quarter ended September 30, 2019,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26" w:lineRule="exact"/>
        <w:rPr>
          <w:sz w:val="20"/>
          <w:szCs w:val="20"/>
          <w:color w:val="auto"/>
        </w:rPr>
      </w:pPr>
    </w:p>
    <w:p>
      <w:pPr>
        <w:ind w:left="5620" w:right="4140" w:hanging="5477"/>
        <w:spacing w:after="0" w:line="75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44</w:t>
      </w:r>
    </w:p>
    <w:p>
      <w:pPr>
        <w:sectPr>
          <w:pgSz w:w="11900" w:h="16838" w:orient="portrait"/>
          <w:cols w:equalWidth="0" w:num="1">
            <w:col w:w="11380"/>
          </w:cols>
          <w:pgMar w:left="240" w:top="576" w:right="279" w:bottom="1440" w:gutter="0" w:footer="0" w:header="0"/>
        </w:sectPr>
      </w:pPr>
    </w:p>
    <w:bookmarkStart w:id="45" w:name="page46"/>
    <w:bookmarkEnd w:id="4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6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6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389" w:lineRule="exact"/>
        <w:rPr>
          <w:sz w:val="20"/>
          <w:szCs w:val="20"/>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18"/>
          <w:szCs w:val="18"/>
          <w:color w:val="auto"/>
        </w:rPr>
        <w:t>Date: November 5, 2019</w:t>
      </w:r>
      <w:r>
        <w:rPr>
          <w:sz w:val="20"/>
          <w:szCs w:val="20"/>
          <w:color w:val="auto"/>
        </w:rPr>
        <w:tab/>
      </w:r>
      <w:r>
        <w:rPr>
          <w:rFonts w:ascii="Times New Roman" w:cs="Times New Roman" w:eastAsia="Times New Roman" w:hAnsi="Times New Roman"/>
          <w:sz w:val="17"/>
          <w:szCs w:val="17"/>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34290</wp:posOffset>
            </wp:positionV>
            <wp:extent cx="3078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Joseph D. Margolis</w:t>
      </w:r>
    </w:p>
    <w:p>
      <w:pPr>
        <w:spacing w:after="0" w:line="6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9" w:lineRule="exact"/>
        <w:rPr>
          <w:sz w:val="20"/>
          <w:szCs w:val="20"/>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18"/>
          <w:szCs w:val="18"/>
          <w:color w:val="auto"/>
        </w:rPr>
        <w:t>Date: November 5, 2019</w:t>
      </w:r>
      <w:r>
        <w:rPr>
          <w:sz w:val="20"/>
          <w:szCs w:val="20"/>
          <w:color w:val="auto"/>
        </w:rPr>
        <w:tab/>
      </w:r>
      <w:r>
        <w:rPr>
          <w:rFonts w:ascii="Times New Roman" w:cs="Times New Roman" w:eastAsia="Times New Roman" w:hAnsi="Times New Roman"/>
          <w:sz w:val="17"/>
          <w:szCs w:val="17"/>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34290</wp:posOffset>
            </wp:positionV>
            <wp:extent cx="3078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 Scott Stubbs</w:t>
      </w:r>
    </w:p>
    <w:p>
      <w:pPr>
        <w:spacing w:after="0" w:line="6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240" w:top="576"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Extra Space Storage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160" w:val="left"/>
          <w:tab w:leader="none" w:pos="5840" w:val="left"/>
        </w:tabs>
        <w:rPr>
          <w:sz w:val="20"/>
          <w:szCs w:val="20"/>
          <w:color w:val="auto"/>
        </w:rPr>
      </w:pPr>
      <w:r>
        <w:rPr>
          <w:rFonts w:ascii="Times New Roman" w:cs="Times New Roman" w:eastAsia="Times New Roman" w:hAnsi="Times New Roman"/>
          <w:sz w:val="18"/>
          <w:szCs w:val="18"/>
          <w:color w:val="auto"/>
        </w:rPr>
        <w:t>Date: November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Name:</w:t>
        <w:tab/>
        <w:t>Joseph D. Margolis</w:t>
      </w:r>
    </w:p>
    <w:p>
      <w:pPr>
        <w:spacing w:after="0" w:line="63"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Extra Space Storage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160" w:val="left"/>
          <w:tab w:leader="none" w:pos="5840" w:val="left"/>
        </w:tabs>
        <w:rPr>
          <w:sz w:val="20"/>
          <w:szCs w:val="20"/>
          <w:color w:val="auto"/>
        </w:rPr>
      </w:pPr>
      <w:r>
        <w:rPr>
          <w:rFonts w:ascii="Times New Roman" w:cs="Times New Roman" w:eastAsia="Times New Roman" w:hAnsi="Times New Roman"/>
          <w:sz w:val="18"/>
          <w:szCs w:val="18"/>
          <w:color w:val="auto"/>
        </w:rPr>
        <w:t>Date: November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Name:</w:t>
        <w:tab/>
        <w:t>P. Scott Stubbs</w:t>
      </w:r>
    </w:p>
    <w:p>
      <w:pPr>
        <w:spacing w:after="0" w:line="63"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30"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3"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Name:</w:t>
        <w:tab/>
        <w:t>Joseph D. Margolis</w:t>
      </w:r>
    </w:p>
    <w:p>
      <w:pPr>
        <w:spacing w:after="0" w:line="77"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Date:</w:t>
        <w:tab/>
        <w:t>November 5, 2019</w:t>
      </w:r>
    </w:p>
    <w:p>
      <w:pPr>
        <w:spacing w:after="0" w:line="25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30"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 Scott Stubbs</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 Scott Stubbs</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5, 2019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1."/>
      <w:numFmt w:val="decimal"/>
      <w:start w:val="9"/>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decimal"/>
      <w:start w:val="13"/>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4"/>
    </w:lvl>
  </w:abstractNum>
  <w:abstractNum w:abstractNumId="21">
    <w:nsid w:val="4353D0CD"/>
    <w:multiLevelType w:val="hybridMultilevel"/>
    <w:lvl w:ilvl="0">
      <w:lvlJc w:val="left"/>
      <w:lvlText w:val="%1."/>
      <w:numFmt w:val="decimal"/>
      <w:start w:val="15"/>
    </w:lvl>
  </w:abstractNum>
  <w:abstractNum w:abstractNumId="22">
    <w:nsid w:val="B03E0C6"/>
    <w:multiLevelType w:val="hybridMultilevel"/>
    <w:lvl w:ilvl="0">
      <w:lvlJc w:val="left"/>
      <w:lvlText w:val="%1."/>
      <w:numFmt w:val="decimal"/>
      <w:start w:val="16"/>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decimal"/>
      <w:start w:val="101"/>
    </w:lvl>
  </w:abstractNum>
  <w:abstractNum w:abstractNumId="26">
    <w:nsid w:val="2CA88611"/>
    <w:multiLevelType w:val="hybridMultilevel"/>
    <w:lvl w:ilvl="0">
      <w:lvlJc w:val="left"/>
      <w:lvlText w:val="%1"/>
      <w:numFmt w:val="decimal"/>
      <w:start w:val="104"/>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37" Type="http://schemas.openxmlformats.org/officeDocument/2006/relationships/hyperlink" Target="http://www.sec.gov/Archives/edgar/data/1289490/000119312519190601/d77305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2019-12-28T03:07:20Z</dcterms:created>
  <dcterms:modified xsi:type="dcterms:W3CDTF">2019-12-28T03:07:20Z</dcterms:modified>
</cp:coreProperties>
</file>