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July 28,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EXTRA SPACE STORAGE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77"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530"/>
        <w:gridCol w:w="530"/>
        <w:gridCol w:w="755"/>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001-32269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20-1076777</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2795 East Cottonwood Parkway,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Salt Lake City, Utah 84121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(801) 365-4600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Securities Exchange Act of 1934</w:t>
      </w:r>
    </w:p>
    <w:tbl>
      <w:tblPr>
        <w:tblW w:w="8024" w:type="dxa"/>
        <w:jc w:val="center"/>
        <w:tblInd w:w="0" w:type="dxa"/>
        <w:tblLayout w:type="fixed"/>
        <w:tblCellMar>
          <w:top w:w="28" w:type="dxa"/>
          <w:left w:w="28" w:type="dxa"/>
          <w:bottom w:w="28" w:type="dxa"/>
          <w:right w:w="28" w:type="dxa"/>
        </w:tblCellMar>
      </w:tblPr>
      <w:tblGrid>
        <w:gridCol w:w="986"/>
        <w:gridCol w:w="867"/>
        <w:gridCol w:w="877"/>
        <w:gridCol w:w="489"/>
        <w:gridCol w:w="489"/>
        <w:gridCol w:w="491"/>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12"/>
        <w:gridCol w:w="3097"/>
        <w:gridCol w:w="3122"/>
        <w:gridCol w:w="109"/>
        <w:gridCol w:w="109"/>
        <w:gridCol w:w="156"/>
      </w:tblGrid>
      <w:tr>
        <w:trPr/>
        <w:tc>
          <w:tcPr>
            <w:tcW w:w="3612"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28, 2026, Extra Space Storage Inc. (the “Company”) issued a press release announcing its financial results for the three and six months ended June 30, 2026. A copy of the press release is furnished as Exhibit 99.1 to this report and is incorporated by reference herein.</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including the exhibit referenced herein, is being furnished and shall not be deemed “filed” for purposes of Section 18 of the Securities Exchange Act of 1934, as amended, or otherwise subject to the liabilities of that section. Such information shall not be incorporated by reference into any filing of Extra Space Storage Inc., whether made before or after the date hereof, regardless of any general incorporation language in such filing.</w:t>
      </w:r>
    </w:p>
    <w:tbl>
      <w:tblPr>
        <w:tblW w:w="4306" w:type="dxa"/>
        <w:jc w:val="left"/>
        <w:tblInd w:w="0" w:type="dxa"/>
        <w:tblLayout w:type="fixed"/>
        <w:tblCellMar>
          <w:top w:w="28" w:type="dxa"/>
          <w:left w:w="28" w:type="dxa"/>
          <w:bottom w:w="28" w:type="dxa"/>
          <w:right w:w="28" w:type="dxa"/>
        </w:tblCellMar>
      </w:tblPr>
      <w:tblGrid>
        <w:gridCol w:w="462"/>
        <w:gridCol w:w="406"/>
        <w:gridCol w:w="408"/>
        <w:gridCol w:w="887"/>
        <w:gridCol w:w="887"/>
        <w:gridCol w:w="125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pPr>
      <w:r>
        <w:rPr>
          <w:rFonts w:ascii="Times New Roman;serif" w:hAnsi="Times New Roman;serif"/>
          <w:b w:val="false"/>
          <w:color w:val="000000"/>
          <w:sz w:val="20"/>
        </w:rPr>
        <w:t>(d) The following exhibit is furnished herewith:</w:t>
      </w:r>
      <w:r>
        <w:rPr>
          <w:color w:val="000000"/>
        </w:rPr>
        <w:t> </w:t>
      </w:r>
    </w:p>
    <w:tbl>
      <w:tblPr>
        <w:tblW w:w="100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48"/>
        <w:gridCol w:w="2648"/>
        <w:gridCol w:w="37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28,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8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96"/>
        <w:gridCol w:w="296"/>
        <w:gridCol w:w="296"/>
        <w:gridCol w:w="296"/>
        <w:gridCol w:w="296"/>
        <w:gridCol w:w="296"/>
        <w:gridCol w:w="1298"/>
        <w:gridCol w:w="1298"/>
        <w:gridCol w:w="1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Norman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Norman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6642" w:type="dxa"/>
        <w:jc w:val="right"/>
        <w:tblInd w:w="0" w:type="dxa"/>
        <w:tblLayout w:type="fixed"/>
        <w:tblCellMar>
          <w:top w:w="28" w:type="dxa"/>
          <w:left w:w="28" w:type="dxa"/>
          <w:bottom w:w="28" w:type="dxa"/>
          <w:right w:w="28" w:type="dxa"/>
        </w:tblCellMar>
      </w:tblPr>
      <w:tblGrid>
        <w:gridCol w:w="972"/>
        <w:gridCol w:w="855"/>
        <w:gridCol w:w="857"/>
        <w:gridCol w:w="109"/>
        <w:gridCol w:w="109"/>
        <w:gridCol w:w="109"/>
        <w:gridCol w:w="1063"/>
        <w:gridCol w:w="1063"/>
        <w:gridCol w:w="1505"/>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68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049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04950" cy="7239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Extra Space Storage Inc.</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PHONE</w:t>
            </w:r>
            <w:r>
              <w:rPr>
                <w:color w:val="000000"/>
              </w:rPr>
              <w:t xml:space="preserve"> </w:t>
            </w:r>
            <w:r>
              <w:rPr>
                <w:rFonts w:ascii="Times New Roman;serif" w:hAnsi="Times New Roman;serif"/>
                <w:b w:val="false"/>
                <w:color w:val="000000"/>
                <w:sz w:val="20"/>
              </w:rPr>
              <w:t>(801) 365-4600</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2795 East Cottonwood Parkway, Suite 300</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Salt Lake City, Utah 84121</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www.extraspace.com</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 Reports 2026 Second Quarter Results</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SALT LAKE CITY, July 28, 2026 — Extra Space Storage Inc. (NYSE: EXR) (the “Company”), a leading owner and operator of self-storage facilities in the United States and a member of the S&amp;P 500 index, announced operating results for the three and six months ended June 30, 2026.</w:t>
      </w:r>
    </w:p>
    <w:p>
      <w:pPr>
        <w:pStyle w:val="TextBody"/>
        <w:bidi w:val="0"/>
        <w:spacing w:lineRule="auto" w:line="288" w:before="540" w:after="283"/>
        <w:jc w:val="left"/>
        <w:rPr>
          <w:rFonts w:ascii="Times New Roman;serif" w:hAnsi="Times New Roman;serif"/>
          <w:b/>
          <w:color w:val="000000"/>
          <w:sz w:val="20"/>
          <w:u w:val="single"/>
        </w:rPr>
      </w:pPr>
      <w:r>
        <w:rPr>
          <w:rFonts w:ascii="Times New Roman;serif" w:hAnsi="Times New Roman;serif"/>
          <w:b/>
          <w:color w:val="000000"/>
          <w:sz w:val="20"/>
          <w:u w:val="single"/>
        </w:rPr>
        <w:t>Highlights for the three months ended June 30, 2026:</w:t>
      </w:r>
    </w:p>
    <w:p>
      <w:pPr>
        <w:pStyle w:val="TextBody"/>
        <w:bidi w:val="0"/>
        <w:spacing w:lineRule="auto" w:line="288" w:before="0" w:after="0"/>
        <w:ind w:left="0" w:right="0" w:hanging="900"/>
        <w:jc w:val="left"/>
        <w:rPr>
          <w:color w:val="000000"/>
        </w:rPr>
      </w:pPr>
      <w:r>
        <w:rPr>
          <w:color w:val="000000"/>
        </w:rPr>
        <w:t> </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Achieved net income attributable to common stockholders of $1.25 per diluted share, representing a 5.9% increase compared to the same period in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Achieved funds from operations attributable to common stockholders and unit holders (“FFO”) of $2.07 per diluted share. FFO, excluding adjustments (“Core FFO”), was $2.15 per diluted share, representing a 4.9% increase compared to the same period in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Same-store revenue increased by 2.4% and same-store expense decreased by 0.5%, resulting in a same-store net operating income (“NOI”) increase of 3.5% compared to the same period in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Reported ending same-store occupancy of 94.2% as of June 30, 2026, compared to 94.4% as of June 30, 2025.</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 xml:space="preserve">Purchased 17 operating stores and acquired the ownership interest of our joint venture partner in one consolidated joint venture for a total cost of $90.7 million. </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Originated $140.6 million in mortgage and mezzanine bridge loans.</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Added 67 stores (48 stores net) to the Company's third-party management platform. As of June 30, 2026, the Company managed 1,964 stores for third parties and 409 stores in unconsolidated joint ventures, for a total of 2,373 managed stores.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Paid a quarterly dividend of $1.62 per share.</w:t>
      </w:r>
    </w:p>
    <w:p>
      <w:pPr>
        <w:pStyle w:val="TextBody"/>
        <w:bidi w:val="0"/>
        <w:spacing w:lineRule="auto" w:line="268" w:before="540" w:after="283"/>
        <w:jc w:val="left"/>
        <w:rPr>
          <w:rFonts w:ascii="Times New Roman;serif" w:hAnsi="Times New Roman;serif"/>
          <w:b/>
          <w:color w:val="000000"/>
          <w:sz w:val="20"/>
          <w:u w:val="single"/>
        </w:rPr>
      </w:pPr>
      <w:r>
        <w:rPr>
          <w:rFonts w:ascii="Times New Roman;serif" w:hAnsi="Times New Roman;serif"/>
          <w:b/>
          <w:color w:val="000000"/>
          <w:sz w:val="20"/>
          <w:u w:val="single"/>
        </w:rPr>
        <w:t>Highlights for the six months ended June 30, 2026:</w:t>
      </w:r>
    </w:p>
    <w:p>
      <w:pPr>
        <w:pStyle w:val="TextBody"/>
        <w:bidi w:val="0"/>
        <w:spacing w:before="0" w:after="0"/>
        <w:ind w:left="0" w:right="0" w:hanging="540"/>
        <w:jc w:val="left"/>
        <w:rPr/>
      </w:pPr>
      <w:r>
        <w:rPr/>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 xml:space="preserve">Achieved net income attributable to common stockholders of $2.39 per diluted share, representing a 2.5% decrease compared to the same period in the prior year, which included a gain from real estate assets sold in 2025. </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Achieved FFO of $4.04 per diluted share, and Core FFO of $4.19 per diluted share, representing a 3.5% increase compared to the same period in the prior year.</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Increased same-store revenue by 2.0% and same-store expense increased by 1.1%, resulting in a same-store NOI increase of 2.4% compared to the same period in the prior year.</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 xml:space="preserve">Purchased 18 operating stores and acquired the ownership interest of our joint venture partner in one consolidated joint venture for a total cost of $103.2 million. </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In conjunction with joint venture partners, completed the development of one store for a total cost of approximately $15.1 million, of which the Company invested $14.4 million.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Originated $146.1 million in mortgage and mezzanine bridge loans and sold $30.8 million in mortgage bridge loans.</w:t>
      </w:r>
    </w:p>
    <w:p>
      <w:pPr>
        <w:pStyle w:val="TextBody"/>
        <w:bidi w:val="0"/>
        <w:spacing w:lineRule="auto" w:line="288" w:before="0" w:after="120"/>
        <w:ind w:left="0" w:right="0" w:hanging="900"/>
        <w:jc w:val="left"/>
        <w:rPr/>
      </w:pPr>
      <w:r>
        <w:rPr>
          <w:color w:val="000000"/>
        </w:rPr>
        <w:t>•</w:t>
      </w:r>
      <w:r>
        <w:rPr>
          <w:rFonts w:ascii="Times New Roman;serif" w:hAnsi="Times New Roman;serif"/>
          <w:b w:val="false"/>
          <w:color w:val="000000"/>
          <w:sz w:val="20"/>
        </w:rPr>
        <w:t xml:space="preserve">Added 151 stores (108 stores net) to the Company's third-party management platform. </w:t>
      </w:r>
    </w:p>
    <w:p>
      <w:pPr>
        <w:pStyle w:val="TextBody"/>
        <w:bidi w:val="0"/>
        <w:spacing w:before="0" w:after="120"/>
        <w:ind w:left="0" w:right="0" w:hanging="54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Joe Margolis, CEO of the Company, stated: "Our operating systems and platform continue to optimize performance as we get deeper into the storage sector's recovery. Core FFO growth of 4.9% for the quarter was driven by strong occupancy, improving store performance, and smart expense control — with meaningful contributions from our ancillary businesses, including third-party management and bridge lending. We are never satisfied with, and always seek to improve, our technology, systems, process, and people, and it is gratifying to see that commitment reflected in our results.”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FFO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(unaudited) outlines the Company’s FFO and Core FFO for the three and six months ended June 30, 2026 and 2025. The table also provides a reconciliation to GAAP net income attributable to common stockholders and earnings per diluted share for each period presented (amounts shown in thousands, except share and per share data):</w:t>
      </w:r>
    </w:p>
    <w:tbl>
      <w:tblPr>
        <w:tblW w:w="11289" w:type="dxa"/>
        <w:jc w:val="left"/>
        <w:tblInd w:w="0" w:type="dxa"/>
        <w:tblLayout w:type="fixed"/>
        <w:tblCellMar>
          <w:top w:w="28" w:type="dxa"/>
          <w:left w:w="28" w:type="dxa"/>
          <w:bottom w:w="28" w:type="dxa"/>
          <w:right w:w="28" w:type="dxa"/>
        </w:tblCellMar>
      </w:tblPr>
      <w:tblGrid>
        <w:gridCol w:w="532"/>
        <w:gridCol w:w="349"/>
        <w:gridCol w:w="350"/>
        <w:gridCol w:w="221"/>
        <w:gridCol w:w="830"/>
        <w:gridCol w:w="109"/>
        <w:gridCol w:w="109"/>
        <w:gridCol w:w="109"/>
        <w:gridCol w:w="109"/>
        <w:gridCol w:w="196"/>
        <w:gridCol w:w="466"/>
        <w:gridCol w:w="109"/>
        <w:gridCol w:w="109"/>
        <w:gridCol w:w="109"/>
        <w:gridCol w:w="109"/>
        <w:gridCol w:w="221"/>
        <w:gridCol w:w="830"/>
        <w:gridCol w:w="109"/>
        <w:gridCol w:w="109"/>
        <w:gridCol w:w="109"/>
        <w:gridCol w:w="109"/>
        <w:gridCol w:w="196"/>
        <w:gridCol w:w="466"/>
        <w:gridCol w:w="109"/>
        <w:gridCol w:w="109"/>
        <w:gridCol w:w="109"/>
        <w:gridCol w:w="109"/>
        <w:gridCol w:w="221"/>
        <w:gridCol w:w="830"/>
        <w:gridCol w:w="109"/>
        <w:gridCol w:w="109"/>
        <w:gridCol w:w="109"/>
        <w:gridCol w:w="109"/>
        <w:gridCol w:w="196"/>
        <w:gridCol w:w="466"/>
        <w:gridCol w:w="109"/>
        <w:gridCol w:w="109"/>
        <w:gridCol w:w="109"/>
        <w:gridCol w:w="109"/>
        <w:gridCol w:w="221"/>
        <w:gridCol w:w="830"/>
        <w:gridCol w:w="109"/>
        <w:gridCol w:w="109"/>
        <w:gridCol w:w="109"/>
        <w:gridCol w:w="109"/>
        <w:gridCol w:w="196"/>
        <w:gridCol w:w="466"/>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(per share)</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(per share)</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(per share)</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5"/>
              </w:rPr>
              <w:t>(per share)</w:t>
            </w:r>
            <w:r>
              <w:rPr>
                <w:rFonts w:ascii="Times New Roman;serif" w:hAnsi="Times New Roman;serif"/>
                <w:b w:val="false"/>
                <w:color w:val="000000"/>
                <w:sz w:val="10"/>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stockholders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Impact of the difference in weighted average number of shares – diluted</w:t>
            </w:r>
            <w:r>
              <w:rPr>
                <w:rFonts w:ascii="Times New Roman;serif" w:hAnsi="Times New Roman;serif"/>
                <w:b w:val="false"/>
                <w:color w:val="000000"/>
                <w:sz w:val="12"/>
              </w:rPr>
              <w:t>2</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depreciation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real estate assets held for sale and sold,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Unconsolidated joint venture real estate 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joint venture gain on sale of a joint venture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allocated to Operating Partnership and other noncontrolling interests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FFO</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amortization of discount on unsecured senior notes,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intangibles related to the Life Storage Merger, net of tax benefit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FFO</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number of shares – diluted</w:t>
            </w:r>
            <w:r>
              <w:rPr>
                <w:rFonts w:ascii="Times New Roman;serif" w:hAnsi="Times New Roman;serif"/>
                <w:b w:val="false"/>
                <w:color w:val="000000"/>
                <w:sz w:val="12"/>
              </w:rPr>
              <w:t>3</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221,002,914 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221,971,567 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220,968,158 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221,934,254 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(1)Per share amounts may not recalculate due to rounding.</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(2)This adjustment is to account for the difference between the number of shares used to calculate earnings per share and the number of shares used to calculate FFO per share. Earnings per share is calculated using the two-class method, which uses a lower number of shares than the calculation for FFO per share and Core FFO per share, which are calculated assuming full redemption of all OP units as described in note (3).</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(3)Extra Space Storage LP (the “Operating Partnership”) has outstanding preferred and common Operating Partnership units (“OP units”). These OP units can be redeemed for cash or, at the Company’s election, shares of the Company’s common stock. Redemption of all OP units for common stock has been assumed for purposes of calculating the weighted average number of shares — diluted, as presented above. The computation of weighted average number of shares — diluted, for FFO per share and Core FFO per share also includes the effect of share-based compensation plans.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(4)Adjustment to Core FFO relates to legal settlement costs with New York City.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Results and Same-Store Performance:</w:t>
      </w:r>
    </w:p>
    <w:p>
      <w:pPr>
        <w:pStyle w:val="TextBody"/>
        <w:bidi w:val="0"/>
        <w:spacing w:lineRule="auto" w:line="288" w:before="120" w:after="283"/>
        <w:jc w:val="left"/>
        <w:rPr/>
      </w:pPr>
      <w:r>
        <w:rPr>
          <w:rFonts w:ascii="Times New Roman;serif" w:hAnsi="Times New Roman;serif"/>
          <w:b w:val="false"/>
          <w:color w:val="000000"/>
          <w:sz w:val="20"/>
        </w:rPr>
        <w:t>The following table (unaudited) outlines the Company’s same-store performance for the three and six months ended June 30, 2026 and 2025 (amounts shown in thousands, except store count data)</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73"/>
        <w:gridCol w:w="581"/>
        <w:gridCol w:w="585"/>
        <w:gridCol w:w="224"/>
        <w:gridCol w:w="879"/>
        <w:gridCol w:w="115"/>
        <w:gridCol w:w="115"/>
        <w:gridCol w:w="115"/>
        <w:gridCol w:w="115"/>
        <w:gridCol w:w="224"/>
        <w:gridCol w:w="879"/>
        <w:gridCol w:w="115"/>
        <w:gridCol w:w="109"/>
        <w:gridCol w:w="109"/>
        <w:gridCol w:w="109"/>
        <w:gridCol w:w="250"/>
        <w:gridCol w:w="250"/>
        <w:gridCol w:w="251"/>
        <w:gridCol w:w="109"/>
        <w:gridCol w:w="109"/>
        <w:gridCol w:w="109"/>
        <w:gridCol w:w="213"/>
        <w:gridCol w:w="986"/>
        <w:gridCol w:w="110"/>
        <w:gridCol w:w="110"/>
        <w:gridCol w:w="110"/>
        <w:gridCol w:w="110"/>
        <w:gridCol w:w="213"/>
        <w:gridCol w:w="986"/>
        <w:gridCol w:w="110"/>
        <w:gridCol w:w="109"/>
        <w:gridCol w:w="109"/>
        <w:gridCol w:w="109"/>
        <w:gridCol w:w="233"/>
        <w:gridCol w:w="233"/>
        <w:gridCol w:w="339"/>
      </w:tblGrid>
      <w:tr>
        <w:trPr/>
        <w:tc>
          <w:tcPr>
            <w:tcW w:w="77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Change</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Same-store property revenues</w:t>
            </w:r>
            <w:r>
              <w:rPr>
                <w:rFonts w:ascii="Times New Roman;serif" w:hAnsi="Times New Roman;serif"/>
                <w:b w:val="false"/>
                <w:color w:val="000000"/>
                <w:sz w:val="12"/>
              </w:rPr>
              <w:t>2</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rental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664,926 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1,319,291 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1,291,611 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2.1%</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(1.4)%</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same-store revenues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690,192 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674,261 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1,368,801 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1,341,811 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Same-store operating expenses</w:t>
            </w:r>
            <w:r>
              <w:rPr>
                <w:rFonts w:ascii="Times New Roman;serif" w:hAnsi="Times New Roman;serif"/>
                <w:b w:val="false"/>
                <w:color w:val="000000"/>
                <w:sz w:val="12"/>
              </w:rPr>
              <w:t>2</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Payroll and benefits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82,471 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82,816 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(0.4)%</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Marketing</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31,187 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Office expense</w:t>
            </w:r>
            <w:r>
              <w:rPr>
                <w:rFonts w:ascii="Times New Roman;serif" w:hAnsi="Times New Roman;serif"/>
                <w:b w:val="false"/>
                <w:color w:val="000000"/>
                <w:sz w:val="12"/>
              </w:rPr>
              <w:t>3</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2.3%</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Property operating expense</w:t>
            </w:r>
            <w:r>
              <w:rPr>
                <w:rFonts w:ascii="Times New Roman;serif" w:hAnsi="Times New Roman;serif"/>
                <w:b w:val="false"/>
                <w:color w:val="000000"/>
                <w:sz w:val="12"/>
              </w:rPr>
              <w:t>4</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9"/>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Repairs and maintenance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(3.0)%</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taxes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80,818 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154,716 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8.3%</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same-store operating expenses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194,114 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195,160 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395,983 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391,787 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Same-store net operating income</w:t>
            </w:r>
            <w:r>
              <w:rPr>
                <w:rFonts w:ascii="Times New Roman;serif" w:hAnsi="Times New Roman;serif"/>
                <w:b w:val="false"/>
                <w:color w:val="000000"/>
                <w:sz w:val="12"/>
              </w:rPr>
              <w:t>2</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496,078 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479,101 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972,818 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950,024 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Same-store square foot occupancy as of quarter end</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94.2%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94.2%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Average same-store square foot occupancy</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Properties included in same-store</w:t>
            </w:r>
            <w:r>
              <w:rPr>
                <w:rFonts w:ascii="Times New Roman;serif" w:hAnsi="Times New Roman;serif"/>
                <w:b w:val="false"/>
                <w:color w:val="000000"/>
                <w:sz w:val="12"/>
              </w:rPr>
              <w:t>5</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1,870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1,870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6"/>
        </w:rPr>
        <w:t xml:space="preserve">(1)A reconciliation of net income to same-store net operating income is provided later in this release, entitled </w:t>
      </w:r>
      <w:r>
        <w:rPr>
          <w:color w:val="000000"/>
        </w:rPr>
        <w:t>“</w:t>
      </w:r>
      <w:r>
        <w:rPr>
          <w:rFonts w:ascii="Times New Roman;serif" w:hAnsi="Times New Roman;serif"/>
          <w:b w:val="false"/>
          <w:color w:val="000000"/>
          <w:sz w:val="16"/>
        </w:rPr>
        <w:t>Reconciliation of GAAP Net Income to Total Same-Store Net Operating Income.</w:t>
      </w:r>
      <w:r>
        <w:rPr>
          <w:color w:val="000000"/>
        </w:rPr>
        <w:t>”</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(2)Same-store revenues, operating expenses and net operating income do not include tenant reinsurance revenue or expense.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(3)Includes general office expenses, computer, bank fees, and credit card merchant fees.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(4)Includes utilities and miscellaneous other store expenses.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(5)On January 1, 2026, the Company updated the property count of the same-store pool from 1,804 to 1,871 stores. In the quarter ended March 31, 2026, one property was removed due to a casualty loss, reducing the same-store pool to 1,870 stores.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Details related to the same-store performance of stores by metropolitan statistical area (“MSA”) for the three and six months ended June 30, 2026 and 2025 are provided in the supplemental financial information published on the Company’s Investor Relations website at https://ir.extraspace.com/.</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Investment and Property Management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(unaudited) outlines the Company’s acquisitions and developments that are closed, completed or under agreement (dollars in thousands). </w:t>
      </w:r>
    </w:p>
    <w:tbl>
      <w:tblPr>
        <w:tblW w:w="10205" w:type="dxa"/>
        <w:jc w:val="left"/>
        <w:tblInd w:w="0" w:type="dxa"/>
        <w:tblLayout w:type="fixed"/>
        <w:tblCellMar>
          <w:top w:w="28" w:type="dxa"/>
          <w:left w:w="28" w:type="dxa"/>
          <w:bottom w:w="28" w:type="dxa"/>
          <w:right w:w="28" w:type="dxa"/>
        </w:tblCellMar>
      </w:tblPr>
      <w:tblGrid>
        <w:gridCol w:w="589"/>
        <w:gridCol w:w="517"/>
        <w:gridCol w:w="519"/>
        <w:gridCol w:w="109"/>
        <w:gridCol w:w="109"/>
        <w:gridCol w:w="109"/>
        <w:gridCol w:w="186"/>
        <w:gridCol w:w="186"/>
        <w:gridCol w:w="184"/>
        <w:gridCol w:w="115"/>
        <w:gridCol w:w="115"/>
        <w:gridCol w:w="115"/>
        <w:gridCol w:w="223"/>
        <w:gridCol w:w="891"/>
        <w:gridCol w:w="115"/>
        <w:gridCol w:w="109"/>
        <w:gridCol w:w="109"/>
        <w:gridCol w:w="109"/>
        <w:gridCol w:w="174"/>
        <w:gridCol w:w="174"/>
        <w:gridCol w:w="174"/>
        <w:gridCol w:w="174"/>
        <w:gridCol w:w="318"/>
        <w:gridCol w:w="174"/>
        <w:gridCol w:w="174"/>
        <w:gridCol w:w="109"/>
        <w:gridCol w:w="109"/>
        <w:gridCol w:w="109"/>
        <w:gridCol w:w="211"/>
        <w:gridCol w:w="736"/>
        <w:gridCol w:w="109"/>
        <w:gridCol w:w="109"/>
        <w:gridCol w:w="176"/>
        <w:gridCol w:w="176"/>
        <w:gridCol w:w="177"/>
        <w:gridCol w:w="109"/>
        <w:gridCol w:w="109"/>
        <w:gridCol w:w="109"/>
        <w:gridCol w:w="185"/>
        <w:gridCol w:w="185"/>
        <w:gridCol w:w="186"/>
        <w:gridCol w:w="109"/>
        <w:gridCol w:w="109"/>
        <w:gridCol w:w="109"/>
        <w:gridCol w:w="211"/>
        <w:gridCol w:w="826"/>
        <w:gridCol w:w="166"/>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Closed/Completed through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Closed /Completed or Scheduled to Close/Complete in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2026</w:t>
            </w:r>
          </w:p>
        </w:tc>
        <w:tc>
          <w:tcPr>
            <w:tcW w:w="2413" w:type="dxa"/>
            <w:gridSpan w:val="12"/>
            <w:tcBorders/>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Wholly-Owned Investment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r>
      <w:tr>
        <w:trPr/>
        <w:tc>
          <w:tcPr>
            <w:tcW w:w="16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99,133 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113,333 </w:t>
            </w:r>
          </w:p>
        </w:tc>
        <w:tc>
          <w:tcPr>
            <w:tcW w:w="16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25" w:type="dxa"/>
            <w:gridSpan w:val="3"/>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Buyout of JV Partners' Interest in Operating Store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4,080 </w:t>
            </w:r>
          </w:p>
        </w:tc>
        <w:tc>
          <w:tcPr>
            <w:tcW w:w="16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EXR Investment in Wholly-Owned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103,213 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117,413 </w:t>
            </w:r>
          </w:p>
        </w:tc>
        <w:tc>
          <w:tcPr>
            <w:tcW w:w="16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9"/>
                <w:u w:val="single"/>
              </w:rPr>
              <w:t>Joint Venture Investment</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25" w:type="dxa"/>
            <w:gridSpan w:val="3"/>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EXR Investment in JV Development and C of 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56,748 </w:t>
            </w:r>
          </w:p>
        </w:tc>
        <w:tc>
          <w:tcPr>
            <w:tcW w:w="16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tcBorders>
            <w:shd w:fill="CCEEFF" w:val="clear"/>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EXR Investment in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56,748 </w:t>
            </w:r>
          </w:p>
        </w:tc>
        <w:tc>
          <w:tcPr>
            <w:tcW w:w="16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left w:val="single" w:sz="8" w:space="0" w:color="000000"/>
              <w:bottom w:val="single" w:sz="8" w:space="0" w:color="000000"/>
            </w:tcBorders>
            <w:shd w:fill="FFFFFF" w:val="clear"/>
            <w:tcMar>
              <w:top w:w="0" w:type="dxa"/>
              <w:left w:w="15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EXR Investment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w:t>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117,591</w:t>
            </w:r>
            <w:r>
              <w:rPr>
                <w:color w:val="000000"/>
              </w:rPr>
              <w:t> </w:t>
            </w:r>
          </w:p>
        </w:tc>
        <w:tc>
          <w:tcPr>
            <w:tcW w:w="1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56,570</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174,161</w:t>
            </w:r>
            <w:r>
              <w:rPr>
                <w:color w:val="000000"/>
              </w:rPr>
              <w:t> </w:t>
            </w:r>
          </w:p>
        </w:tc>
        <w:tc>
          <w:tcPr>
            <w:tcW w:w="166" w:type="dxa"/>
            <w:tcBorders>
              <w:top w:val="single" w:sz="8" w:space="0" w:color="000000"/>
              <w:bottom w:val="sing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(1)The locations of certificate of occupancy ("C of O") and development stores and joint venture ownership interest details are included in the supplemental financial information published on the Company’s Investor Relations website at https://ir.extraspace.com/.</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projected developments and acquisitions under agreement described above are subject to customary closing conditions and no assurance can be provided that these developments and acquisitions will be completed on the terms described, or at all.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dispose of any properties during the three months ended June 30, 2026, and currently has six properties held for sale.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Bridge Loans: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originated $140.6 million in bridge loans. Outstanding balances of the Company's bridge loans were approximately $1.5 billion at the end of the quarter. The Company has an additional $86.3 million in bridge loans that have closed subsequent to quarter end or are under agreement to close in 2026. Additional details related to the Company's loan activity and balances held are included in the supplemental financial information published on the Company’s Investor Relations website at https://ir.extraspace.com/.</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managed 1,964 stores for third-party owners and 409 stores owned in unconsolidated joint ventures, for a total of 2,373 stores under management. The Company is the largest self-storage management company in the United States.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Balance Sheet: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did not issue any shares on its ATM program, and as of June 30, 2026, the Company had $800.0 million available for issuance. Likewise, the Company did not repurchase any shares of common stock using its stock repurchase program during the quarter. As of June 30, 2026, the Company had authorization to purchase up to $349.0 million under the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24, 2026, the Company priced a public bond offering issuing $550.0 million aggregate principal amount of 4.90% unsecured senior notes due 2032.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commercial paper program had total capacity of $1.0 billion, with $850.0 million in outstanding issuances.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percentage of fixed-rate debt to total debt was 78.5%. Net of the impact of variable rate receivables, the effective fixed-rate debt to total debt was 88.4%. The weighted average interest rates of the Company’s fixed and variable-rate debt were 4.3% and 4.6%, respectively. The combined weighted average interest rate was 4.3% with a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maturity of approximately 4.0 years. Full details related to the Company's debt schedule are included in the supplemental financial information published on the Company’s Investor Relations website at https://ir.extraspace.com/.</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Dividends: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paid a second quarter common stock dividend of $1.62 per share to stockholders of record at the close of business on </w:t>
      </w:r>
      <w:r>
        <w:rPr>
          <w:rFonts w:ascii="Times New Roman;serif" w:hAnsi="Times New Roman;serif"/>
          <w:b w:val="false"/>
          <w:color w:val="000000"/>
          <w:sz w:val="20"/>
        </w:rPr>
        <w:t xml:space="preserve">June 15, 2026.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Outlook:</w:t>
      </w:r>
    </w:p>
    <w:p>
      <w:pPr>
        <w:pStyle w:val="TextBody"/>
        <w:bidi w:val="0"/>
        <w:spacing w:lineRule="auto" w:line="240" w:before="120" w:after="283"/>
        <w:jc w:val="left"/>
        <w:rPr/>
      </w:pPr>
      <w:r>
        <w:rPr>
          <w:rFonts w:ascii="Times New Roman;serif" w:hAnsi="Times New Roman;serif"/>
          <w:b w:val="false"/>
          <w:color w:val="000000"/>
          <w:sz w:val="20"/>
        </w:rPr>
        <w:t>The following table outlines the Company's Core FFO estimates and assumptions for the year ending December 31, 2026</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41"/>
        <w:gridCol w:w="538"/>
        <w:gridCol w:w="547"/>
        <w:gridCol w:w="599"/>
        <w:gridCol w:w="317"/>
        <w:gridCol w:w="315"/>
        <w:gridCol w:w="145"/>
        <w:gridCol w:w="145"/>
        <w:gridCol w:w="145"/>
        <w:gridCol w:w="599"/>
        <w:gridCol w:w="314"/>
        <w:gridCol w:w="318"/>
        <w:gridCol w:w="109"/>
        <w:gridCol w:w="109"/>
        <w:gridCol w:w="109"/>
        <w:gridCol w:w="543"/>
        <w:gridCol w:w="372"/>
        <w:gridCol w:w="316"/>
        <w:gridCol w:w="142"/>
        <w:gridCol w:w="142"/>
        <w:gridCol w:w="142"/>
        <w:gridCol w:w="543"/>
        <w:gridCol w:w="370"/>
        <w:gridCol w:w="318"/>
        <w:gridCol w:w="109"/>
        <w:gridCol w:w="109"/>
        <w:gridCol w:w="109"/>
        <w:gridCol w:w="777"/>
        <w:gridCol w:w="477"/>
        <w:gridCol w:w="686"/>
      </w:tblGrid>
      <w:tr>
        <w:trPr/>
        <w:tc>
          <w:tcPr>
            <w:tcW w:w="7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Current Ranges for 2026 </w:t>
              <w:br/>
              <w:t>Annual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Prior Ranges for 2026 </w:t>
              <w:br/>
              <w:t>Annual 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(April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FFO</w:t>
            </w:r>
          </w:p>
        </w:tc>
        <w:tc>
          <w:tcPr>
            <w:tcW w:w="123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$8.25</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$8.05</w:t>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Dilution per share from C of O and value add acquisitions</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$0.18</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revenue growth</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pool of 1,870 stores</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expense growth</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pool of 1,870 stores</w:t>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NOI growth</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Same-store pool of 1,870 stores</w:t>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one-month SOFR</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3.73%</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3.73%</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tenant reinsurance income</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$294,000,000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$296,000,000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$289,000,000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$292,000,000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 and other income</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$139,000,000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$140,000,000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$141,500,000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$153,000,000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$154,000,000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$149,500,000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interest from bridge loans and dividends from NexPoint preferred investment</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$188,000,000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$189,500,000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$190,500,000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$192,500,000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non-cash compensation</w:t>
            </w:r>
          </w:p>
        </w:tc>
      </w:tr>
      <w:tr>
        <w:trPr/>
        <w:tc>
          <w:tcPr>
            <w:tcW w:w="18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real estate ventures</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$63,500,000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$64,500,000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$63,500,000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$64,500,000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dividends from SmartStop preferred investments</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$595,000,000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$598,000,000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$592,000,000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$597,000,000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non-cash interest expense shown below</w:t>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amortization of discount on unsecured senior notes, net</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$44,000,000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$42,000,000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mark-to-market; excluded from Core FFO</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$48,000,000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$47,000,000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associated with the Company's taxable REIT subsidiary</w:t>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$300,000,000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$200,000,000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wholly-owned acquisitions and the Company's investment in joint ventures</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Bridge loans outstanding</w:t>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$1,475,000,000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$1,475,000,000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$1,475,000,000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$1,475,000,000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the Company's average retained loan balances for the year</w:t>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 count</w:t>
            </w:r>
          </w:p>
        </w:tc>
        <w:tc>
          <w:tcPr>
            <w:tcW w:w="123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221,000,000</w:t>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221,000,000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221,100,000</w:t>
            </w:r>
          </w:p>
        </w:tc>
        <w:tc>
          <w:tcPr>
            <w:tcW w:w="4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221,100,000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Assumes redemption of all OP units for common stock</w:t>
            </w:r>
          </w:p>
        </w:tc>
      </w:tr>
    </w:tbl>
    <w:p>
      <w:pPr>
        <w:pStyle w:val="TextBody"/>
        <w:bidi w:val="0"/>
        <w:spacing w:lineRule="auto" w:line="216" w:before="120" w:after="283"/>
        <w:jc w:val="left"/>
        <w:rPr/>
      </w:pPr>
      <w:r>
        <w:rPr>
          <w:rFonts w:ascii="Times New Roman;serif" w:hAnsi="Times New Roman;serif"/>
          <w:b w:val="false"/>
          <w:color w:val="000000"/>
          <w:sz w:val="16"/>
        </w:rPr>
        <w:t>(1) A reconciliation of net income outlook to same-store net operating income outlook is provided later in this release entitled "Reconciliation of Estimated GAAP Net Income to Estimated Same-Store Net Operating Income."</w:t>
      </w:r>
      <w:r>
        <w:rPr>
          <w:color w:val="000000"/>
        </w:rPr>
        <w:t xml:space="preserve"> </w:t>
      </w:r>
      <w:r>
        <w:rPr>
          <w:rFonts w:ascii="Times New Roman;serif" w:hAnsi="Times New Roman;serif"/>
          <w:b w:val="false"/>
          <w:color w:val="000000"/>
          <w:sz w:val="16"/>
        </w:rPr>
        <w:t>The reconciliation includes details related to same-store revenue and same-store expense outlooks.</w:t>
      </w:r>
      <w:r>
        <w:rPr>
          <w:color w:val="000000"/>
        </w:rPr>
        <w:t xml:space="preserve"> </w:t>
      </w:r>
      <w:r>
        <w:rPr>
          <w:rFonts w:ascii="Times New Roman;serif" w:hAnsi="Times New Roman;serif"/>
          <w:b w:val="false"/>
          <w:color w:val="000000"/>
          <w:sz w:val="16"/>
        </w:rPr>
        <w:t>A reconciliation of net income per share outlook to funds from operations per share outlook is provided later in this release entitled "Reconciliation of the Range of Estimated GAAP Fully Diluted Earnings Per Share to Estimated Fully Diluted FFO Per Share."</w:t>
      </w:r>
      <w:r>
        <w:rPr>
          <w:color w:val="000000"/>
        </w:rPr>
        <w:t xml:space="preserve"> </w:t>
      </w:r>
    </w:p>
    <w:p>
      <w:pPr>
        <w:pStyle w:val="TextBody"/>
        <w:bidi w:val="0"/>
        <w:spacing w:lineRule="auto" w:line="216" w:before="120" w:after="283"/>
        <w:jc w:val="left"/>
        <w:rPr>
          <w:rFonts w:ascii="Times New Roman;serif" w:hAnsi="Times New Roman;serif"/>
          <w:b w:val="false"/>
          <w:color w:val="000000"/>
          <w:sz w:val="20"/>
        </w:rPr>
      </w:pPr>
      <w:r>
        <w:rPr>
          <w:rFonts w:ascii="Times New Roman;serif" w:hAnsi="Times New Roman;serif"/>
          <w:b w:val="false"/>
          <w:color w:val="000000"/>
          <w:sz w:val="20"/>
        </w:rPr>
        <w:t>FFO estimates for the year are fully diluted for an estimated average number of shares and OP units outstanding during the year. The Company’s estimates are forward-looking and based on management’s view of current and future market conditions. The Company’s actual results may differ materially from these estimates.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unaudited financial information regarding the Company’s performance can be found on the Company’s website at www.extraspace.com. Under the "Company Info" navigation menu on the home page, click on “Investor Relations,” then under the “Financials” navigation menu click on “Quarterly Results.” This supplemental information provides additional detail on items that include store occupancy and financial performance by portfolio and market, debt maturity schedules and performance of lease-up assets.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at 1:00 p.m. Eastern Time on Wednesday, July 29, 2026, to discuss its financial results. Telephone participants may avoid any delays in joining the conference call by pre-registering for the call using the following link to receive a special dial-in number and PIN: https://events.q4inc.com/analyst/293950168?pwd=CHtG2oiN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live webcast of the call will also be available on the Company’s investor relations website at https://ir.extraspace.com. To listen to the live webcast, go to the site at least 15 minutes prior to the scheduled start time in order to register, download and install any necessary audio software.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replay of the call will be available for 30 days on the investor relations section of the Company’s website beginning at 5:00 p.m. Eastern Time on July 29, 2026.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set forth in this release contains “forward-looking statements” within the meaning of the federal securities laws. Forward-looking statements include statements concerning the benefits of store acquisitions, developments, market conditions, our outlook and estimates for the year and other statements concerning our plans, objectives, goals, strategies, future events, future revenues or performance, capital expenditures, financing needs, the competitive landscape, the impact of broader economic trends on the storage industry, our plans or intentions relating to acquisitions and developments, and other information that is not historical information. In some cases, forward-looking statements can be identified by terminology such as “believes,” “estimates,” “expects,” “may,” “will,” “should,” “anticipates,” “outlook,”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 There are a number of risks and uncertainties that could cause our actual results to differ materially from the forward-looking statements contained in or contemplated by this release. Any forward-looking statements should be considered in light of the risks referenced in the “Risk Factors” section included in our most recent Annual Report on Form 10-K and Quarterly Reports on Form 10-Q. Such factors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changes in general economic conditions, the real estate industry and the markets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liability for uninsured losses and environmental contamination;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recover losses under our insurance policies;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 of competition from new and existing stores or other storage alternatives, including increased or unanticipated competition for our properties, which could cause rents and occupancy rates to decline;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close pending acquisitions and developments on expected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acquisitions, dispositions and development of properties, including increased development costs due to additional regulatory requirements related to climate change and other factors;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reductions in asset valuations and related impairment charges;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reliance on information technologies, which are vulnerable to, among other things, attack from computer viruses and malware, hacking, cyberattacks and other unauthorized access or misuse, any of which could adversely affect our business and results;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economic uncertainty due to the impact of natural disasters, war or terrorism, which could adversely affect our business plan;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lack of sole decision-making authority with respect to our joint venture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in credit and financial markets and resulting difficulties in raising capital or obtaining credit at reasonable rates or at all, which could impede our ability to grow;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of financing and capital, the levels of debt that we maintain and our credit ratings;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global financial markets, increases in interest rates and the impact of enacted and proposed U.S. tariffs on global economic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 of recent or future changes to U.S. tax laws;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failure to maintain our REIT status for U.S. federal income tax purposes.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Definition of FFO: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FFO provides relevant and meaningful information about the Company’s operating performance that is necessary, along with net income and cash flows, for an understanding of the Company’s operating results. The Company believes FFO is a meaningful disclosure as a supplement to net income. Net income assumes that the values of real estate assets diminish predictably over time as reflected through depreciation and amortization expenses. The values of real estate assets fluctuate due to market conditions and the Company believes FFO more accurately reflects the value of the Company’s real estate assets. FFO is defined by the National Association of Real Estate Investment Trusts, Inc. (“NAREIT”) as net income computed in accordance with U.S. generally accepted accounting principles (“GAAP”), excluding gains or losses on sales of operating stores and impairment write downs of depreciable real estate assets, plus depreciation and amortization related to real estate and after adjustments to record unconsolidated partnerships and joint ventures on the same basis. The Company believes that to further understand the Company’s performance, FFO should be considered along with the reported net income and cash flows in accordance with GAAP, as presented in the Company’s consolidated financial statements. FFO should not be considered a replacement of net income computed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informational purposes, the Company also presents Core FFO. Core FFO excludes revenues and expenses not core to our operations and transaction costs. It also includes certain costs associated with the Life Storage Merger including non-cash interest related to the amortization of discount on unsecured senior notes and amortization of other intangibles, net of tax benefit. Although the Company’s calculation of Core FFO differs from NAREIT’s definition of FFO and may not be comparable to that of other REITs and real estate companies, the Company believes it provides a meaningful supplemental measure of operating performance. The Company believes that by excluding revenues and expenses not core to our operations and non-cash interest charges, stockholders and potential investors are presented with an indicator of our operating performance that more closely achieves the objectives of the real estate industry in presenting FFO. Core FFO by the Company should not be considered a replacement of the NAREIT definition of FFO. 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the Company’s performance, as an alternative to net cash flow from operating activities as a measure of liquidity, or as an indicator of the Company’s ability to make cash distributions.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Definition of Same-Store: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same-store pool for the periods presented consists of 1,870 stores that are wholly-owned and operated and that were stabilized by the first day of the earliest calendar year presented, or January 1, 2025. The Company considers a store to be stabilized once it has been open for three years or has sustained average square foot occupancy of 80.0% or more for one calendar year. The Company believes that by providing same-store results from a stabilized pool of stores, with accompanying operating metrics including, but not limited to occupancy, rental revenue (growth), operating expenses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the Company’s stores as a whole.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About Extra Space Storage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Extra Space Storage Inc., headquartered in Salt Lake City, Utah, is a self-administered and self-managed REIT and a member of the S&amp;P 500. As of June 30, 2026, the Company owned and/or operated 4,410 self-storage stores in 42 states and Washington, D.C. The Company’s stores comprise approximately 3.0 million units and approximately 341.0 million square feet of rentable space operating under the Extra Space brand. The Company offers customers a wide selection of conveniently located and secure storage units across the country, including boat storage, RV storage and business storage. It is the largest operator of self-storage properties in the United States. </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Jared Conley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Extra Space Storage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(801) 365-1759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In thousands, except share data</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2793"/>
        <w:gridCol w:w="2084"/>
        <w:gridCol w:w="2092"/>
        <w:gridCol w:w="211"/>
        <w:gridCol w:w="1081"/>
        <w:gridCol w:w="109"/>
        <w:gridCol w:w="109"/>
        <w:gridCol w:w="109"/>
        <w:gridCol w:w="109"/>
        <w:gridCol w:w="219"/>
        <w:gridCol w:w="1126"/>
        <w:gridCol w:w="163"/>
      </w:tblGrid>
      <w:tr>
        <w:trPr/>
        <w:tc>
          <w:tcPr>
            <w:tcW w:w="2793"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25,004,350 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real estate entities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debt securities and notes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9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29,264,046 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Noncontrolling Interests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senior notes,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lines of credit and commercial paper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in unconsolidated real estate ventures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14,940,010 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and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50,000,000 shares authorized, no shares issued or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500,000,000 shares authorized, 211,273,076 and 211,155,322 shares issued and outstanding at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14,880,646 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Extra Space Storage Inc.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13,433,166 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represented by Preferred Operating Partnership units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Operating Partnership, net and other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noncontrolling interests and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14,324,036 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noncontrolling interests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29,660,493 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29,264,046 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630"/>
        <w:jc w:val="left"/>
        <w:rPr>
          <w:rFonts w:ascii="Times New Roman;serif" w:hAnsi="Times New Roman;serif"/>
          <w:b/>
          <w:color w:val="000000"/>
          <w:sz w:val="20"/>
        </w:rPr>
      </w:pPr>
      <w:r>
        <w:rPr>
          <w:rFonts w:ascii="Times New Roman;serif" w:hAnsi="Times New Roman;serif"/>
          <w:b/>
          <w:color w:val="000000"/>
          <w:sz w:val="20"/>
        </w:rPr>
        <w:t xml:space="preserve">Consolidated Statement of Operations for the Three and Six Months Ended June 30, 2026 and 2025 </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 xml:space="preserve">In thousands, except share and per share data) - Unaudited </w:t>
      </w:r>
    </w:p>
    <w:tbl>
      <w:tblPr>
        <w:tblW w:w="10205" w:type="dxa"/>
        <w:jc w:val="center"/>
        <w:tblInd w:w="0" w:type="dxa"/>
        <w:tblLayout w:type="fixed"/>
        <w:tblCellMar>
          <w:top w:w="28" w:type="dxa"/>
          <w:left w:w="28" w:type="dxa"/>
          <w:bottom w:w="28" w:type="dxa"/>
          <w:right w:w="28" w:type="dxa"/>
        </w:tblCellMar>
      </w:tblPr>
      <w:tblGrid>
        <w:gridCol w:w="1554"/>
        <w:gridCol w:w="1155"/>
        <w:gridCol w:w="1159"/>
        <w:gridCol w:w="247"/>
        <w:gridCol w:w="850"/>
        <w:gridCol w:w="119"/>
        <w:gridCol w:w="119"/>
        <w:gridCol w:w="119"/>
        <w:gridCol w:w="119"/>
        <w:gridCol w:w="247"/>
        <w:gridCol w:w="850"/>
        <w:gridCol w:w="119"/>
        <w:gridCol w:w="109"/>
        <w:gridCol w:w="109"/>
        <w:gridCol w:w="109"/>
        <w:gridCol w:w="200"/>
        <w:gridCol w:w="889"/>
        <w:gridCol w:w="111"/>
        <w:gridCol w:w="111"/>
        <w:gridCol w:w="111"/>
        <w:gridCol w:w="111"/>
        <w:gridCol w:w="200"/>
        <w:gridCol w:w="889"/>
        <w:gridCol w:w="111"/>
        <w:gridCol w:w="109"/>
        <w:gridCol w:w="109"/>
        <w:gridCol w:w="109"/>
        <w:gridCol w:w="161"/>
      </w:tblGrid>
      <w:tr>
        <w:trPr/>
        <w:tc>
          <w:tcPr>
            <w:tcW w:w="155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rental</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1,479,377 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reinsurance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 and other income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874,152 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841,618 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1,730,179 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Tenant reinsurance </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481,968 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466,784 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970,442 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real estate assets held for sale and sold,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392,184 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373,970 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759,737 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amortization of discount on unsecured senior notes,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equity in earnings and dividend income from unconsolidated real estate entities and income tax expense</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258,070 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518,748 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and dividend income from unconsolidated real estate entities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real estate ventures - gain on sale of a joint venture interest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275,879 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262,716 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547,641 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Preferred Operating Partnership noncontrolling interests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Operating Partnership and other noncontrolling interests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stockholders</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263,471 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249,731 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504,448 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520,606 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w:t>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2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w:t>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210,962,128 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211,940,903 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210,929,737 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211,895,586 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220,362,955 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211,940,903 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220,343,045 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211,895,586 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per common share</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Total Same-Store Net Operating Income — for the Three and Six Months Ended</w:t>
      </w:r>
    </w:p>
    <w:p>
      <w:pPr>
        <w:pStyle w:val="TextBody"/>
        <w:bidi w:val="0"/>
        <w:spacing w:lineRule="auto" w:line="288" w:before="0" w:after="0"/>
        <w:jc w:val="left"/>
        <w:rPr/>
      </w:pPr>
      <w:r>
        <w:rPr>
          <w:rFonts w:ascii="Times New Roman;serif" w:hAnsi="Times New Roman;serif"/>
          <w:b/>
          <w:color w:val="000000"/>
          <w:sz w:val="20"/>
        </w:rPr>
        <w:t xml:space="preserve">June 30, 2026 and 2025 </w:t>
      </w:r>
      <w:r>
        <w:rPr>
          <w:rFonts w:ascii="Times New Roman;serif" w:hAnsi="Times New Roman;serif"/>
          <w:b w:val="false"/>
          <w:color w:val="000000"/>
          <w:sz w:val="20"/>
        </w:rPr>
        <w:t xml:space="preserve">(In thousands) - Unaudited </w:t>
      </w:r>
    </w:p>
    <w:tbl>
      <w:tblPr>
        <w:tblW w:w="10205" w:type="dxa"/>
        <w:jc w:val="center"/>
        <w:tblInd w:w="0" w:type="dxa"/>
        <w:tblLayout w:type="fixed"/>
        <w:tblCellMar>
          <w:top w:w="28" w:type="dxa"/>
          <w:left w:w="28" w:type="dxa"/>
          <w:bottom w:w="28" w:type="dxa"/>
          <w:right w:w="28" w:type="dxa"/>
        </w:tblCellMar>
      </w:tblPr>
      <w:tblGrid>
        <w:gridCol w:w="1731"/>
        <w:gridCol w:w="1201"/>
        <w:gridCol w:w="1206"/>
        <w:gridCol w:w="233"/>
        <w:gridCol w:w="914"/>
        <w:gridCol w:w="120"/>
        <w:gridCol w:w="120"/>
        <w:gridCol w:w="120"/>
        <w:gridCol w:w="120"/>
        <w:gridCol w:w="233"/>
        <w:gridCol w:w="914"/>
        <w:gridCol w:w="120"/>
        <w:gridCol w:w="109"/>
        <w:gridCol w:w="109"/>
        <w:gridCol w:w="109"/>
        <w:gridCol w:w="224"/>
        <w:gridCol w:w="881"/>
        <w:gridCol w:w="116"/>
        <w:gridCol w:w="116"/>
        <w:gridCol w:w="116"/>
        <w:gridCol w:w="116"/>
        <w:gridCol w:w="224"/>
        <w:gridCol w:w="881"/>
        <w:gridCol w:w="172"/>
      </w:tblGrid>
      <w:tr>
        <w:trPr/>
        <w:tc>
          <w:tcPr>
            <w:tcW w:w="17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and dividend income from unconsolidated real estate entities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ventures - gain on sale of a joint venture interest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38"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other income and interest income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tenant insurance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rental revenue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operating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same-store net operating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950,024 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rental revenues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operating expenses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Same-store net operating income</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479,101 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972,818 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950,024 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pStyle w:val="TextBody"/>
        <w:bidi w:val="0"/>
        <w:spacing w:before="12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Reconciliation of the Range of Estimated GAAP Fully Diluted Earnings Per Share to Estimated Fully Diluted FFO Per Share — for the Year Ending December 31, 2026</w:t>
      </w:r>
      <w:r>
        <w:rPr>
          <w:color w:val="000000"/>
        </w:rPr>
        <w:t xml:space="preserve"> </w:t>
      </w:r>
      <w:r>
        <w:rPr>
          <w:rFonts w:ascii="Times New Roman;serif" w:hAnsi="Times New Roman;serif"/>
          <w:b w:val="false"/>
          <w:color w:val="000000"/>
          <w:sz w:val="20"/>
        </w:rPr>
        <w:t>- Unaudited</w:t>
      </w:r>
    </w:p>
    <w:tbl>
      <w:tblPr>
        <w:tblW w:w="10205" w:type="dxa"/>
        <w:jc w:val="left"/>
        <w:tblInd w:w="0" w:type="dxa"/>
        <w:tblLayout w:type="fixed"/>
        <w:tblCellMar>
          <w:top w:w="28" w:type="dxa"/>
          <w:left w:w="28" w:type="dxa"/>
          <w:bottom w:w="28" w:type="dxa"/>
          <w:right w:w="28" w:type="dxa"/>
        </w:tblCellMar>
      </w:tblPr>
      <w:tblGrid>
        <w:gridCol w:w="2556"/>
        <w:gridCol w:w="2198"/>
        <w:gridCol w:w="2210"/>
        <w:gridCol w:w="109"/>
        <w:gridCol w:w="109"/>
        <w:gridCol w:w="150"/>
        <w:gridCol w:w="150"/>
        <w:gridCol w:w="150"/>
        <w:gridCol w:w="150"/>
        <w:gridCol w:w="291"/>
        <w:gridCol w:w="707"/>
        <w:gridCol w:w="150"/>
        <w:gridCol w:w="109"/>
        <w:gridCol w:w="109"/>
        <w:gridCol w:w="109"/>
        <w:gridCol w:w="226"/>
        <w:gridCol w:w="549"/>
        <w:gridCol w:w="173"/>
      </w:tblGrid>
      <w:tr>
        <w:trPr/>
        <w:tc>
          <w:tcPr>
            <w:tcW w:w="255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Year Ending </w:t>
              <w:br/>
              <w:t>December 31, 2026</w:t>
            </w:r>
          </w:p>
        </w:tc>
        <w:tc>
          <w:tcPr>
            <w:tcW w:w="1275" w:type="dxa"/>
            <w:gridSpan w:val="6"/>
            <w:tcBorders/>
          </w:tcPr>
          <w:p>
            <w:pPr>
              <w:pStyle w:val="TableContents"/>
              <w:bidi w:val="0"/>
              <w:spacing w:before="0" w:after="283"/>
              <w:jc w:val="left"/>
              <w:rPr>
                <w:sz w:val="4"/>
                <w:szCs w:val="4"/>
              </w:rPr>
            </w:pPr>
            <w:r>
              <w:rPr>
                <w:sz w:val="4"/>
                <w:szCs w:val="4"/>
              </w:rPr>
            </w:r>
          </w:p>
        </w:tc>
      </w:tr>
      <w:tr>
        <w:trPr/>
        <w:tc>
          <w:tcPr>
            <w:tcW w:w="6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 End</w:t>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noncontrolling interest - Preferred Operating Partnership and Operating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for diluted computations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joint venture real estate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6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intangibles related to the Life Storage Merger, net of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funds from operations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(1)Adjustment to Core FFO relates to legal settlement costs with New York 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Reconciliation of Estimated GAAP Net Income to Estimated Same-Store Net Operating Income — for the Year Ending December 31, 2026 </w:t>
      </w:r>
      <w:r>
        <w:rPr>
          <w:rFonts w:ascii="Times New Roman;serif" w:hAnsi="Times New Roman;serif"/>
          <w:b w:val="false"/>
          <w:color w:val="000000"/>
          <w:sz w:val="20"/>
        </w:rPr>
        <w:t>(In thousands) - Unaudited</w:t>
      </w:r>
    </w:p>
    <w:tbl>
      <w:tblPr>
        <w:tblW w:w="10205" w:type="dxa"/>
        <w:jc w:val="left"/>
        <w:tblInd w:w="0" w:type="dxa"/>
        <w:tblLayout w:type="fixed"/>
        <w:tblCellMar>
          <w:top w:w="28" w:type="dxa"/>
          <w:left w:w="28" w:type="dxa"/>
          <w:bottom w:w="28" w:type="dxa"/>
          <w:right w:w="28" w:type="dxa"/>
        </w:tblCellMar>
      </w:tblPr>
      <w:tblGrid>
        <w:gridCol w:w="2458"/>
        <w:gridCol w:w="2150"/>
        <w:gridCol w:w="2125"/>
        <w:gridCol w:w="247"/>
        <w:gridCol w:w="1143"/>
        <w:gridCol w:w="127"/>
        <w:gridCol w:w="127"/>
        <w:gridCol w:w="127"/>
        <w:gridCol w:w="127"/>
        <w:gridCol w:w="247"/>
        <w:gridCol w:w="1143"/>
        <w:gridCol w:w="184"/>
      </w:tblGrid>
      <w:tr>
        <w:trPr/>
        <w:tc>
          <w:tcPr>
            <w:tcW w:w="245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6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Ending December 31, 2026</w:t>
            </w:r>
          </w:p>
        </w:tc>
      </w:tr>
      <w:tr>
        <w:trPr/>
        <w:tc>
          <w:tcPr>
            <w:tcW w:w="6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Low </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High </w:t>
            </w:r>
          </w:p>
        </w:tc>
      </w:tr>
      <w:tr>
        <w:trPr/>
        <w:tc>
          <w:tcPr>
            <w:tcW w:w="6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other income</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tenant reinsurance income</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rental revenues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operating expenses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same-store net operating income</w:t>
            </w:r>
            <w:r>
              <w:rPr>
                <w:rFonts w:ascii="Times New Roman;serif" w:hAnsi="Times New Roman;serif"/>
                <w:b/>
                <w:color w:val="000000"/>
                <w:sz w:val="13"/>
              </w:rPr>
              <w:t>1</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1,929,250 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1,964,150 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Same-store rental revenues</w:t>
            </w:r>
            <w:r>
              <w:rPr>
                <w:rFonts w:ascii="Times New Roman;serif" w:hAnsi="Times New Roman;serif"/>
                <w:b w:val="false"/>
                <w:color w:val="000000"/>
                <w:sz w:val="13"/>
              </w:rPr>
              <w:t>1</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Same-store operating expenses</w:t>
            </w:r>
            <w:r>
              <w:rPr>
                <w:rFonts w:ascii="Times New Roman;serif" w:hAnsi="Times New Roman;serif"/>
                <w:b w:val="false"/>
                <w:color w:val="000000"/>
                <w:sz w:val="13"/>
              </w:rPr>
              <w:t>1</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same-store net operating income</w:t>
            </w:r>
            <w:r>
              <w:rPr>
                <w:rFonts w:ascii="Times New Roman;serif" w:hAnsi="Times New Roman;serif"/>
                <w:b/>
                <w:color w:val="000000"/>
                <w:sz w:val="13"/>
              </w:rPr>
              <w:t>1</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1,929,250 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1,964,150 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(1)Estimated same-store rental revenues, operating expenses and net operating income are for the Company's 2026 same-store pool of 1,870 stores. On January 1, 2026, the Company updated the property count of the same-store pool from 1,804 to 1,871 stores. In the quarter ended March 31, 2026, one property was removed due to casualty loss, reducing the same-store pool to 1,870 stores.</w:t>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5699</Words>
  <Characters>32743</Characters>
  <CharactersWithSpaces>37842</CharactersWithSpaces>
  <Paragraphs>1104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