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EXTRA SPACE STORAGE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20-1076777</w:t>
      </w:r>
    </w:p>
    <w:p>
      <w:pPr>
        <w:spacing w:after="0" w:line="31"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11"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30" w:right="2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2795 East Cottonwood Parkway, Suite 400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420"/>
          </w:cols>
          <w:pgMar w:left="240" w:top="230" w:right="239" w:bottom="1440" w:gutter="0" w:footer="0" w:header="0"/>
          <w:type w:val="continuous"/>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(801) 365-4600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The number of shares outstanding of the registrant’s common stock, par value $0.01 per share, as of April 30, 2015, was 116,494,142.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60" w:type="dxa"/>
            <w:vAlign w:val="bottom"/>
            <w:gridSpan w:val="1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r>
      <w:tr>
        <w:trPr>
          <w:trHeight w:val="534"/>
        </w:trPr>
        <w:tc>
          <w:tcPr>
            <w:tcW w:w="3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60" w:type="dxa"/>
            <w:vAlign w:val="bottom"/>
            <w:gridSpan w:val="7"/>
          </w:tcPr>
          <w:p>
            <w:pPr>
              <w:jc w:val="center"/>
              <w:ind w:right="3120"/>
              <w:spacing w:after="0"/>
              <w:rPr>
                <w:sz w:val="20"/>
                <w:szCs w:val="20"/>
                <w:color w:val="auto"/>
              </w:rPr>
            </w:pPr>
            <w:r>
              <w:rPr>
                <w:rFonts w:ascii="Arial" w:cs="Arial" w:eastAsia="Arial" w:hAnsi="Arial"/>
                <w:sz w:val="18"/>
                <w:szCs w:val="18"/>
                <w:b w:val="1"/>
                <w:bCs w:val="1"/>
                <w:color w:val="auto"/>
                <w:w w:val="98"/>
              </w:rPr>
              <w:t>EXTRA SPACE STORAGE INC.</w:t>
            </w:r>
          </w:p>
        </w:tc>
        <w:tc>
          <w:tcPr>
            <w:tcW w:w="56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6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r>
      <w:tr>
        <w:trPr>
          <w:trHeight w:val="419"/>
        </w:trPr>
        <w:tc>
          <w:tcPr>
            <w:tcW w:w="1076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STATEMENT ON FORWARD-LOOKING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620" w:type="dxa"/>
            <w:vAlign w:val="bottom"/>
            <w:tcBorders>
              <w:top w:val="single" w:sz="8" w:color="0000EE"/>
            </w:tcBorders>
            <w:gridSpan w:val="6"/>
          </w:tcPr>
          <w:p>
            <w:pPr>
              <w:spacing w:after="0"/>
              <w:rPr>
                <w:sz w:val="17"/>
                <w:szCs w:val="17"/>
                <w:color w:val="auto"/>
              </w:rPr>
            </w:pPr>
          </w:p>
        </w:tc>
        <w:tc>
          <w:tcPr>
            <w:tcW w:w="606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80" w:type="dxa"/>
            <w:vAlign w:val="bottom"/>
          </w:tcPr>
          <w:p>
            <w:pPr>
              <w:spacing w:after="0"/>
              <w:rPr>
                <w:sz w:val="17"/>
                <w:szCs w:val="17"/>
                <w:color w:val="auto"/>
              </w:rPr>
            </w:pPr>
          </w:p>
        </w:tc>
        <w:tc>
          <w:tcPr>
            <w:tcW w:w="10380" w:type="dxa"/>
            <w:vAlign w:val="bottom"/>
            <w:gridSpan w:val="18"/>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76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8"/>
              </w:rPr>
            </w:pPr>
            <w:hyperlink w:anchor="page10">
              <w:r>
                <w:rPr>
                  <w:rFonts w:ascii="Arial" w:cs="Arial" w:eastAsia="Arial" w:hAnsi="Arial"/>
                  <w:sz w:val="18"/>
                  <w:szCs w:val="18"/>
                  <w:b w:val="1"/>
                  <w:bCs w:val="1"/>
                  <w:color w:val="0000EE"/>
                  <w:w w:val="98"/>
                </w:rPr>
                <w:t xml:space="preserve">NOTES TO CONDENSED CONSOLIDATED FINANCIAL STATEMENTS </w:t>
              </w:r>
              <w:r>
                <w:rPr>
                  <w:rFonts w:ascii="Arial" w:cs="Arial" w:eastAsia="Arial" w:hAnsi="Arial"/>
                  <w:sz w:val="18"/>
                  <w:szCs w:val="18"/>
                  <w:color w:val="0000EE"/>
                  <w:w w:val="98"/>
                </w:rPr>
                <w:t>(unaudited)</w:t>
              </w:r>
            </w:hyperlink>
          </w:p>
        </w:tc>
        <w:tc>
          <w:tcPr>
            <w:tcW w:w="362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8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ITEM 2. MANAGEMENT’S DISCUSSION AND ANALYSIS OF FINANCIAL CONDITION AND RESULTS OF OPERATIONS</w:t>
              </w:r>
            </w:hyperlink>
          </w:p>
        </w:tc>
        <w:tc>
          <w:tcPr>
            <w:tcW w:w="3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80" w:type="dxa"/>
            <w:vAlign w:val="bottom"/>
          </w:tcPr>
          <w:p>
            <w:pPr>
              <w:spacing w:after="0"/>
              <w:rPr>
                <w:sz w:val="17"/>
                <w:szCs w:val="17"/>
                <w:color w:val="auto"/>
              </w:rPr>
            </w:pPr>
          </w:p>
        </w:tc>
        <w:tc>
          <w:tcPr>
            <w:tcW w:w="71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3. QUANTITATIVE AND QUALITATIVE DISCLOSURES ABOUT MARKET RISK</w:t>
              </w:r>
            </w:hyperlink>
          </w:p>
        </w:tc>
        <w:tc>
          <w:tcPr>
            <w:tcW w:w="322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380" w:type="dxa"/>
            <w:vAlign w:val="bottom"/>
          </w:tcPr>
          <w:p>
            <w:pPr>
              <w:spacing w:after="0"/>
              <w:rPr>
                <w:sz w:val="17"/>
                <w:szCs w:val="17"/>
                <w:color w:val="auto"/>
              </w:rPr>
            </w:pPr>
          </w:p>
        </w:tc>
        <w:tc>
          <w:tcPr>
            <w:tcW w:w="10380" w:type="dxa"/>
            <w:vAlign w:val="bottom"/>
            <w:gridSpan w:val="18"/>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4. CONTROLS AND PROCEDURES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798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380" w:type="dxa"/>
            <w:vAlign w:val="bottom"/>
          </w:tcPr>
          <w:p>
            <w:pPr>
              <w:spacing w:after="0"/>
              <w:rPr>
                <w:sz w:val="17"/>
                <w:szCs w:val="17"/>
                <w:color w:val="auto"/>
              </w:rPr>
            </w:pPr>
          </w:p>
        </w:tc>
        <w:tc>
          <w:tcPr>
            <w:tcW w:w="10380" w:type="dxa"/>
            <w:vAlign w:val="bottom"/>
            <w:gridSpan w:val="18"/>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1. LEGAL PROCEEDINGS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38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ITEM 1A. RISK FACTORS</w:t>
              </w:r>
            </w:hyperlink>
          </w:p>
        </w:tc>
        <w:tc>
          <w:tcPr>
            <w:tcW w:w="520" w:type="dxa"/>
            <w:vAlign w:val="bottom"/>
            <w:tcBorders>
              <w:top w:val="single" w:sz="8" w:color="0000EE"/>
            </w:tcBorders>
            <w:gridSpan w:val="2"/>
          </w:tcPr>
          <w:p>
            <w:pPr>
              <w:spacing w:after="0"/>
              <w:rPr>
                <w:sz w:val="17"/>
                <w:szCs w:val="17"/>
                <w:color w:val="auto"/>
              </w:rPr>
            </w:pPr>
          </w:p>
        </w:tc>
        <w:tc>
          <w:tcPr>
            <w:tcW w:w="770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380" w:type="dxa"/>
            <w:vAlign w:val="bottom"/>
          </w:tcPr>
          <w:p>
            <w:pPr>
              <w:spacing w:after="0"/>
              <w:rPr>
                <w:sz w:val="17"/>
                <w:szCs w:val="17"/>
                <w:color w:val="auto"/>
              </w:rPr>
            </w:pPr>
          </w:p>
        </w:tc>
        <w:tc>
          <w:tcPr>
            <w:tcW w:w="10380" w:type="dxa"/>
            <w:vAlign w:val="bottom"/>
            <w:gridSpan w:val="18"/>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2. UNREGISTERED SALES OF EQUITY SECURITIES AND USE OF PROCEEDS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380" w:type="dxa"/>
            <w:vAlign w:val="bottom"/>
          </w:tcPr>
          <w:p>
            <w:pPr>
              <w:spacing w:after="0"/>
              <w:rPr>
                <w:sz w:val="17"/>
                <w:szCs w:val="17"/>
                <w:color w:val="auto"/>
              </w:rPr>
            </w:pPr>
          </w:p>
        </w:tc>
        <w:tc>
          <w:tcPr>
            <w:tcW w:w="7080" w:type="dxa"/>
            <w:vAlign w:val="bottom"/>
            <w:tcBorders>
              <w:top w:val="single" w:sz="8" w:color="0000EE"/>
            </w:tcBorders>
            <w:gridSpan w:val="15"/>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3. DEFAULTS UPON SENIOR SECURITIES</w:t>
              </w:r>
            </w:hyperlink>
          </w:p>
        </w:tc>
        <w:tc>
          <w:tcPr>
            <w:tcW w:w="33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8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b w:val="1"/>
                <w:bCs w:val="1"/>
                <w:color w:val="0000EE"/>
                <w:w w:val="99"/>
              </w:rPr>
            </w:pPr>
            <w:hyperlink w:anchor="page40">
              <w:r>
                <w:rPr>
                  <w:rFonts w:ascii="Arial" w:cs="Arial" w:eastAsia="Arial" w:hAnsi="Arial"/>
                  <w:sz w:val="18"/>
                  <w:szCs w:val="18"/>
                  <w:b w:val="1"/>
                  <w:bCs w:val="1"/>
                  <w:color w:val="0000EE"/>
                  <w:w w:val="99"/>
                </w:rPr>
                <w:t>ITEM 4. MINE SAFETY DISCLOSURES</w:t>
              </w:r>
            </w:hyperlink>
          </w:p>
        </w:tc>
        <w:tc>
          <w:tcPr>
            <w:tcW w:w="780" w:type="dxa"/>
            <w:vAlign w:val="bottom"/>
            <w:tcBorders>
              <w:top w:val="single" w:sz="8" w:color="0000EE"/>
            </w:tcBorders>
            <w:gridSpan w:val="2"/>
          </w:tcPr>
          <w:p>
            <w:pPr>
              <w:spacing w:after="0"/>
              <w:rPr>
                <w:sz w:val="17"/>
                <w:szCs w:val="17"/>
                <w:color w:val="auto"/>
              </w:rPr>
            </w:pPr>
          </w:p>
        </w:tc>
        <w:tc>
          <w:tcPr>
            <w:tcW w:w="634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80" w:type="dxa"/>
            <w:vAlign w:val="bottom"/>
          </w:tcPr>
          <w:p>
            <w:pPr>
              <w:spacing w:after="0"/>
              <w:rPr>
                <w:sz w:val="17"/>
                <w:szCs w:val="17"/>
                <w:color w:val="auto"/>
              </w:rPr>
            </w:pPr>
          </w:p>
        </w:tc>
        <w:tc>
          <w:tcPr>
            <w:tcW w:w="27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5. OTHER INFORMATION</w:t>
              </w:r>
            </w:hyperlink>
          </w:p>
        </w:tc>
        <w:tc>
          <w:tcPr>
            <w:tcW w:w="766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80" w:type="dxa"/>
            <w:vAlign w:val="bottom"/>
          </w:tcPr>
          <w:p>
            <w:pPr>
              <w:spacing w:after="0"/>
              <w:rPr>
                <w:sz w:val="17"/>
                <w:szCs w:val="17"/>
                <w:color w:val="auto"/>
              </w:rPr>
            </w:pPr>
          </w:p>
        </w:tc>
        <w:tc>
          <w:tcPr>
            <w:tcW w:w="10380" w:type="dxa"/>
            <w:vAlign w:val="bottom"/>
            <w:gridSpan w:val="18"/>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6. EXHIBITS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80" w:type="dxa"/>
            <w:vAlign w:val="bottom"/>
          </w:tcPr>
          <w:p>
            <w:pPr>
              <w:spacing w:after="0"/>
              <w:rPr>
                <w:sz w:val="17"/>
                <w:szCs w:val="17"/>
                <w:color w:val="auto"/>
              </w:rPr>
            </w:pPr>
          </w:p>
        </w:tc>
        <w:tc>
          <w:tcPr>
            <w:tcW w:w="156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SIGNATURES</w:t>
              </w:r>
            </w:hyperlink>
          </w:p>
        </w:tc>
        <w:tc>
          <w:tcPr>
            <w:tcW w:w="882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385"/>
        </w:trPr>
        <w:tc>
          <w:tcPr>
            <w:tcW w:w="380" w:type="dxa"/>
            <w:vAlign w:val="bottom"/>
          </w:tcPr>
          <w:p>
            <w:pPr>
              <w:spacing w:after="0"/>
              <w:rPr>
                <w:sz w:val="24"/>
                <w:szCs w:val="24"/>
                <w:color w:val="auto"/>
              </w:rPr>
            </w:pPr>
          </w:p>
        </w:tc>
        <w:tc>
          <w:tcPr>
            <w:tcW w:w="1140" w:type="dxa"/>
            <w:vAlign w:val="bottom"/>
            <w:tcBorders>
              <w:top w:val="single" w:sz="8" w:color="0000EE"/>
            </w:tcBorders>
            <w:gridSpan w:val="2"/>
          </w:tcPr>
          <w:p>
            <w:pPr>
              <w:spacing w:after="0"/>
              <w:rPr>
                <w:sz w:val="24"/>
                <w:szCs w:val="24"/>
                <w:color w:val="auto"/>
              </w:rPr>
            </w:pPr>
          </w:p>
        </w:tc>
        <w:tc>
          <w:tcPr>
            <w:tcW w:w="5620" w:type="dxa"/>
            <w:vAlign w:val="bottom"/>
            <w:gridSpan w:val="12"/>
          </w:tcPr>
          <w:p>
            <w:pPr>
              <w:jc w:val="center"/>
              <w:ind w:left="2670"/>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7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economic conditions, the real estate industry and the markets in which we operate;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close pending acquisitions on expected terms, or at all;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competition from new and existing stores or other storage alternatives, which could cause rents and occupancy rates to decline;</w:t>
      </w:r>
    </w:p>
    <w:p>
      <w:pPr>
        <w:spacing w:after="0" w:line="153" w:lineRule="exact"/>
        <w:rPr>
          <w:rFonts w:ascii="Arial" w:cs="Arial" w:eastAsia="Arial" w:hAnsi="Arial"/>
          <w:sz w:val="16"/>
          <w:szCs w:val="16"/>
          <w:color w:val="auto"/>
        </w:rPr>
      </w:pPr>
    </w:p>
    <w:p>
      <w:pPr>
        <w:ind w:left="900" w:right="3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and developments successfully and to lease up those stores, which could adversely affect our profitability;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130"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or obtaining credit at reasonable rates or at all, which could impede our ability to grow;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interest rates and operating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asset valuations and related impairment charges;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failure of our joint venture partners to fulfill their obligations to us or their pursuit of actions that are inconsistent with our objectives;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maintain our REIT status for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war or terrorism, which could adversely affect our business plan;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attract and retain qualified personnel and management members.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tcPr>
          <w:p>
            <w:pPr>
              <w:ind w:left="34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tcPr>
          <w:p>
            <w:pPr>
              <w:jc w:val="center"/>
              <w:ind w:left="1310"/>
              <w:spacing w:after="0"/>
              <w:rPr>
                <w:sz w:val="20"/>
                <w:szCs w:val="20"/>
                <w:color w:val="auto"/>
              </w:rPr>
            </w:pPr>
            <w:r>
              <w:rPr>
                <w:rFonts w:ascii="Arial" w:cs="Arial" w:eastAsia="Arial" w:hAnsi="Arial"/>
                <w:sz w:val="18"/>
                <w:szCs w:val="18"/>
                <w:b w:val="1"/>
                <w:bCs w:val="1"/>
                <w:color w:val="auto"/>
                <w:w w:val="89"/>
              </w:rPr>
              <w:t>Extra Space Storage Inc.</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tcPr>
          <w:p>
            <w:pPr>
              <w:jc w:val="center"/>
              <w:ind w:left="13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20" w:type="dxa"/>
            <w:vAlign w:val="bottom"/>
          </w:tcPr>
          <w:p>
            <w:pPr>
              <w:jc w:val="center"/>
              <w:ind w:left="1310"/>
              <w:spacing w:after="0"/>
              <w:rPr>
                <w:sz w:val="20"/>
                <w:szCs w:val="20"/>
                <w:color w:val="auto"/>
              </w:rPr>
            </w:pPr>
            <w:r>
              <w:rPr>
                <w:rFonts w:ascii="Arial" w:cs="Arial" w:eastAsia="Arial" w:hAnsi="Arial"/>
                <w:sz w:val="18"/>
                <w:szCs w:val="18"/>
                <w:color w:val="auto"/>
                <w:w w:val="88"/>
              </w:rPr>
              <w:t>(amounts in thousands, except share data)</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(Unaudited)</w:t>
            </w:r>
          </w:p>
        </w:tc>
        <w:tc>
          <w:tcPr>
            <w:tcW w:w="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Real estate assets, net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$4,197,853</w:t>
            </w: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$ 4,135,696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3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unconsolidated real estate ventures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85,602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45,304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35,350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3,136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 net</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96,900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4,464,145</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$ 4,402,107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Noncontrolling Interests and Equity:</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Notes payable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$1,972,957</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$ 1,872,067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Premium on notes payable</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Exchangeable senior notes</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250,000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Discount on exchangeable senior notes</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(12,169)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Notes payable to trusts</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119,590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Lines of credit</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71,553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53,625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2,557,090</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Noncontrolling Interests and Equity:</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Extra Space Storage Inc. stockholders’ equity:</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Preferred stock, $0.01 par value, 50,000,000 shares authorized, no shares issued or outstanding</w:t>
            </w:r>
          </w:p>
        </w:tc>
        <w:tc>
          <w:tcPr>
            <w:tcW w:w="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Common stock, $0.01 par value, 500,000,000 shares authorized, 116,458,159 and 116,360,239 shares issued and</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outstanding at March 31, 2015 and December 31, 2014, respectively</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1,998,240</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1,995,484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(258,728)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(257,738)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Extra Space Storage Inc. stockholders’ equity</w:t>
            </w:r>
          </w:p>
        </w:tc>
        <w:tc>
          <w:tcPr>
            <w:tcW w:w="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1,732,876</w:t>
            </w: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 represented by Preferred Operating Partnership units, net of $120,230 notes receivable</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81,088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interests in Operating Partnership</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92,105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Other noncontrolling interests</w:t>
            </w: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noncontrolling interests and equity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1,907,055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tcPr>
          <w:p>
            <w:pPr>
              <w:ind w:left="380"/>
              <w:spacing w:after="0"/>
              <w:rPr>
                <w:sz w:val="20"/>
                <w:szCs w:val="20"/>
                <w:color w:val="auto"/>
              </w:rPr>
            </w:pPr>
            <w:r>
              <w:rPr>
                <w:rFonts w:ascii="Arial" w:cs="Arial" w:eastAsia="Arial" w:hAnsi="Arial"/>
                <w:sz w:val="18"/>
                <w:szCs w:val="18"/>
                <w:color w:val="auto"/>
              </w:rPr>
              <w:t>Total liabilities, noncontrolling interests and equity</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4,464,145</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$ 4,402,107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For the Three Months Ended</w:t>
      </w:r>
    </w:p>
    <w:p>
      <w:pPr>
        <w:jc w:val="center"/>
        <w:ind w:left="85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Property rental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148,894</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Tenant reinsurance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16,510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Management fees and other income</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173,154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152,587</w:t>
            </w:r>
          </w:p>
        </w:tc>
        <w:tc>
          <w:tcPr>
            <w:tcW w:w="0" w:type="dxa"/>
            <w:vAlign w:val="bottom"/>
          </w:tcPr>
          <w:p>
            <w:pPr>
              <w:spacing w:after="0"/>
              <w:rPr>
                <w:sz w:val="1"/>
                <w:szCs w:val="1"/>
                <w:color w:val="auto"/>
              </w:rPr>
            </w:pPr>
          </w:p>
        </w:tc>
      </w:tr>
      <w:tr>
        <w:trPr>
          <w:trHeight w:val="33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operations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47,244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Tenant reinsurance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2,928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related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16,249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30,428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97,718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75,436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60,398</w:t>
            </w:r>
          </w:p>
        </w:tc>
        <w:tc>
          <w:tcPr>
            <w:tcW w:w="0" w:type="dxa"/>
            <w:vAlign w:val="bottom"/>
          </w:tcPr>
          <w:p>
            <w:pPr>
              <w:spacing w:after="0"/>
              <w:rPr>
                <w:sz w:val="1"/>
                <w:szCs w:val="1"/>
                <w:color w:val="auto"/>
              </w:rPr>
            </w:pP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4"/>
                <w:szCs w:val="24"/>
                <w:color w:val="auto"/>
              </w:rPr>
            </w:pP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(21,431)</w:t>
            </w:r>
          </w:p>
        </w:tc>
        <w:tc>
          <w:tcPr>
            <w:tcW w:w="8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w w:val="95"/>
              </w:rPr>
              <w:t>Non-cash interest expense related to amortization of discount on equity component of exchangeable senior notes</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856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note receivable from Preferred Operating Partnership unit holder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4"/>
        </w:trPr>
        <w:tc>
          <w:tcPr>
            <w:tcW w:w="8680" w:type="dxa"/>
            <w:vAlign w:val="bottom"/>
            <w:gridSpan w:val="2"/>
          </w:tcPr>
          <w:p>
            <w:pPr>
              <w:spacing w:after="0"/>
              <w:rPr>
                <w:sz w:val="20"/>
                <w:szCs w:val="20"/>
                <w:color w:val="auto"/>
              </w:rPr>
            </w:pPr>
            <w:r>
              <w:rPr>
                <w:rFonts w:ascii="Arial" w:cs="Arial" w:eastAsia="Arial" w:hAnsi="Arial"/>
                <w:sz w:val="18"/>
                <w:szCs w:val="18"/>
                <w:color w:val="auto"/>
              </w:rPr>
              <w:t>Income before equity in earnings of unconsolidated real estate ventures and income tax expense</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55,377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real estate ventures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spacing w:after="0" w:line="201" w:lineRule="exact"/>
              <w:rPr>
                <w:sz w:val="20"/>
                <w:szCs w:val="20"/>
                <w:color w:val="auto"/>
              </w:rPr>
            </w:pPr>
            <w:r>
              <w:rPr>
                <w:rFonts w:ascii="Arial" w:cs="Arial" w:eastAsia="Arial" w:hAnsi="Arial"/>
                <w:sz w:val="18"/>
                <w:szCs w:val="18"/>
                <w:color w:val="auto"/>
                <w:w w:val="95"/>
              </w:rPr>
              <w:t>Equity in earnings of unconsolidated real estate ventures—gain on sale of real estate assets and purchase of joint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venture partners’ interests</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2,857</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(2,248)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58,636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Preferred Operating Partnership noncontrolling interests</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(2,926)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Net income allocated to Operating Partnership and other noncontrolling interests</w:t>
            </w:r>
          </w:p>
        </w:tc>
        <w:tc>
          <w:tcPr>
            <w:tcW w:w="100" w:type="dxa"/>
            <w:vAlign w:val="bottom"/>
          </w:tcPr>
          <w:p>
            <w:pPr>
              <w:spacing w:after="0"/>
              <w:rPr>
                <w:sz w:val="19"/>
                <w:szCs w:val="19"/>
                <w:color w:val="auto"/>
              </w:rPr>
            </w:pP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116,117,615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115,438,325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122,595,718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121,062,845</w:t>
            </w:r>
          </w:p>
        </w:tc>
        <w:tc>
          <w:tcPr>
            <w:tcW w:w="0" w:type="dxa"/>
            <w:vAlign w:val="bottom"/>
          </w:tcPr>
          <w:p>
            <w:pPr>
              <w:spacing w:after="0"/>
              <w:rPr>
                <w:sz w:val="1"/>
                <w:szCs w:val="1"/>
                <w:color w:val="auto"/>
              </w:rPr>
            </w:pP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color w:val="auto"/>
              </w:rPr>
              <w:t>Cash dividends paid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6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For the Three</w:t>
      </w:r>
    </w:p>
    <w:p>
      <w:pPr>
        <w:jc w:val="center"/>
        <w:ind w:left="9700"/>
        <w:spacing w:after="0" w:line="226" w:lineRule="auto"/>
        <w:rPr>
          <w:sz w:val="20"/>
          <w:szCs w:val="20"/>
          <w:color w:val="auto"/>
        </w:rPr>
      </w:pPr>
      <w:r>
        <w:rPr>
          <w:rFonts w:ascii="Arial" w:cs="Arial" w:eastAsia="Arial" w:hAnsi="Arial"/>
          <w:sz w:val="14"/>
          <w:szCs w:val="14"/>
          <w:b w:val="1"/>
          <w:bCs w:val="1"/>
          <w:color w:val="auto"/>
        </w:rPr>
        <w:t>Months Ended</w:t>
      </w:r>
    </w:p>
    <w:p>
      <w:pPr>
        <w:jc w:val="center"/>
        <w:ind w:left="970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800" w:type="dxa"/>
            <w:vAlign w:val="bottom"/>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$58,636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324"/>
        </w:trPr>
        <w:tc>
          <w:tcPr>
            <w:tcW w:w="980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interest rate swaps</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(6,593)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(2,747)</w:t>
            </w: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38,462</w:t>
            </w:r>
          </w:p>
        </w:tc>
        <w:tc>
          <w:tcPr>
            <w:tcW w:w="100" w:type="dxa"/>
            <w:vAlign w:val="bottom"/>
          </w:tcPr>
          <w:p>
            <w:pPr>
              <w:spacing w:after="0"/>
              <w:rPr>
                <w:sz w:val="19"/>
                <w:szCs w:val="19"/>
                <w:color w:val="auto"/>
              </w:rPr>
            </w:pPr>
          </w:p>
        </w:tc>
      </w:tr>
      <w:tr>
        <w:trPr>
          <w:trHeight w:val="216"/>
        </w:trPr>
        <w:tc>
          <w:tcPr>
            <w:tcW w:w="9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4,617</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r>
      <w:tr>
        <w:trPr>
          <w:trHeight w:val="223"/>
        </w:trPr>
        <w:tc>
          <w:tcPr>
            <w:tcW w:w="9800" w:type="dxa"/>
            <w:vAlign w:val="bottom"/>
          </w:tcPr>
          <w:p>
            <w:pPr>
              <w:spacing w:after="0"/>
              <w:rPr>
                <w:sz w:val="20"/>
                <w:szCs w:val="20"/>
                <w:color w:val="auto"/>
              </w:rPr>
            </w:pPr>
            <w:r>
              <w:rPr>
                <w:rFonts w:ascii="Arial" w:cs="Arial" w:eastAsia="Arial" w:hAnsi="Arial"/>
                <w:sz w:val="18"/>
                <w:szCs w:val="18"/>
                <w:b w:val="1"/>
                <w:bCs w:val="1"/>
                <w:color w:val="auto"/>
              </w:rPr>
              <w:t>Comprehensive income attributable to common stockholders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47,426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34,712</w:t>
            </w:r>
          </w:p>
        </w:tc>
        <w:tc>
          <w:tcPr>
            <w:tcW w:w="10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89"/>
              </w:rPr>
              <w:t>Noncontrolling Interests</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10"/>
          </w:tcPr>
          <w:p>
            <w:pPr>
              <w:ind w:left="340"/>
              <w:spacing w:after="0"/>
              <w:rPr>
                <w:sz w:val="20"/>
                <w:szCs w:val="20"/>
                <w:color w:val="auto"/>
              </w:rPr>
            </w:pPr>
            <w:r>
              <w:rPr>
                <w:rFonts w:ascii="Arial" w:cs="Arial" w:eastAsia="Arial" w:hAnsi="Arial"/>
                <w:sz w:val="13"/>
                <w:szCs w:val="13"/>
                <w:b w:val="1"/>
                <w:bCs w:val="1"/>
                <w:color w:val="auto"/>
              </w:rPr>
              <w:t>Extra Space Storage Inc. Stockholders’ Equity</w:t>
            </w: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0" w:type="dxa"/>
            <w:vAlign w:val="bottom"/>
            <w:gridSpan w:val="9"/>
          </w:tcPr>
          <w:p>
            <w:pPr>
              <w:ind w:left="340"/>
              <w:spacing w:after="0"/>
              <w:rPr>
                <w:sz w:val="20"/>
                <w:szCs w:val="20"/>
                <w:color w:val="auto"/>
              </w:rPr>
            </w:pPr>
            <w:r>
              <w:rPr>
                <w:rFonts w:ascii="Arial" w:cs="Arial" w:eastAsia="Arial" w:hAnsi="Arial"/>
                <w:sz w:val="13"/>
                <w:szCs w:val="13"/>
                <w:b w:val="1"/>
                <w:bCs w:val="1"/>
                <w:color w:val="auto"/>
              </w:rPr>
              <w:t>Preferred Operating Partnership</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1"/>
                <w:szCs w:val="11"/>
                <w:color w:val="auto"/>
              </w:rPr>
            </w:pP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Operating</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Par</w:t>
            </w:r>
          </w:p>
        </w:tc>
        <w:tc>
          <w:tcPr>
            <w:tcW w:w="8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9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Interests and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4"/>
              </w:rPr>
              <w:t>Series A</w:t>
            </w: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Series B</w:t>
            </w:r>
          </w:p>
        </w:tc>
        <w:tc>
          <w:tcPr>
            <w:tcW w:w="1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Series C</w:t>
            </w: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Series D</w:t>
            </w:r>
          </w:p>
        </w:tc>
        <w:tc>
          <w:tcPr>
            <w:tcW w:w="4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Partnership</w:t>
            </w: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Value</w:t>
            </w:r>
          </w:p>
        </w:tc>
        <w:tc>
          <w:tcPr>
            <w:tcW w:w="82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Captial</w:t>
            </w:r>
          </w:p>
        </w:tc>
        <w:tc>
          <w:tcPr>
            <w:tcW w:w="14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2014</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$ 14,809</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$ 41,903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4"/>
              </w:rPr>
              <w:t>$ 10,730</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4"/>
              </w:rPr>
              <w:t>$ 13,710</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92,422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$ 984</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116,360,239</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$1,163</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$1,995,484</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(257,738)</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1,911,983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260" w:type="dxa"/>
            <w:vAlign w:val="bottom"/>
            <w:gridSpan w:val="2"/>
          </w:tcPr>
          <w:p>
            <w:pPr>
              <w:spacing w:after="0"/>
              <w:rPr>
                <w:sz w:val="20"/>
                <w:szCs w:val="20"/>
                <w:color w:val="auto"/>
              </w:rPr>
            </w:pPr>
            <w:r>
              <w:rPr>
                <w:rFonts w:ascii="Arial" w:cs="Arial" w:eastAsia="Arial" w:hAnsi="Arial"/>
                <w:sz w:val="14"/>
                <w:szCs w:val="14"/>
                <w:color w:val="auto"/>
                <w:w w:val="99"/>
              </w:rPr>
              <w:t>Issuance of common stock upon the</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ind w:left="140"/>
              <w:spacing w:after="0"/>
              <w:rPr>
                <w:sz w:val="20"/>
                <w:szCs w:val="20"/>
                <w:color w:val="auto"/>
              </w:rPr>
            </w:pPr>
            <w:r>
              <w:rPr>
                <w:rFonts w:ascii="Arial" w:cs="Arial" w:eastAsia="Arial" w:hAnsi="Arial"/>
                <w:sz w:val="14"/>
                <w:szCs w:val="14"/>
                <w:color w:val="auto"/>
              </w:rPr>
              <w:t>exercise of options</w:t>
            </w:r>
          </w:p>
        </w:tc>
        <w:tc>
          <w:tcPr>
            <w:tcW w:w="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41,634</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970</w:t>
            </w:r>
          </w:p>
        </w:tc>
        <w:tc>
          <w:tcPr>
            <w:tcW w:w="140" w:type="dxa"/>
            <w:vAlign w:val="bottom"/>
          </w:tcPr>
          <w:p>
            <w:pPr>
              <w:spacing w:after="0"/>
              <w:rPr>
                <w:sz w:val="14"/>
                <w:szCs w:val="14"/>
                <w:color w:val="auto"/>
              </w:rPr>
            </w:pPr>
          </w:p>
        </w:tc>
        <w:tc>
          <w:tcPr>
            <w:tcW w:w="880" w:type="dxa"/>
            <w:vAlign w:val="bottom"/>
            <w:gridSpan w:val="2"/>
          </w:tcPr>
          <w:p>
            <w:pPr>
              <w:jc w:val="center"/>
              <w:ind w:left="189"/>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grants issued</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58,150</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189"/>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Restricted stock grants cancelled</w:t>
            </w: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(1,864)</w:t>
            </w:r>
          </w:p>
        </w:tc>
        <w:tc>
          <w:tcPr>
            <w:tcW w:w="5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center"/>
              <w:ind w:left="189"/>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Compensation expense related to</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awards</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1,142</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189"/>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1,668</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629</w:t>
            </w:r>
          </w:p>
        </w:tc>
        <w:tc>
          <w:tcPr>
            <w:tcW w:w="76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458</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171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1,966</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center"/>
              <w:ind w:left="189"/>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53,742</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149"/>
              <w:spacing w:after="0" w:line="149" w:lineRule="exact"/>
              <w:rPr>
                <w:sz w:val="20"/>
                <w:szCs w:val="20"/>
                <w:color w:val="auto"/>
              </w:rPr>
            </w:pPr>
            <w:r>
              <w:rPr>
                <w:rFonts w:ascii="Arial" w:cs="Arial" w:eastAsia="Arial" w:hAnsi="Arial"/>
                <w:sz w:val="14"/>
                <w:szCs w:val="14"/>
                <w:color w:val="auto"/>
                <w:w w:val="94"/>
              </w:rPr>
              <w:t>(6,316)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rPr>
              <w:t>Tax effect from vesting of restricted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140"/>
              <w:spacing w:after="0" w:line="149" w:lineRule="exact"/>
              <w:rPr>
                <w:sz w:val="20"/>
                <w:szCs w:val="20"/>
                <w:color w:val="auto"/>
              </w:rPr>
            </w:pPr>
            <w:r>
              <w:rPr>
                <w:rFonts w:ascii="Arial" w:cs="Arial" w:eastAsia="Arial" w:hAnsi="Arial"/>
                <w:sz w:val="14"/>
                <w:szCs w:val="14"/>
                <w:color w:val="auto"/>
              </w:rPr>
              <w:t>stock grants and stock option</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ind w:left="140"/>
              <w:spacing w:after="0"/>
              <w:rPr>
                <w:sz w:val="20"/>
                <w:szCs w:val="20"/>
                <w:color w:val="auto"/>
              </w:rPr>
            </w:pPr>
            <w:r>
              <w:rPr>
                <w:rFonts w:ascii="Arial" w:cs="Arial" w:eastAsia="Arial" w:hAnsi="Arial"/>
                <w:sz w:val="14"/>
                <w:szCs w:val="14"/>
                <w:color w:val="auto"/>
              </w:rPr>
              <w:t>exercises</w:t>
            </w:r>
          </w:p>
        </w:tc>
        <w:tc>
          <w:tcPr>
            <w:tcW w:w="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644</w:t>
            </w:r>
          </w:p>
        </w:tc>
        <w:tc>
          <w:tcPr>
            <w:tcW w:w="140" w:type="dxa"/>
            <w:vAlign w:val="bottom"/>
          </w:tcPr>
          <w:p>
            <w:pPr>
              <w:spacing w:after="0"/>
              <w:rPr>
                <w:sz w:val="14"/>
                <w:szCs w:val="14"/>
                <w:color w:val="auto"/>
              </w:rPr>
            </w:pPr>
          </w:p>
        </w:tc>
        <w:tc>
          <w:tcPr>
            <w:tcW w:w="880" w:type="dxa"/>
            <w:vAlign w:val="bottom"/>
            <w:gridSpan w:val="2"/>
          </w:tcPr>
          <w:p>
            <w:pPr>
              <w:jc w:val="center"/>
              <w:ind w:left="189"/>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Distributions to Operating Partnership</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units held by noncontrolling</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(1,686)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(629)</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(458)</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(171)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(2,052)</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189"/>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tcPr>
          <w:p>
            <w:pPr>
              <w:spacing w:after="0" w:line="130" w:lineRule="exact"/>
              <w:rPr>
                <w:sz w:val="20"/>
                <w:szCs w:val="20"/>
                <w:color w:val="auto"/>
              </w:rPr>
            </w:pPr>
            <w:r>
              <w:rPr>
                <w:rFonts w:ascii="Arial" w:cs="Arial" w:eastAsia="Arial" w:hAnsi="Arial"/>
                <w:sz w:val="14"/>
                <w:szCs w:val="14"/>
                <w:color w:val="auto"/>
              </w:rPr>
              <w:t>Dividends paid on common stock at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ind w:left="140"/>
              <w:spacing w:after="0"/>
              <w:rPr>
                <w:sz w:val="20"/>
                <w:szCs w:val="20"/>
                <w:color w:val="auto"/>
              </w:rPr>
            </w:pPr>
            <w:r>
              <w:rPr>
                <w:rFonts w:ascii="Arial" w:cs="Arial" w:eastAsia="Arial" w:hAnsi="Arial"/>
                <w:sz w:val="14"/>
                <w:szCs w:val="14"/>
                <w:color w:val="auto"/>
              </w:rPr>
              <w:t>$0.47 per share</w:t>
            </w:r>
          </w:p>
        </w:tc>
        <w:tc>
          <w:tcPr>
            <w:tcW w:w="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center"/>
              <w:ind w:left="189"/>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(54,732)</w:t>
            </w:r>
          </w:p>
        </w:tc>
        <w:tc>
          <w:tcPr>
            <w:tcW w:w="14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(54,732)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March 31, 2015</w:t>
            </w:r>
          </w:p>
        </w:tc>
        <w:tc>
          <w:tcPr>
            <w:tcW w:w="7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 xml:space="preserve"> 14,745</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41,903</w:t>
            </w:r>
          </w:p>
        </w:tc>
        <w:tc>
          <w:tcPr>
            <w:tcW w:w="7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10,730</w:t>
            </w:r>
          </w:p>
        </w:tc>
        <w:tc>
          <w:tcPr>
            <w:tcW w:w="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13,710</w:t>
            </w: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92,105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$ 986</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116,458,159</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1,164</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1,998,240</w:t>
            </w: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center"/>
              <w:ind w:left="149"/>
              <w:spacing w:after="0" w:line="149" w:lineRule="exact"/>
              <w:rPr>
                <w:sz w:val="20"/>
                <w:szCs w:val="20"/>
                <w:color w:val="auto"/>
              </w:rPr>
            </w:pPr>
            <w:r>
              <w:rPr>
                <w:rFonts w:ascii="Arial" w:cs="Arial" w:eastAsia="Arial" w:hAnsi="Arial"/>
                <w:sz w:val="14"/>
                <w:szCs w:val="14"/>
                <w:color w:val="auto"/>
                <w:w w:val="94"/>
              </w:rPr>
              <w:t>(7,800)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(258,728)</w:t>
            </w: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1,907,055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For the Three Months</w:t>
      </w:r>
    </w:p>
    <w:p>
      <w:pPr>
        <w:jc w:val="center"/>
        <w:ind w:left="928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58,636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30,428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w w:val="96"/>
              </w:rPr>
              <w:t>Non-cash interest expense related to amortization of discount on equity component of exchangeable senior notes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interest expense related to amortization of premium on notes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Compensation expense related to stock-based awards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on sale of real estate assets and purchase of joint venture partners’ interests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Distributions from unconsolidated real estate ventures in excess of earnings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06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87,439</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Acquisition of real estate assets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(77,082)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(253,939)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and redevelopment of real estate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Change in restricted cash</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(10,105)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equipment and fixtures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(91,511)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(256,608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Proceeds from notes payable and lines of credit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290,768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291,157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lines of credit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(228,878)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Dividends paid on common stock</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(54,732)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to noncontrolling interests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112,328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126,723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45,304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9640"/>
        <w:spacing w:after="0"/>
        <w:rPr>
          <w:sz w:val="20"/>
          <w:szCs w:val="20"/>
          <w:color w:val="auto"/>
        </w:rPr>
      </w:pPr>
      <w:r>
        <w:rPr>
          <w:rFonts w:ascii="Arial" w:cs="Arial" w:eastAsia="Arial" w:hAnsi="Arial"/>
          <w:sz w:val="14"/>
          <w:szCs w:val="14"/>
          <w:b w:val="1"/>
          <w:bCs w:val="1"/>
          <w:color w:val="auto"/>
        </w:rPr>
        <w:t>For the Three Months</w:t>
      </w:r>
    </w:p>
    <w:p>
      <w:pPr>
        <w:jc w:val="center"/>
        <w:ind w:left="964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9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cash flow information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21,754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16,445</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r>
      <w:tr>
        <w:trPr>
          <w:trHeight w:val="324"/>
        </w:trPr>
        <w:tc>
          <w:tcPr>
            <w:tcW w:w="974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Tax effect from vesting of restricted stock grants and option exercises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644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(1,262)</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Acquisitions of real estate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11,009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tcPr>
          <w:p>
            <w:pPr>
              <w:ind w:left="36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(11,009)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Extra Space Storage Inc. (the “Company”) is a fully-integrated, self-administered and self-managed real estate investment trust (“REIT”), formed as a Maryland corporation on April 30, 2004, to own, operate, manage, acquire, develop and redevelop professionally managed self-storage properties (“stores”) located throughout the United States. The Company continues the business of Extra Space Storage LLC and its subsidiaries, which had engaged in the self-storage business since 1977. The Company’s interests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(“UPREIT”). The Company has elected to be taxed as a REIT under the Internal Revenue Code of 1986, as amended. To the extent the Company continues to qualify as a REIT, it will not be subject to tax, with certain limited exceptions, on the taxable income that is distributed to its stockholders.</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invests in stores by acquiring wholly-owned stores or by acquiring an equity interest in real estate entities. At March 31, 2015, the Company had direct and indirect equity interests in 835 stores. In addition, the Company managed 271 stores for third parties, bringing the total number of stores which it owns and/or manages to 1,106. These stores are located in 35 states, Washington, D.C. and Puerto Rico.</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operates in three distinct segments: (1) rental operations; (2) tenant reinsurance; and (3) property management, acquisition and development. The rental operations activities include rental operations of stores in which we have an ownership interest. No single tenant accounts for more than 5.0% of rental income. Tenant reinsurance activities include the reinsurance of risks relating to the loss of goods stored by tenants in the Company’s stores. The Company’s property management, acquisition and development activities include managing, acquiring, developing and selling stores.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months ended March 31, 2015, are not necessarily indicative of results that may be expected for the year ending December 31, 2015. The condensed consolidated balance sheet as of December 31, 2014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2014, as filed with the Securities and Exchange Commission.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Certain amounts in the Company’s 2014 consolidated financial statements and supporting note disclosures have been reclassified to conform to the current period presentation. Such reclassifications did not impact previously reported net income or accumulated deficit.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2014, the Financial Accounting Standards Board (“FASB”) issued Accounting Standards Update (“ASU”) 2014-08, “</w:t>
      </w:r>
      <w:r>
        <w:rPr>
          <w:rFonts w:ascii="Arial" w:cs="Arial" w:eastAsia="Arial" w:hAnsi="Arial"/>
          <w:sz w:val="18"/>
          <w:szCs w:val="18"/>
          <w:i w:val="1"/>
          <w:iCs w:val="1"/>
          <w:color w:val="auto"/>
        </w:rPr>
        <w:t>Presentation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(Topic 205) and Property, Plant and Equipment (Topic 360): Reporting Discontinued Operations and disclosures of Components of an Entity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guidance, only disposals representing a strategic shift in operations should be presented as discontinued operations. The guidance also requires new disclosures of both discontinued operations and certain other disposals that do not meet the definition of a discontinued operation. The Company adopted this guidance effective January 1, 2015. The Company has not previously had discontinued operations and as such, does not expect this guidance to have a significant impact on its consolidated financial statements.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amends the guidance for revenue recognition to replace numerous, industry-specific requirements and converges areas under this topic with those of the International Financial Reporting Standards. ASU 2014-09 outlines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ASU 2014-09 is effective for reporting periods beginning after December 15, 2016, and early adoption is prohibited. Entities can transition to the standard either retrospectively or as a cumulative-effect adjustment as of the date of adoption. Management is currently assessing the impact of the adoption of ASU 2014-09 on the Company’s condensed consolidated financial statements.</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2014, the FASB issued ASU 2014-12, “</w:t>
      </w:r>
      <w:r>
        <w:rPr>
          <w:rFonts w:ascii="Arial" w:cs="Arial" w:eastAsia="Arial" w:hAnsi="Arial"/>
          <w:sz w:val="18"/>
          <w:szCs w:val="18"/>
          <w:i w:val="1"/>
          <w:iCs w:val="1"/>
          <w:color w:val="auto"/>
        </w:rPr>
        <w:t>Accounting for Share-Based Payments When the Terms of an Award Provide That a Performance Target</w:t>
      </w:r>
      <w:r>
        <w:rPr>
          <w:rFonts w:ascii="Arial" w:cs="Arial" w:eastAsia="Arial" w:hAnsi="Arial"/>
          <w:sz w:val="18"/>
          <w:szCs w:val="18"/>
          <w:color w:val="auto"/>
        </w:rPr>
        <w:t xml:space="preserve"> </w:t>
      </w:r>
      <w:r>
        <w:rPr>
          <w:rFonts w:ascii="Arial" w:cs="Arial" w:eastAsia="Arial" w:hAnsi="Arial"/>
          <w:sz w:val="18"/>
          <w:szCs w:val="18"/>
          <w:i w:val="1"/>
          <w:iCs w:val="1"/>
          <w:color w:val="auto"/>
        </w:rPr>
        <w:t>Could Be Achieved after the Requisite Service Period</w:t>
      </w:r>
      <w:r>
        <w:rPr>
          <w:rFonts w:ascii="Arial" w:cs="Arial" w:eastAsia="Arial" w:hAnsi="Arial"/>
          <w:sz w:val="18"/>
          <w:szCs w:val="18"/>
          <w:color w:val="auto"/>
        </w:rPr>
        <w:t>,” which requires a reporting entity to treat a performance target that affects vesting, and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achieved after the requisite service period, as a performance condition. ASU 2014-12 is effective for annual periods, and interim periods within those annual periods, beginning after December 15, 2015. Early adoption is permitted. ASU 2014-12 may be adopted either prospectively for share-based payment awards granted or modified on or after the effective date, or retrospectively, using a modified retrospective approach. The modified retrospective approach would apply to share-based payment awards outstanding as of the beginning of the earliest annual period presented in the financial statements on adoption, and to all new or modified awards thereafter. The Company does not expect the adoption of ASU 2014-12 to have a material impact on its consolidated financial statements.</w:t>
      </w:r>
    </w:p>
    <w:p>
      <w:pPr>
        <w:spacing w:after="0" w:line="192"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In February 2015, the FASB issued ASU 2015-02, “</w:t>
      </w:r>
      <w:r>
        <w:rPr>
          <w:rFonts w:ascii="Arial" w:cs="Arial" w:eastAsia="Arial" w:hAnsi="Arial"/>
          <w:sz w:val="16"/>
          <w:szCs w:val="16"/>
          <w:i w:val="1"/>
          <w:iCs w:val="1"/>
          <w:color w:val="auto"/>
        </w:rPr>
        <w:t>Consolidation (Topic 810): Amendments to the Consolidation Analysis</w:t>
      </w:r>
      <w:r>
        <w:rPr>
          <w:rFonts w:ascii="Arial" w:cs="Arial" w:eastAsia="Arial" w:hAnsi="Arial"/>
          <w:sz w:val="16"/>
          <w:szCs w:val="16"/>
          <w:color w:val="auto"/>
        </w:rPr>
        <w:t>.” This guidance is effective for annual reporting periods beginning after December 15, 2015, including interim periods within that reporting period. ASU 2015-02 amends the criteria for determining if a service provider possesses a variable interest in a VIE, and eliminates the presumption that a general partner should consolidate a limited partnership. The Company does not expect the adoption of this standard to materially impact its consolidated financial statements.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2015, the FASB issued ASU 2015-03, “</w:t>
      </w:r>
      <w:r>
        <w:rPr>
          <w:rFonts w:ascii="Arial" w:cs="Arial" w:eastAsia="Arial" w:hAnsi="Arial"/>
          <w:sz w:val="18"/>
          <w:szCs w:val="18"/>
          <w:i w:val="1"/>
          <w:iCs w:val="1"/>
          <w:color w:val="auto"/>
        </w:rPr>
        <w:t>Interest—Imputation of Interest: Simplifying the Presentation of Debt Issuance Costs</w:t>
      </w:r>
      <w:r>
        <w:rPr>
          <w:rFonts w:ascii="Arial" w:cs="Arial" w:eastAsia="Arial" w:hAnsi="Arial"/>
          <w:sz w:val="18"/>
          <w:szCs w:val="18"/>
          <w:color w:val="auto"/>
        </w:rPr>
        <w:t>.” This guidance requires debt issuance costs related to a recognized debt liability to be presented as a direct deduction from the carrying amount of that debt liability. The new guidance will only impact financial statement presentation. The guidance is effective in the first quarter of 2016 and allows for early adoption. The Company does not expect the adoption of this standard to materially impact its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5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Financial Accounting Standards Board’s fair value measurement guidance, the Company made an accounting policy election to measure the credit risk of its derivative financial instruments that are subject to master netting agreements on a net basis by counterparty portfolio.</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March 31, 2015, the Company had assessed the significance of the impact of the credit valuation adjustments on the overall valuation of its derivative positions and determined that the credit valuation adjustments were not significant to the overall valuation of its derivatives. As a result, the Company determined that its derivative valuations in their entirety were classified in Level 2 of the fair value hierarchy.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March 31, 2015, aggregated by the level in the fair value hierarchy within which those measurements fall.</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gridSpan w:val="7"/>
          </w:tcPr>
          <w:p>
            <w:pPr>
              <w:jc w:val="center"/>
              <w:ind w:right="36"/>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700" w:type="dxa"/>
            <w:vAlign w:val="bottom"/>
          </w:tcPr>
          <w:p>
            <w:pPr>
              <w:spacing w:after="0"/>
              <w:rPr>
                <w:sz w:val="10"/>
                <w:szCs w:val="10"/>
                <w:color w:val="auto"/>
              </w:rPr>
            </w:pPr>
          </w:p>
        </w:tc>
        <w:tc>
          <w:tcPr>
            <w:tcW w:w="178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70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56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720" w:type="dxa"/>
            <w:vAlign w:val="bottom"/>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7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assets—Cash Flow Hedge Swap Agreements</w:t>
            </w: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8"/>
              </w:rPr>
              <w:t>Other liabilities—Cash Flow Hedge Swap Agreements</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0"/>
              <w:spacing w:after="0"/>
              <w:rPr>
                <w:sz w:val="20"/>
                <w:szCs w:val="20"/>
                <w:color w:val="auto"/>
              </w:rPr>
            </w:pPr>
            <w:r>
              <w:rPr>
                <w:rFonts w:ascii="Arial" w:cs="Arial" w:eastAsia="Arial" w:hAnsi="Arial"/>
                <w:sz w:val="18"/>
                <w:szCs w:val="18"/>
                <w:color w:val="auto"/>
              </w:rPr>
              <w:t>(7,231)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(7,231)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There were no transfers of assets and liabilities between Level 1 and Level 2 during the three months ended March 31, 2015. The Company did not have any significant assets or liabilities that are re-measured on a recurring basis using significant unobservable inputs as of March 31, 2015 or December 31, 2014.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carefully reviews stores in the lease-up stage and compares actual operating results to original projections.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a valuation allowance is established. The operations of assets held for sale or sold during the period are presented as part of normal operations for all periods presented.</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assesses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Company’s acquisition of stores, the purchase price is allocated to the tangible and intangible assets and liabilities acquired based on their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Debt assumed as part of an acquisition is recorded at fair value based on current interest rates compared to contractual rates. Acquisition-related transaction costs are expensed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March 31, 2015 and December 31, 2014 approximate fair value.</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values of the Company’s notes receivable from Preferred Operating Partnership unit holders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and notes payable to trusts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 2014</w:t>
            </w:r>
          </w:p>
        </w:tc>
      </w:tr>
      <w:tr>
        <w:trPr>
          <w:trHeight w:val="119"/>
        </w:trPr>
        <w:tc>
          <w:tcPr>
            <w:tcW w:w="5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receivable from Preferred Operating Partnership unit holders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129,102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120,230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Fixed rate notes payable and notes payable to trusts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1,487,014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1,438,400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1,320,370</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1,283,893</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310,625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276,095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COMMON SHARE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C Convertible Redeemable Preferred Units (“Series C Units”), Series D Redeemable Preferred Units (“Series D Units”) and common Operating Partnership units (“OP Units”)) that do not have a current right to participate in earnings of the Company but could do so in the future by virtue of their option, redemption or conversion right.</w:t>
      </w:r>
    </w:p>
    <w:p>
      <w:pPr>
        <w:spacing w:after="0" w:line="1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(those that reduce earnings per common share) are included. For the three months ended March 31, 2015 and 2014, options to purchase approximately 19,762 and 18,100 shares of common stock, respectively, were excluded from the computation of earnings per share as their effect would have been anti-dilutive.</w:t>
      </w:r>
    </w:p>
    <w:p>
      <w:pPr>
        <w:spacing w:after="0" w:line="15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presents the number of Preferred Operating Partnership units, and the potential common shares, that were excluded from the computation of earnings per share as their effect would have been anti-dilutive, assuming full conversion at the average share price for the quarter of $65.59.</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w w:val="96"/>
              </w:rPr>
              <w:t>For the Three Months Ended March 31,</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Equivalent</w:t>
            </w:r>
          </w:p>
        </w:tc>
        <w:tc>
          <w:tcPr>
            <w:tcW w:w="2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Equivalent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w:t>
            </w:r>
          </w:p>
        </w:tc>
        <w:tc>
          <w:tcPr>
            <w:tcW w:w="8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Units</w:t>
            </w:r>
          </w:p>
        </w:tc>
        <w:tc>
          <w:tcPr>
            <w:tcW w:w="2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(if converted)</w:t>
            </w: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(if converted)</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B Units</w:t>
            </w:r>
          </w:p>
        </w:tc>
        <w:tc>
          <w:tcPr>
            <w:tcW w:w="3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1,676,087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638,850</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1,342,727</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Series C Units</w:t>
            </w:r>
          </w:p>
        </w:tc>
        <w:tc>
          <w:tcPr>
            <w:tcW w:w="3960" w:type="dxa"/>
            <w:vAlign w:val="bottom"/>
            <w:gridSpan w:val="3"/>
          </w:tcPr>
          <w:p>
            <w:pPr>
              <w:jc w:val="right"/>
              <w:ind w:right="20"/>
              <w:spacing w:after="0"/>
              <w:rPr>
                <w:sz w:val="20"/>
                <w:szCs w:val="20"/>
                <w:color w:val="auto"/>
              </w:rPr>
            </w:pPr>
            <w:r>
              <w:rPr>
                <w:rFonts w:ascii="Arial" w:cs="Arial" w:eastAsia="Arial" w:hAnsi="Arial"/>
                <w:sz w:val="18"/>
                <w:szCs w:val="18"/>
                <w:color w:val="auto"/>
              </w:rPr>
              <w:t>704,016</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451,884</w:t>
            </w:r>
          </w:p>
        </w:tc>
        <w:tc>
          <w:tcPr>
            <w:tcW w:w="800" w:type="dxa"/>
            <w:vAlign w:val="bottom"/>
          </w:tcPr>
          <w:p>
            <w:pPr>
              <w:jc w:val="right"/>
              <w:spacing w:after="0"/>
              <w:rPr>
                <w:sz w:val="20"/>
                <w:szCs w:val="20"/>
                <w:color w:val="auto"/>
              </w:rPr>
            </w:pPr>
            <w:r>
              <w:rPr>
                <w:rFonts w:ascii="Arial" w:cs="Arial" w:eastAsia="Arial" w:hAnsi="Arial"/>
                <w:sz w:val="18"/>
                <w:szCs w:val="18"/>
                <w:color w:val="auto"/>
              </w:rPr>
              <w:t>407,996</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370,585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3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548,390</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209,022</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2,928,493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1,299,756</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1,750,723</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160" w:type="dxa"/>
            <w:vAlign w:val="bottom"/>
            <w:vMerge w:val="restart"/>
          </w:tcPr>
          <w:p>
            <w:pPr>
              <w:jc w:val="right"/>
              <w:ind w:right="850"/>
              <w:spacing w:after="0"/>
              <w:rPr>
                <w:sz w:val="20"/>
                <w:szCs w:val="20"/>
                <w:color w:val="auto"/>
              </w:rPr>
            </w:pPr>
            <w:r>
              <w:rPr>
                <w:rFonts w:ascii="Arial" w:cs="Arial" w:eastAsia="Arial" w:hAnsi="Arial"/>
                <w:sz w:val="18"/>
                <w:szCs w:val="18"/>
                <w:color w:val="auto"/>
              </w:rPr>
              <w:t>13</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Operating Partnership had $250,000 of its 2.375% Exchangeable Senior Notes due 2033 (the “Notes”) issued and outstanding as of March 31, 2015. The Notes could potentially have a dilutive impact on the Company’s earnings per share calculations. The Notes are exchangeable by holders into shares of the Company’s common stock under certain circumstances per the terms of the indenture governing the Notes. The exchange price of the Notes was $55.62 per share as of March 31, 2015, and could change over time as described in the indenture. The Company has irrevocably agreed to pay only cash for the accreted principal amount of the Notes relative to its exchange obligations, but retained the right to satisfy the exchange obligation in excess of the accreted principal amount in cash and/or common stock.</w:t>
      </w:r>
    </w:p>
    <w:p>
      <w:pPr>
        <w:spacing w:after="0" w:line="19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Though the Company has retained that right, Accounting Standards Codification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 diluted earnings per share computation. For the three months ended March 31, 2015, 682,502 shares related to the Notes were included in the computation for diluted earnings per share. For the three months ended March 31, 2014, no shares related to the Notes were included in the computation for diluted earnings per share as the exchange price exceeded the per share price of the Company’s common stock during this period.</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$115,000 of the instrument in cash (or net settle a portion of the Series A Units against the related outstanding note receivable), only the amount of the instrument in excess of $115,000 is considered in the calculation of shares contingently issuable for the purposes of computing diluted earnings per share as allowed by ASC 260-10-45-46.</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exchange of Series B Units for common shares upon redemption, where the Company has the option to redeem in cash or shares and where the Company has stated the intent and ability to settle the redemption in shares, the Company divided the total value of the Series B Units outstanding as of March 31, 2015 of $41,902 by the closing price of the Company’s common stock as of March 31, 2015 of $67.57 per share. Assuming full exchange for common shares as of March 31, 2015, 620,127 shares would have been issued to the holders of the Series B Units.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exchange of Series C Units for common shares upon redemption, where the Company has the option to redeem in cash or shares and where the Company has stated the intent and ability to settle the redemption in shares, the Company divided the total value of the Series C Units outstanding as of March 31, 2015 of $29,639 by the closing price of the Company’s common stock as of March 31, 2015 of $67.57 per share. Assuming full exchange for common shares as of March 31, 2015, 438,641 shares would have been issued to the holders of the Series C Units.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exchange of Series D Units for common shares upon redemption, where the Company has the option to redeem in cash or shares and where the Company has stated the intent and ability to settle the redemption in shares, the Company divided the total value of the Series D Units outstanding as of March 31, 2015 of $13,710 by the closing price of the Company’s common stock as of March 31, 2015 of $67.57 per share. Assuming full exchange for common shares as of March 31, 2015, 202,901 shares would have been issued to the holders of Series D Units.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common share was as follows for the periods presented:</w:t>
      </w:r>
    </w:p>
    <w:p>
      <w:pPr>
        <w:spacing w:after="0" w:line="244"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For the Three Months Ended</w:t>
      </w:r>
    </w:p>
    <w:p>
      <w:pPr>
        <w:jc w:val="center"/>
        <w:ind w:left="56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Earnings and dividends allocated to participating securities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Earnings for basic computations</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Earnings and dividends allocated to participating securities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Income allocated to noncontrolling interest—Preferred</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Partnership (Series A Units) and Operating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Partnership</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tcPr>
          <w:p>
            <w:pPr>
              <w:ind w:left="340"/>
              <w:spacing w:after="0" w:line="201" w:lineRule="exact"/>
              <w:rPr>
                <w:sz w:val="20"/>
                <w:szCs w:val="20"/>
                <w:color w:val="auto"/>
              </w:rPr>
            </w:pPr>
            <w:r>
              <w:rPr>
                <w:rFonts w:ascii="Arial" w:cs="Arial" w:eastAsia="Arial" w:hAnsi="Arial"/>
                <w:sz w:val="18"/>
                <w:szCs w:val="18"/>
                <w:color w:val="auto"/>
                <w:w w:val="99"/>
              </w:rPr>
              <w:t>Fixed component of income allocated to noncontrolling interest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520"/>
              <w:spacing w:after="0"/>
              <w:rPr>
                <w:sz w:val="20"/>
                <w:szCs w:val="20"/>
                <w:color w:val="auto"/>
              </w:rPr>
            </w:pPr>
            <w:r>
              <w:rPr>
                <w:rFonts w:ascii="Arial" w:cs="Arial" w:eastAsia="Arial" w:hAnsi="Arial"/>
                <w:sz w:val="18"/>
                <w:szCs w:val="18"/>
                <w:color w:val="auto"/>
              </w:rPr>
              <w:t>—Preferred Operating Partnership (Series A Units)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(1,274)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diluted computations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56,103</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number of common shares outstanding—basic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116,117,615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115,438,325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Series A Units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875,480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989,980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 Units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4,365,879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tcPr>
          <w:p>
            <w:pPr>
              <w:ind w:left="340"/>
              <w:spacing w:after="0" w:line="201" w:lineRule="exact"/>
              <w:rPr>
                <w:sz w:val="20"/>
                <w:szCs w:val="20"/>
                <w:color w:val="auto"/>
              </w:rPr>
            </w:pPr>
            <w:r>
              <w:rPr>
                <w:rFonts w:ascii="Arial" w:cs="Arial" w:eastAsia="Arial" w:hAnsi="Arial"/>
                <w:sz w:val="18"/>
                <w:szCs w:val="18"/>
                <w:color w:val="auto"/>
              </w:rPr>
              <w:t>Unvested restricted stock awards included for treasury stock</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520"/>
              <w:spacing w:after="0"/>
              <w:rPr>
                <w:sz w:val="20"/>
                <w:szCs w:val="20"/>
                <w:color w:val="auto"/>
              </w:rPr>
            </w:pPr>
            <w:r>
              <w:rPr>
                <w:rFonts w:ascii="Arial" w:cs="Arial" w:eastAsia="Arial" w:hAnsi="Arial"/>
                <w:sz w:val="18"/>
                <w:szCs w:val="18"/>
                <w:color w:val="auto"/>
              </w:rPr>
              <w:t>method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282,903</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Shares related to exchangeable senior notes and dilutive stock</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options</w:t>
            </w:r>
          </w:p>
        </w:tc>
        <w:tc>
          <w:tcPr>
            <w:tcW w:w="4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953,841</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300,422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Average number of common shares outstanding—diluted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122,595,718</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121,062,845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Basic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0.46</w:t>
            </w:r>
          </w:p>
        </w:tc>
        <w:tc>
          <w:tcPr>
            <w:tcW w:w="4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340" w:type="dxa"/>
            <w:vAlign w:val="bottom"/>
            <w:gridSpan w:val="2"/>
          </w:tcPr>
          <w:p>
            <w:pPr>
              <w:jc w:val="right"/>
              <w:ind w:right="83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STORE ACQUISITIONS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Company’s acquisitions of operating stores for the three months ended March 31, 2015, and does not include purchases of raw land or improvements made to existing assets: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6"/>
          </w:tcPr>
          <w:p>
            <w:pPr>
              <w:ind w:left="320"/>
              <w:spacing w:after="0"/>
              <w:rPr>
                <w:sz w:val="20"/>
                <w:szCs w:val="20"/>
                <w:color w:val="auto"/>
              </w:rPr>
            </w:pPr>
            <w:r>
              <w:rPr>
                <w:rFonts w:ascii="Arial" w:cs="Arial" w:eastAsia="Arial" w:hAnsi="Arial"/>
                <w:sz w:val="13"/>
                <w:szCs w:val="13"/>
                <w:color w:val="auto"/>
                <w:w w:val="87"/>
              </w:rPr>
              <w:t>Consideration Paid</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3"/>
                <w:szCs w:val="13"/>
                <w:color w:val="auto"/>
                <w:w w:val="89"/>
              </w:rPr>
              <w:t>Acquisition Date Fair Value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9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gridSpan w:val="2"/>
          </w:tcPr>
          <w:p>
            <w:pPr>
              <w:jc w:val="center"/>
              <w:spacing w:after="0" w:line="114" w:lineRule="exact"/>
              <w:rPr>
                <w:sz w:val="20"/>
                <w:szCs w:val="20"/>
                <w:color w:val="auto"/>
              </w:rPr>
            </w:pPr>
            <w:r>
              <w:rPr>
                <w:rFonts w:ascii="Arial" w:cs="Arial" w:eastAsia="Arial" w:hAnsi="Arial"/>
                <w:sz w:val="13"/>
                <w:szCs w:val="13"/>
                <w:color w:val="auto"/>
                <w:w w:val="92"/>
              </w:rPr>
              <w:t>Closing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w w:val="86"/>
              </w:rPr>
              <w:t>Number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Non-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Previous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500"/>
              <w:spacing w:after="0" w:line="135" w:lineRule="exact"/>
              <w:rPr>
                <w:sz w:val="20"/>
                <w:szCs w:val="20"/>
                <w:color w:val="auto"/>
              </w:rPr>
            </w:pPr>
            <w:r>
              <w:rPr>
                <w:rFonts w:ascii="Arial" w:cs="Arial" w:eastAsia="Arial" w:hAnsi="Arial"/>
                <w:sz w:val="13"/>
                <w:szCs w:val="13"/>
                <w:color w:val="auto"/>
              </w:rPr>
              <w:t>Net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3"/>
          </w:tcPr>
          <w:p>
            <w:pPr>
              <w:jc w:val="center"/>
              <w:ind w:right="60"/>
              <w:spacing w:after="0" w:line="135" w:lineRule="exact"/>
              <w:rPr>
                <w:sz w:val="20"/>
                <w:szCs w:val="20"/>
                <w:color w:val="auto"/>
              </w:rPr>
            </w:pPr>
            <w:r>
              <w:rPr>
                <w:rFonts w:ascii="Arial" w:cs="Arial" w:eastAsia="Arial" w:hAnsi="Arial"/>
                <w:sz w:val="13"/>
                <w:szCs w:val="13"/>
                <w:color w:val="auto"/>
                <w:w w:val="87"/>
              </w:rPr>
              <w:t>costs—</w:t>
            </w:r>
          </w:p>
        </w:tc>
        <w:tc>
          <w:tcPr>
            <w:tcW w:w="0" w:type="dxa"/>
            <w:vAlign w:val="bottom"/>
          </w:tcPr>
          <w:p>
            <w:pPr>
              <w:spacing w:after="0"/>
              <w:rPr>
                <w:sz w:val="1"/>
                <w:szCs w:val="1"/>
                <w:color w:val="auto"/>
              </w:rPr>
            </w:pPr>
          </w:p>
        </w:tc>
      </w:tr>
      <w:tr>
        <w:trPr>
          <w:trHeight w:val="135"/>
        </w:trPr>
        <w:tc>
          <w:tcPr>
            <w:tcW w:w="3160" w:type="dxa"/>
            <w:vAlign w:val="bottom"/>
            <w:gridSpan w:val="2"/>
            <w:vMerge w:val="restart"/>
          </w:tcPr>
          <w:p>
            <w:pPr>
              <w:spacing w:after="0"/>
              <w:rPr>
                <w:sz w:val="20"/>
                <w:szCs w:val="20"/>
                <w:color w:val="auto"/>
              </w:rPr>
            </w:pPr>
            <w:r>
              <w:rPr>
                <w:rFonts w:ascii="Arial" w:cs="Arial" w:eastAsia="Arial" w:hAnsi="Arial"/>
                <w:sz w:val="13"/>
                <w:szCs w:val="13"/>
                <w:color w:val="auto"/>
              </w:rPr>
              <w:t>Property Location</w:t>
            </w:r>
          </w:p>
        </w:tc>
        <w:tc>
          <w:tcPr>
            <w:tcW w:w="420" w:type="dxa"/>
            <w:vAlign w:val="bottom"/>
          </w:tcPr>
          <w:p>
            <w:pPr>
              <w:jc w:val="right"/>
              <w:ind w:right="91"/>
              <w:spacing w:after="0" w:line="135" w:lineRule="exact"/>
              <w:rPr>
                <w:sz w:val="20"/>
                <w:szCs w:val="20"/>
                <w:color w:val="auto"/>
              </w:rPr>
            </w:pPr>
            <w:r>
              <w:rPr>
                <w:rFonts w:ascii="Arial" w:cs="Arial" w:eastAsia="Arial" w:hAnsi="Arial"/>
                <w:sz w:val="13"/>
                <w:szCs w:val="13"/>
                <w:color w:val="auto"/>
              </w:rPr>
              <w:t>of</w:t>
            </w:r>
          </w:p>
        </w:tc>
        <w:tc>
          <w:tcPr>
            <w:tcW w:w="16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Date of</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w w:val="85"/>
              </w:rPr>
              <w:t>Cash</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cash</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Notes</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equity</w:t>
            </w:r>
          </w:p>
        </w:tc>
        <w:tc>
          <w:tcPr>
            <w:tcW w:w="114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Liabilities/(Assets)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3"/>
          </w:tcPr>
          <w:p>
            <w:pPr>
              <w:jc w:val="center"/>
              <w:ind w:right="80"/>
              <w:spacing w:after="0" w:line="135" w:lineRule="exact"/>
              <w:rPr>
                <w:sz w:val="20"/>
                <w:szCs w:val="20"/>
                <w:color w:val="auto"/>
              </w:rPr>
            </w:pPr>
            <w:r>
              <w:rPr>
                <w:rFonts w:ascii="Arial" w:cs="Arial" w:eastAsia="Arial" w:hAnsi="Arial"/>
                <w:sz w:val="13"/>
                <w:szCs w:val="13"/>
                <w:color w:val="auto"/>
                <w:w w:val="85"/>
              </w:rPr>
              <w:t>expensed</w:t>
            </w:r>
          </w:p>
        </w:tc>
        <w:tc>
          <w:tcPr>
            <w:tcW w:w="0" w:type="dxa"/>
            <w:vAlign w:val="bottom"/>
          </w:tcPr>
          <w:p>
            <w:pPr>
              <w:spacing w:after="0"/>
              <w:rPr>
                <w:sz w:val="1"/>
                <w:szCs w:val="1"/>
                <w:color w:val="auto"/>
              </w:rPr>
            </w:pPr>
          </w:p>
        </w:tc>
      </w:tr>
      <w:tr>
        <w:trPr>
          <w:trHeight w:val="149"/>
        </w:trPr>
        <w:tc>
          <w:tcPr>
            <w:tcW w:w="3160" w:type="dxa"/>
            <w:vAlign w:val="bottom"/>
            <w:gridSpan w:val="2"/>
            <w:vMerge w:val="continue"/>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0"/>
              </w:rPr>
              <w:t>Stores</w:t>
            </w:r>
          </w:p>
        </w:tc>
        <w:tc>
          <w:tcPr>
            <w:tcW w:w="16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Acquisition</w:t>
            </w:r>
          </w:p>
        </w:tc>
        <w:tc>
          <w:tcPr>
            <w:tcW w:w="80" w:type="dxa"/>
            <w:vAlign w:val="bottom"/>
          </w:tcPr>
          <w:p>
            <w:pPr>
              <w:spacing w:after="0"/>
              <w:rPr>
                <w:sz w:val="12"/>
                <w:szCs w:val="12"/>
                <w:color w:val="auto"/>
              </w:rPr>
            </w:pPr>
          </w:p>
        </w:tc>
        <w:tc>
          <w:tcPr>
            <w:tcW w:w="640" w:type="dxa"/>
            <w:vAlign w:val="bottom"/>
            <w:gridSpan w:val="2"/>
          </w:tcPr>
          <w:p>
            <w:pPr>
              <w:ind w:left="100"/>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12"/>
                <w:szCs w:val="12"/>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3"/>
                <w:szCs w:val="13"/>
                <w:color w:val="auto"/>
                <w:w w:val="99"/>
              </w:rPr>
              <w:t>Paid</w:t>
            </w:r>
          </w:p>
        </w:tc>
        <w:tc>
          <w:tcPr>
            <w:tcW w:w="500" w:type="dxa"/>
            <w:vAlign w:val="bottom"/>
            <w:gridSpan w:val="2"/>
          </w:tcPr>
          <w:p>
            <w:pPr>
              <w:ind w:left="100"/>
              <w:spacing w:after="0"/>
              <w:rPr>
                <w:sz w:val="20"/>
                <w:szCs w:val="20"/>
                <w:color w:val="auto"/>
              </w:rPr>
            </w:pPr>
            <w:r>
              <w:rPr>
                <w:rFonts w:ascii="Arial" w:cs="Arial" w:eastAsia="Arial" w:hAnsi="Arial"/>
                <w:sz w:val="13"/>
                <w:szCs w:val="13"/>
                <w:color w:val="auto"/>
              </w:rPr>
              <w:t>gain</w:t>
            </w:r>
          </w:p>
        </w:tc>
        <w:tc>
          <w:tcPr>
            <w:tcW w:w="8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3"/>
                <w:szCs w:val="13"/>
                <w:color w:val="auto"/>
              </w:rPr>
              <w:t>Receivable</w:t>
            </w:r>
          </w:p>
        </w:tc>
        <w:tc>
          <w:tcPr>
            <w:tcW w:w="580" w:type="dxa"/>
            <w:vAlign w:val="bottom"/>
            <w:gridSpan w:val="2"/>
          </w:tcPr>
          <w:p>
            <w:pPr>
              <w:ind w:left="40"/>
              <w:spacing w:after="0"/>
              <w:rPr>
                <w:sz w:val="20"/>
                <w:szCs w:val="20"/>
                <w:color w:val="auto"/>
              </w:rPr>
            </w:pPr>
            <w:r>
              <w:rPr>
                <w:rFonts w:ascii="Arial" w:cs="Arial" w:eastAsia="Arial" w:hAnsi="Arial"/>
                <w:sz w:val="13"/>
                <w:szCs w:val="13"/>
                <w:color w:val="auto"/>
              </w:rPr>
              <w:t>interest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Assumed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w w:val="89"/>
              </w:rPr>
              <w:t>Land</w:t>
            </w:r>
          </w:p>
        </w:tc>
        <w:tc>
          <w:tcPr>
            <w:tcW w:w="14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Building</w:t>
            </w:r>
          </w:p>
        </w:tc>
        <w:tc>
          <w:tcPr>
            <w:tcW w:w="640" w:type="dxa"/>
            <w:vAlign w:val="bottom"/>
            <w:gridSpan w:val="3"/>
          </w:tcPr>
          <w:p>
            <w:pPr>
              <w:spacing w:after="0"/>
              <w:rPr>
                <w:sz w:val="20"/>
                <w:szCs w:val="20"/>
                <w:color w:val="auto"/>
              </w:rPr>
            </w:pPr>
            <w:r>
              <w:rPr>
                <w:rFonts w:ascii="Arial" w:cs="Arial" w:eastAsia="Arial" w:hAnsi="Arial"/>
                <w:sz w:val="13"/>
                <w:szCs w:val="13"/>
                <w:color w:val="auto"/>
              </w:rPr>
              <w:t>Intangible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center"/>
              <w:ind w:right="49"/>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California (2)</w:t>
            </w:r>
          </w:p>
        </w:tc>
        <w:tc>
          <w:tcPr>
            <w:tcW w:w="22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3/30/2015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$ 12,699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1,700</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$1,629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w w:val="83"/>
              </w:rPr>
              <w:t>11,009</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8"/>
              </w:rPr>
              <w:t>$ (1,264)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1,025</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$ 11,479</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North Carolina, South Carolina</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3/30/2015</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13,165</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13,143</w:t>
            </w: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1,763</w:t>
            </w: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11,229</w:t>
            </w:r>
          </w:p>
        </w:tc>
        <w:tc>
          <w:tcPr>
            <w:tcW w:w="18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3/17/2015</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5,073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5,065</w:t>
            </w: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118</w:t>
            </w: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4,797</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Texas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2/24/2015</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13,570</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13,519</w:t>
            </w: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1,511</w:t>
            </w: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11,861</w:t>
            </w:r>
          </w:p>
        </w:tc>
        <w:tc>
          <w:tcPr>
            <w:tcW w:w="18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1/13/2015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41,904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41,806</w:t>
            </w: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12,080</w:t>
            </w: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29,489</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31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2015 Totals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$ 86,411</w:t>
            </w:r>
          </w:p>
        </w:tc>
        <w:tc>
          <w:tcPr>
            <w:tcW w:w="8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75,233</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1,629</w:t>
            </w:r>
          </w:p>
        </w:tc>
        <w:tc>
          <w:tcPr>
            <w:tcW w:w="18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11,009</w:t>
            </w:r>
          </w:p>
        </w:tc>
        <w:tc>
          <w:tcPr>
            <w:tcW w:w="5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(1,264)</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(196)</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16,497</w:t>
            </w: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68,855</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902</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column represents costs paid at closing. The amounts shown exclude other acquisition costs paid before or after the closing date.</w:t>
      </w:r>
    </w:p>
    <w:p>
      <w:pPr>
        <w:ind w:left="340" w:right="120" w:hanging="332"/>
        <w:spacing w:after="0" w:line="24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This represents the acquisition of a joint venture partners’ interest in Extra Space of Sacramento One LLC (“Sacramento One”), an existing joint venture, for $1,700 in cash. The result of the acquisition is that the Company owns 100% of Sacramento One, which owned one store located in California. Prior to the acquisition date, the Company accounted for its interest in Sacramento One as an equity-method investment, and the Company also held mortgage notes receivable from Sacramento One totalling $11,009, including related interest. The total acquisition date fair value of the Company’s previous equity interest was approximately $365 and is included in consideration transfered. The Company recognized a non-cash gain of $1,629 as a result of remeasuring the fair value of its equity interest held prior to the acquisition. The store is consolidated subsequent to the acquisition as the Company owns 100% of the store.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VARIABLE INTERESTS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Operating Partnership has three wholly-owned unconsolidated subsidiaries (“Trust,” “Trust II” and “Trust III,” together, the “Trusts”) that have issued trust preferred securities to third parties and common securities to the Operating Partnership. The proceeds from the sale of the preferred and common securities were loaned in the form of notes to the Operating Partnership. The Trusts are VIEs because the holders of the equity investment at risk (the trust preferred securities) do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is not considered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for the proceeds as discussed above, which are owed to the Trusts. The Company has also included its investment in the Trusts’ common securities in other assets on the condensed consolidated balance sheets.</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Following is a tabular comparison of the liabilities the Company has recorded as a result of its involvement with the Trusts to the maximum exposure to loss the Company is subject to as a result of such involvement as of March 31, 2015:</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Notes</w:t>
            </w: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Maximum</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payable</w:t>
            </w:r>
          </w:p>
        </w:tc>
        <w:tc>
          <w:tcPr>
            <w:tcW w:w="9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exposure</w:t>
            </w: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to Trusts</w:t>
            </w: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to loss</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Trust II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42,269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1,269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41,000</w:t>
            </w:r>
          </w:p>
        </w:tc>
        <w:tc>
          <w:tcPr>
            <w:tcW w:w="2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119,590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116,000</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consolidated VIEs during the three months ended March 31, 2015.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months ended March 31, 2015 and 2014, such derivatives were used to hedge the variable cash flows associated with existing variable-rate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23 derivative financial instruments which had a total combined notional amount of $825,987 as of March 31,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condensed consolidated balance sheets: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 (Liability) Derivatives</w:t>
            </w:r>
          </w:p>
        </w:tc>
        <w:tc>
          <w:tcPr>
            <w:tcW w:w="0" w:type="dxa"/>
            <w:vAlign w:val="bottom"/>
          </w:tcPr>
          <w:p>
            <w:pPr>
              <w:spacing w:after="0"/>
              <w:rPr>
                <w:sz w:val="1"/>
                <w:szCs w:val="1"/>
                <w:color w:val="auto"/>
              </w:rPr>
            </w:pPr>
          </w:p>
        </w:tc>
      </w:tr>
      <w:tr>
        <w:trPr>
          <w:trHeight w:val="119"/>
        </w:trPr>
        <w:tc>
          <w:tcPr>
            <w:tcW w:w="29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9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80" w:type="dxa"/>
            <w:vAlign w:val="bottom"/>
            <w:tcBorders>
              <w:top w:val="single" w:sz="8" w:color="auto"/>
            </w:tcBorders>
            <w:gridSpan w:val="2"/>
          </w:tcPr>
          <w:p>
            <w:pPr>
              <w:ind w:left="2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3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Borders>
              <w:bottom w:val="single" w:sz="8" w:color="auto"/>
            </w:tcBorders>
            <w:vMerge w:val="continue"/>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assets</w:t>
            </w:r>
          </w:p>
        </w:tc>
        <w:tc>
          <w:tcPr>
            <w:tcW w:w="3740" w:type="dxa"/>
            <w:vAlign w:val="bottom"/>
            <w:gridSpan w:val="2"/>
            <w:shd w:val="clear" w:color="auto" w:fill="CCEEFF"/>
          </w:tcPr>
          <w:p>
            <w:pPr>
              <w:ind w:left="362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39"/>
              <w:spacing w:after="0" w:line="196" w:lineRule="exact"/>
              <w:rPr>
                <w:sz w:val="20"/>
                <w:szCs w:val="20"/>
                <w:color w:val="auto"/>
              </w:rPr>
            </w:pPr>
            <w:r>
              <w:rPr>
                <w:rFonts w:ascii="Arial" w:cs="Arial" w:eastAsia="Arial" w:hAnsi="Arial"/>
                <w:sz w:val="18"/>
                <w:szCs w:val="18"/>
                <w:color w:val="auto"/>
              </w:rPr>
              <w:t>688</w:t>
            </w:r>
          </w:p>
        </w:tc>
        <w:tc>
          <w:tcPr>
            <w:tcW w:w="42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3,583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Other liabilities</w:t>
            </w:r>
          </w:p>
        </w:tc>
        <w:tc>
          <w:tcPr>
            <w:tcW w:w="3740" w:type="dxa"/>
            <w:vAlign w:val="bottom"/>
            <w:gridSpan w:val="2"/>
          </w:tcPr>
          <w:p>
            <w:pPr>
              <w:ind w:left="3620"/>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60"/>
              <w:spacing w:after="0"/>
              <w:rPr>
                <w:sz w:val="20"/>
                <w:szCs w:val="20"/>
                <w:color w:val="auto"/>
              </w:rPr>
            </w:pPr>
            <w:r>
              <w:rPr>
                <w:rFonts w:ascii="Arial" w:cs="Arial" w:eastAsia="Arial" w:hAnsi="Arial"/>
                <w:sz w:val="18"/>
                <w:szCs w:val="18"/>
                <w:color w:val="auto"/>
              </w:rPr>
              <w:t>(7,231)</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350"/>
        </w:trPr>
        <w:tc>
          <w:tcPr>
            <w:tcW w:w="2900" w:type="dxa"/>
            <w:vAlign w:val="bottom"/>
          </w:tcPr>
          <w:p>
            <w:pPr>
              <w:spacing w:after="0"/>
              <w:rPr>
                <w:sz w:val="24"/>
                <w:szCs w:val="24"/>
                <w:color w:val="auto"/>
              </w:rPr>
            </w:pPr>
          </w:p>
        </w:tc>
        <w:tc>
          <w:tcPr>
            <w:tcW w:w="3620" w:type="dxa"/>
            <w:vAlign w:val="bottom"/>
          </w:tcPr>
          <w:p>
            <w:pPr>
              <w:jc w:val="right"/>
              <w:ind w:right="20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on the condensed consolidated statements of operations for the periods presented. No tax effect has been presented as the derivative instruments are held by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0"/>
              </w:rPr>
              <w:t>Classification of</w:t>
            </w:r>
          </w:p>
        </w:tc>
        <w:tc>
          <w:tcPr>
            <w:tcW w:w="280" w:type="dxa"/>
            <w:vAlign w:val="bottom"/>
          </w:tcPr>
          <w:p>
            <w:pPr>
              <w:spacing w:after="0"/>
              <w:rPr>
                <w:sz w:val="14"/>
                <w:szCs w:val="14"/>
                <w:color w:val="auto"/>
              </w:rPr>
            </w:pPr>
          </w:p>
        </w:tc>
        <w:tc>
          <w:tcPr>
            <w:tcW w:w="180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4"/>
              </w:rPr>
              <w:t>For the Three Months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8"/>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320" w:type="dxa"/>
            <w:vAlign w:val="bottom"/>
            <w:vMerge w:val="restart"/>
          </w:tcPr>
          <w:p>
            <w:pPr>
              <w:spacing w:after="0" w:line="20" w:lineRule="exact"/>
              <w:rPr>
                <w:sz w:val="1"/>
                <w:szCs w:val="1"/>
                <w:color w:val="auto"/>
              </w:rPr>
            </w:pPr>
          </w:p>
        </w:tc>
        <w:tc>
          <w:tcPr>
            <w:tcW w:w="13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1"/>
              </w:rPr>
              <w:t>Income (Expense)</w:t>
            </w:r>
          </w:p>
        </w:tc>
        <w:tc>
          <w:tcPr>
            <w:tcW w:w="28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58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58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0"/>
              </w:rPr>
              <w:t>Swap</w:t>
            </w:r>
          </w:p>
        </w:tc>
        <w:tc>
          <w:tcPr>
            <w:tcW w:w="56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6"/>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(2,297</w:t>
            </w:r>
          </w:p>
        </w:tc>
        <w:tc>
          <w:tcPr>
            <w:tcW w:w="380" w:type="dxa"/>
            <w:vAlign w:val="bottom"/>
            <w:tcBorders>
              <w:top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(2,293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1"/>
              </w:rPr>
              <w:t>Gain (loss)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7"/>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reclassifed from</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6"/>
            <w:vMerge w:val="restart"/>
          </w:tcPr>
          <w:p>
            <w:pPr>
              <w:jc w:val="center"/>
              <w:ind w:right="640"/>
              <w:spacing w:after="0"/>
              <w:rPr>
                <w:sz w:val="20"/>
                <w:szCs w:val="20"/>
                <w:color w:val="auto"/>
              </w:rPr>
            </w:pPr>
            <w:r>
              <w:rPr>
                <w:rFonts w:ascii="Arial" w:cs="Arial" w:eastAsia="Arial" w:hAnsi="Arial"/>
                <w:sz w:val="14"/>
                <w:szCs w:val="14"/>
                <w:b w:val="1"/>
                <w:bCs w:val="1"/>
                <w:color w:val="auto"/>
                <w:w w:val="91"/>
              </w:rPr>
              <w:t>Gain (loss)</w:t>
            </w: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For the Three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66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recognized in OCI</w:t>
            </w:r>
          </w:p>
        </w:tc>
        <w:tc>
          <w:tcPr>
            <w:tcW w:w="2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amounts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6"/>
          </w:tcPr>
          <w:p>
            <w:pPr>
              <w:jc w:val="center"/>
              <w:ind w:right="620"/>
              <w:spacing w:after="0" w:line="149" w:lineRule="exact"/>
              <w:rPr>
                <w:sz w:val="20"/>
                <w:szCs w:val="20"/>
                <w:color w:val="auto"/>
              </w:rPr>
            </w:pPr>
            <w:r>
              <w:rPr>
                <w:rFonts w:ascii="Arial" w:cs="Arial" w:eastAsia="Arial" w:hAnsi="Arial"/>
                <w:sz w:val="14"/>
                <w:szCs w:val="14"/>
                <w:b w:val="1"/>
                <w:bCs w:val="1"/>
                <w:color w:val="auto"/>
                <w:w w:val="99"/>
              </w:rPr>
              <w:t>March 31,</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23"/>
        </w:trPr>
        <w:tc>
          <w:tcPr>
            <w:tcW w:w="6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OCI into income</w:t>
            </w: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920" w:type="dxa"/>
            <w:vAlign w:val="bottom"/>
            <w:gridSpan w:val="4"/>
            <w:vMerge w:val="continue"/>
          </w:tcPr>
          <w:p>
            <w:pPr>
              <w:spacing w:after="0"/>
              <w:rPr>
                <w:sz w:val="12"/>
                <w:szCs w:val="12"/>
                <w:color w:val="auto"/>
              </w:rPr>
            </w:pPr>
          </w:p>
        </w:tc>
        <w:tc>
          <w:tcPr>
            <w:tcW w:w="560" w:type="dxa"/>
            <w:vAlign w:val="bottom"/>
            <w:gridSpan w:val="2"/>
          </w:tcPr>
          <w:p>
            <w:pPr>
              <w:jc w:val="right"/>
              <w:ind w:right="4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66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0"/>
              </w:rPr>
              <w:t>Swap</w:t>
            </w:r>
          </w:p>
        </w:tc>
        <w:tc>
          <w:tcPr>
            <w:tcW w:w="660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5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(8,875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(5,043</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(2,297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(2,293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81"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As of March 31, 2015, the Company had not posted any collateral related to these agreements. If the Company had breached any of these provisions as of March 31, 2015, it could have been required to settle its obligations under the agreements at their termination value of $7,740, including accrued interest.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EXCHANGEABLE SENIOR NOTES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June 21, 2013, the Operating Partnership issued $250,000 of its 2.375% Exchangeable Senior Notes due 2033 at a 1.5% discount, or $3,750. Costs incurred to issue the Notes were approximately $1,672. These costs are being amortized as an adjustment to interest expense over five years, which represents the estimated term based on the first available redemption date, and are included in other assets in the condensed consolidated balance sheets. The Notes are general unsecured senior obligations of the Operating Partnership and are fully guaranteed by the Company. Interest is payable on January 1 and July 1 of each year beginning January 1, 2014, until the maturity date of July 1, 2033. The Notes bear interest at 2.375% per annum and contain an exchange settlement feature, which provides that the Notes may, under certain circumstances, be exchangeable for cash (for the principal amount of the Notes) and, with respect to any excess exchange value, for cash, shares of the Company’s common stock, or a combination of cash and shares of the Company’s common stock, at the Company’s option. The exchange rate of the Notes as of March 31, 2015 was approximately 17.98 shares of the Company’s common stock per $1,000 principal amount of the Notes.</w:t>
      </w:r>
    </w:p>
    <w:p>
      <w:pPr>
        <w:spacing w:after="0" w:line="18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Operating Partnership may redeem the Notes at any time to preserve the Company’s status as a REIT. In addition, on or after July 5, 2018, the Operating Partnership may redeem the Notes for cash, in whole or in part, at 100% of the principal amount plus accrued and unpaid interest, upon at least 30 days but not more than 60 days prior written notice to the holders of the Notes. The holders of the Notes have the right to require the Operating Partnership to repurchase the Notes for cash, in whole or in part, on July 1 of the years 2018, 2023 and 2028, and upon the occurrence of certain designated events, in each case for a repurchase price equal to 100% of the principal amount of the Notes plus accrued and unpaid interest. Certain events are considered “Events of Default,” as defined in the indenture governing the Notes, which may result in the accelerated maturity of the Notes.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accounts for the liability and equity components of the Notes separately. The equity component is included in additional paid-in capital in stockholders’ equity in the condensed consolidated balance sheets, and the value of the equity component is treated as original issue discount for purposes of accounting for the debt component. The discount is being amortized as interest expense over the remaining period of the debt through its first redemption date, July 1, 2018. The effective interest rate on the liability component is 4.0%.</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about the carrying amount of the equity component, the principal amount of the liability component, its unamortized discount and its net carrying amount was as follows for the periods indicated:</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March 31,</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equity component</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80" w:type="dxa"/>
            <w:vAlign w:val="bottom"/>
            <w:gridSpan w:val="2"/>
          </w:tcPr>
          <w:p>
            <w:pPr>
              <w:spacing w:after="0"/>
              <w:rPr>
                <w:sz w:val="20"/>
                <w:szCs w:val="20"/>
                <w:color w:val="auto"/>
              </w:rPr>
            </w:pPr>
            <w:r>
              <w:rPr>
                <w:rFonts w:ascii="Arial" w:cs="Arial" w:eastAsia="Arial" w:hAnsi="Arial"/>
                <w:sz w:val="18"/>
                <w:szCs w:val="18"/>
                <w:color w:val="auto"/>
              </w:rPr>
              <w:t>Principal amount of liability component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250,000</w:t>
            </w:r>
          </w:p>
        </w:tc>
        <w:tc>
          <w:tcPr>
            <w:tcW w:w="320" w:type="dxa"/>
            <w:vAlign w:val="bottom"/>
          </w:tcPr>
          <w:p>
            <w:pPr>
              <w:spacing w:after="0"/>
              <w:rPr>
                <w:sz w:val="24"/>
                <w:szCs w:val="24"/>
                <w:color w:val="auto"/>
              </w:rPr>
            </w:pP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250,000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discount—equity component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Unamortized cash discount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 of liability component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237,831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236,946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amount of interest cost recognized relating to the contractual interest rate and the amortization of the discount on the liability component of the Notes were as follows for the periods indicated:</w:t>
      </w:r>
    </w:p>
    <w:p>
      <w:pPr>
        <w:spacing w:after="0" w:line="189"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For the Three</w:t>
      </w:r>
    </w:p>
    <w:p>
      <w:pPr>
        <w:jc w:val="center"/>
        <w:ind w:left="7060"/>
        <w:spacing w:after="0" w:line="226" w:lineRule="auto"/>
        <w:rPr>
          <w:sz w:val="20"/>
          <w:szCs w:val="20"/>
          <w:color w:val="auto"/>
        </w:rPr>
      </w:pPr>
      <w:r>
        <w:rPr>
          <w:rFonts w:ascii="Arial" w:cs="Arial" w:eastAsia="Arial" w:hAnsi="Arial"/>
          <w:sz w:val="14"/>
          <w:szCs w:val="14"/>
          <w:b w:val="1"/>
          <w:bCs w:val="1"/>
          <w:color w:val="auto"/>
        </w:rPr>
        <w:t>Months Ended</w:t>
      </w:r>
    </w:p>
    <w:p>
      <w:pPr>
        <w:jc w:val="center"/>
        <w:ind w:left="706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Contractual interest</w:t>
            </w:r>
          </w:p>
        </w:tc>
        <w:tc>
          <w:tcPr>
            <w:tcW w:w="2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$1,484</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2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recognized</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620"/>
        <w:spacing w:after="0" w:line="378" w:lineRule="auto"/>
        <w:rPr>
          <w:sz w:val="20"/>
          <w:szCs w:val="20"/>
          <w:color w:val="auto"/>
        </w:rPr>
      </w:pPr>
      <w:r>
        <w:rPr>
          <w:rFonts w:ascii="Arial" w:cs="Arial" w:eastAsia="Arial" w:hAnsi="Arial"/>
          <w:sz w:val="18"/>
          <w:szCs w:val="18"/>
          <w:b w:val="1"/>
          <w:bCs w:val="1"/>
          <w:color w:val="auto"/>
        </w:rPr>
        <w:t xml:space="preserve">9. NONCONTROLLING INTEREST REPRESENTED BY PREFERRED OPERATING PARTNERSHIP UNITS </w:t>
      </w:r>
      <w:r>
        <w:rPr>
          <w:rFonts w:ascii="Arial" w:cs="Arial" w:eastAsia="Arial" w:hAnsi="Arial"/>
          <w:sz w:val="18"/>
          <w:szCs w:val="18"/>
          <w:i w:val="1"/>
          <w:iCs w:val="1"/>
          <w:color w:val="auto"/>
        </w:rPr>
        <w:t>Classification of Noncontrolling Interests</w:t>
      </w:r>
    </w:p>
    <w:p>
      <w:pPr>
        <w:ind w:right="120"/>
        <w:spacing w:after="0" w:line="257"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June 15, 2007, the Operating Partnership entered into a Contribution Agreement with various limited partnerships affiliated with AAAAA Rent-A-Space to acquire ten stores in exchange for 989,980 Series A Units of the Operating Partnership. The stores are located in California and Hawaii.</w:t>
      </w:r>
    </w:p>
    <w:p>
      <w:pPr>
        <w:spacing w:after="0" w:line="1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June 25, 2007, the Operating Partnership loaned the holders of the Series A Units $100,000. The note receivable bears interest at 4.85% per annum. During 2013, a loan amendment was signed extending the maturity date to September 1, 2020. The loan is secured by the borrower’s Series A Units. The holders of the Series A Units could redeem up to 114,500 Series A Units prior to the maturity date of the loan. If any redemption in excess of 114,500 Series A Units occurs prior to the maturity date, the holder of the Series A Units is required to repay the loan as of the date of that redemption.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partnership agreement of the Operating Partnership (as amended, the “Partnership Agreement”) provides for the designation and issuance of the Series A Units. The Series A Units will have priority over all other partnership interests of the Operating Partnership with respect to distributions and liquidation.</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Under the Partnership Agreement, Series A Units in the amount of $115,000 bear a fixed priority return of 5% and have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October 3, 2014, the holders of the Series A Units redeemed 114,500 Series A Units for $4,794 in cash and 280,331 shares of common stock. No additional redemption of Series A Units can be made without repayment of the loan. Subsequent to this redemption, the fixed priority return is calculated using the current liquidation value of $101,699. The Series A Units are shown on the balance sheet net of the $100,000 loan because the borrower under the loan receivable is also the holder of the Series A Units.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April 3, 2014, the Operating Partnership completed the purchase of a store located in Georgia. This store was acquired in exchange for $15,158 of cash and 333,360 Series B Units valued at $8,334.</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29, 2013, the Operating Partnership completed the purchase of 19 out of 20 stores affiliated with All Aboard Mini Storage, all of which are located in California. On September 26, 2013, the Operating Partnership completed the purchase of the remaining store. These stores were acquired in exchange for $100,876 of cash (including $98,960 of debt assumed and immediately defeased at closing), 1,342,727 Series B Units valued at $33,568, and 1,448,108 OP Units valued at $62,341.</w:t>
      </w:r>
    </w:p>
    <w:p>
      <w:pPr>
        <w:spacing w:after="0" w:line="18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Partnership Agreement provides for the designation and issuance of the Series B Units. The Series B Units rank junior to the Series A Units, on parity with the Series C Units, and senior to all other partnership interests of the Operating Partnership with respect to distributions and liquidation.</w:t>
      </w:r>
    </w:p>
    <w:p>
      <w:pPr>
        <w:spacing w:after="0" w:line="14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outstanding Series B Units have a liquidation value of $25.00 per unit for a fixed liquidation value of $41,902. Holders of the Series B Units receive distributions at an annual rate of 6%. These distributions are cumulative. The Series B Units will become redeemable at the option of the holder on the first anniversary of the date of issuance, which redemption obligation may be satisfied at the Company’s option in cash or shares of its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19, 2013, the Company entered into Contribution Agreements with various entities affiliated with Grupe Properties Co. Inc. (“Grupe”), under which the Company agreed to acquire twelve stores, all of which are located in California. The Company completed the purchase of these stores between December 2013 and May 2014. The Company previously held 35% interests in five of these stores and a 40% interest in one store through six separate joint ventures with Grupe. These stores were acquired in exchange for a total of approximately $45,722 of cash, the assumption of $37,532 in existing debt, and the issuance of 704,016 Series C Units valued at $30,960.</w:t>
      </w:r>
    </w:p>
    <w:p>
      <w:pPr>
        <w:spacing w:after="0" w:line="18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Partnership Agreement provides for the designation and issuance of the Series C Units. The Series C Units rank junior to the Series A Units, on parity with the Series B Units, and senior to all other partnership interests of the Operating Partnership with respect to distributions and liquidation.</w:t>
      </w:r>
    </w:p>
    <w:p>
      <w:pPr>
        <w:spacing w:after="0" w:line="12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outstanding Series C Units have a liquidation value of $42.10 per unit for a fixed liquidation value of $29,639. From issuance to the fifth anniversary of issuance, each Series C Unit holder will receive quarterly distributions equal to the quarterly distribution per OP Unit plus $0.18. Beginning on the fifth anniversary of issuance, each Series C Unit holder will receive a fixed quarterly distribution equal to the aggregate quarterly distribution payable in respect of such Series C Unit during the four quarters immediately preceding the fifth anniversary of issuance, divided by four. These distributions are cumulative. The Series C Units will become redeemable at the option of the holder one year from the date of issuance, which redemption obligation may be satisfied at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Company’s option in cash or shares of its common stock. The Series C Units will also become convertible into OP Units at the option of the holder one year from the date of issuance, at a rate of 0.9145 OP Units per Series C Unit converted. This conversion option expires upon the fifth anniversary of the date of issuance.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December 2014, the Operating Partnership loaned certain holders of the Series C Units $20,230. The notes receivable, which are collateralized by the Series C Units, bear interest at 5.0% per annum and mature on December 15, 2024. The Series C Units are shown on the balance sheet net of the $20,230 loan because the borrower under the loan receivable is also the holder of the Series C units.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December 2014, the Operating Partnership completed the acquisition of a store located in Florida. This store was acquired in exchange for $5,621 in cash and 548,390 Series D Units valued at $13,710.</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18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Series D Units have a liquidation value of $25.00 per unit, for a fixed liquidation value of $13,710. Holders of the Series D Units receive distributions at an annual rate of 5.0%. These distributions are cumulative. The Series D Units will become redeemable at the option of the holder on the first anniversary of the date of issuance, which redemption obligation may be satisfied at the Company’s option in cash or shares of its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 IN OPERATING PARTNERSHIP</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interest in its stores is held through the Operating Partnership. ESS Holding Business Trust I, a wholly-owned subsidiary of the Company, is the sole general partner of the Operating Partnership. ESS Holding Business Trust II, also a wholly-owned subsidiary of the Company, is a limited partner of the Operating Partnership. Between its general partner and limited partner interests, the Company held a 93.4% ownership interest in the Operating Partnership as of March 31, 2015. The remaining ownership interests in the Operating Partnership (including Preferred Operating Partnership units) of 6.6% are held by certain former owners of assets acquired by the Operating Partnership.</w:t>
      </w:r>
    </w:p>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noncontrolling interest in the Operating Partnership represents OP Units that are not owned by the Company. In conjunction with the formation of the Company, and as a result of subsequent acquisitions, certain persons and entities contributing interests in stores to the Operating Partnership received limited partnership interests in the form of OP Units. Limited partners who received OP Units in the formation transactions or in exchange for contributions for interests in stores have the right to require the Operating Partnership to redeem part or all of their OP Units for cash based upon the fair market value of an equivalent number of shares of the Company’s common stock (based on the ten-day average trading price) at the time of the redemption. Alternatively, the Company may, in its sole discretion, elect to acquire those OP Units in exchange for shares of its common stock on a one-for-one basis, subject to anti-dilution adjustments provided in the Partnership Agreement. The ten-day average closing stock price at March 31, 2015 was $67.76 and there were 4,365,879 OP Units outstanding. Assuming that all of the OP Unit holders exercised their right to redeem all of their OP Units on March 31, 2015 and the Company elected to pay the OP Unit holders cash, the Company would have paid $295,832 in cash consideration to redeem the units.</w:t>
      </w:r>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NONCONTROLLING INTERESTS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Other noncontrolling interests represent the ownership interests of various third parties in two consolidated joint ventures as of March 31, 2015. One of these consolidated joint ventures owns a single store in California. The second consolidated joint venture owns 19 stores. The ownership interests of the third-party owners range from 1.0% to 3.3%. Other noncontrolling interests are included in the stockholders’ equity section of the Company’s condensed consolidated balance sheets. The income or losses attributable to these third-party owners based on their ownership percentages are reflected in net income allocated to Operating Partnership and other noncontrolling interests in the condensed consolidated statements of operations.</w:t>
      </w:r>
    </w:p>
    <w:p>
      <w:pPr>
        <w:spacing w:after="0" w:line="277" w:lineRule="exact"/>
        <w:rPr>
          <w:sz w:val="20"/>
          <w:szCs w:val="20"/>
          <w:color w:val="auto"/>
        </w:rPr>
      </w:pPr>
    </w:p>
    <w:p>
      <w:pPr>
        <w:ind w:firstLine="8"/>
        <w:spacing w:after="0" w:line="282"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EQUITY IN EARNINGS OF UNCONSOLIDATED REAL ESTATE VENTURES—GAIN ON SALE OF REAL ESTATE AND PURCHASE OF JOINT VENTURE PARTNERS’ INTERESTS</w:t>
      </w:r>
    </w:p>
    <w:p>
      <w:pPr>
        <w:spacing w:after="0" w:line="5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In March 2015, ESS PRISA II LLC (“PRISA II”), a joint venture in which the Company holds a 2.0% interest, sold one store located in New York for $90,000. As a result of the sale, PRISA II recognized a gain of $60,496 and the Company recorded its 2.0% portion of the gain, or $1,228.</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March 2015, the Company acquired its joint venture partner’s 82.4% interest in Sacramento One, an existing joint venture which owned one store located in California, for $1,700. In addition, the Company held mortgage notes receivable from Sacramento One totaling $11,009, which were eliminated as a result of the acquisition. Prior to the acquisition, the remaining 17.6% interest was owned by the Company, which accounted for its investment in Sacramento One using the equity method. The Company recorded a non-cash gain of $1,629 related to this transaction, which represents the increase in fair value of the company’s interest in the joint venture from its formation to the acquisition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operates in three distinct segments: (1) rental operations; (2) tenant reinsurance; and (3) property management, acquisition and development. Management fees collected for wholly-owned stores are eliminated in consolidation. Financial information for the Company’s business segments is presented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35"/>
              <w:spacing w:after="0"/>
              <w:rPr>
                <w:sz w:val="20"/>
                <w:szCs w:val="20"/>
                <w:color w:val="auto"/>
              </w:rPr>
            </w:pPr>
            <w:r>
              <w:rPr>
                <w:rFonts w:ascii="Arial" w:cs="Arial" w:eastAsia="Arial" w:hAnsi="Arial"/>
                <w:sz w:val="14"/>
                <w:szCs w:val="14"/>
                <w:b w:val="1"/>
                <w:bCs w:val="1"/>
                <w:color w:val="auto"/>
                <w:w w:val="92"/>
              </w:rPr>
              <w:t>March 31,</w:t>
            </w:r>
          </w:p>
        </w:tc>
        <w:tc>
          <w:tcPr>
            <w:tcW w:w="136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Investment in unconsolidated real estate ventures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operations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8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operations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4,194,744</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4,109,673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Tenant reinsurance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Property management, acquisition and development</w:t>
            </w:r>
          </w:p>
        </w:tc>
        <w:tc>
          <w:tcPr>
            <w:tcW w:w="2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230,656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4,464,145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4,402,107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300" w:type="dxa"/>
            <w:vAlign w:val="bottom"/>
            <w:vMerge w:val="restart"/>
          </w:tcPr>
          <w:p>
            <w:pPr>
              <w:jc w:val="right"/>
              <w:ind w:right="197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For the Three Months</w:t>
      </w:r>
    </w:p>
    <w:p>
      <w:pPr>
        <w:jc w:val="center"/>
        <w:ind w:left="660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 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148,894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173,154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152,587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including depreciation and amortization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Rental operations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75,509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Tenant reinsurance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4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(11,531)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Rental operations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(21,830)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(21,431)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Non-cash interest expense related to the amortization of discount on equity component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exchangeable senior notes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6"/>
              </w:rPr>
              <w:t>Interest income on note receivable from Preferred Operating Partnership unit holder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real estate ventures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Rental operations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Equity in earnings of unconsolidated real estate ventures—gain on sale of real estate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and purchase of partners’ interests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Rental operations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Rental operations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Tenant reinsurance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91"/>
        </w:trPr>
        <w:tc>
          <w:tcPr>
            <w:tcW w:w="64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Rental operations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28,265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Acquisition of real estate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management, acquisition and development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(77,082)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(253,939)</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Development and redevelopment of real estate assets</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Property management, acquisition and development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0219"/>
          </w:cols>
          <w:pgMar w:left="240" w:top="459" w:right="1440" w:bottom="1440" w:gutter="0" w:footer="0" w:header="0"/>
        </w:sectPr>
      </w:pPr>
    </w:p>
    <w:p>
      <w:pPr>
        <w:ind w:left="56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219"/>
          </w:cols>
          <w:pgMar w:left="240" w:top="45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2015, the Company is involved in various legal proceedings and is subject to various claims and complaints arising in the ordinary course of business. In the opinion of management, such litigation, claims and complaints are not expected to have a material adverse effect on the Company’s financial condition or results of operations.</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As of March 31, 2015, the Company was under contract to acquire 42 stores for a total purchase price of $374,283. Of these 42 stores, 34 are scheduled to close in 2015. The remaining stores will close upon completion of construction, expected to occur on various dates in 2016 and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April 14, 2015, the Company purchased one store located in Texas for $8,650.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15, 2015, the Company purchased a portfolio of 22 stores located in Arizona and Texas for $177,700.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24, 2015, the Company purchased one store located in Georgia for $6,500.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5, 2015 the Company purchased one store located in North Carolina for $11,000.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7, 2015 the Company purchased another store located in Georgia for $6,500.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The following discussion and analysis should be read in conjunction with our unaudited </w:t>
      </w:r>
      <w:r>
        <w:rPr>
          <w:rFonts w:ascii="Arial" w:cs="Arial" w:eastAsia="Arial" w:hAnsi="Arial"/>
          <w:sz w:val="18"/>
          <w:szCs w:val="18"/>
          <w:i w:val="1"/>
          <w:iCs w:val="1"/>
          <w:color w:val="auto"/>
        </w:rPr>
        <w:t>“Condensed Consolidated Financial Statements”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Condensed Consolidated Financial Statements (unaudited)” </w:t>
      </w:r>
      <w:r>
        <w:rPr>
          <w:rFonts w:ascii="Arial" w:cs="Arial" w:eastAsia="Arial" w:hAnsi="Arial"/>
          <w:sz w:val="18"/>
          <w:szCs w:val="18"/>
          <w:color w:val="auto"/>
        </w:rPr>
        <w:t>appearing elsewhere in this report and the</w:t>
      </w:r>
      <w:r>
        <w:rPr>
          <w:rFonts w:ascii="Arial" w:cs="Arial" w:eastAsia="Arial" w:hAnsi="Arial"/>
          <w:sz w:val="18"/>
          <w:szCs w:val="18"/>
          <w:i w:val="1"/>
          <w:iCs w:val="1"/>
          <w:color w:val="auto"/>
        </w:rPr>
        <w:t xml:space="preserve"> “Consolidated Financial Statements,” “Notes to Consolidated 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“Management’s Discussion and Analysis of Financial Condition and Results of Operations” </w:t>
      </w:r>
      <w:r>
        <w:rPr>
          <w:rFonts w:ascii="Arial" w:cs="Arial" w:eastAsia="Arial" w:hAnsi="Arial"/>
          <w:sz w:val="18"/>
          <w:szCs w:val="18"/>
          <w:color w:val="auto"/>
        </w:rPr>
        <w:t>contained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2014.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8"/>
          <w:szCs w:val="18"/>
          <w:i w:val="1"/>
          <w:iCs w:val="1"/>
          <w:color w:val="auto"/>
        </w:rPr>
        <w:t>Statement on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2014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 fully integrated, self-administered and self-managed REIT, formed to continue the business commenced in 1977 by Extra Space Storage LLC and its subsidiaries to own, operate, manage, acquire, develop and redevelop professionally managed self-storage stores.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derive substantially all of our revenues from rents received from tenants under leases at each of our wholly-owned stores; from management fees on the stores we manage for joint venture partners and unaffiliated third parties; and from our tenant reinsurance program. Our management fee is equal to approximately 6% of cash collected from the managed stores. We also receive an asset management fee of 0.5% of the total asset value from one of our joint ventures.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Our operating results depend materially on our ability to lease available self-storage units and actively manage rental rates, and on the ability of our tenants to make required rental payments. We believe that we are able to respond quickly and effectively to changes in local, regional and national economic conditions by centrally adjusting rental rates through the combination of our revenue management team and our industry-leading technology systems.</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pacing w:after="0" w:line="76" w:lineRule="exact"/>
        <w:rPr>
          <w:sz w:val="20"/>
          <w:szCs w:val="20"/>
          <w:color w:val="auto"/>
        </w:rPr>
      </w:pPr>
    </w:p>
    <w:p>
      <w:pPr>
        <w:ind w:left="900" w:right="380" w:hanging="446"/>
        <w:spacing w:after="0" w:line="25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Maximize the performance of our stores through strategic, efficient and proactive management. </w:t>
      </w:r>
      <w:r>
        <w:rPr>
          <w:rFonts w:ascii="Arial" w:cs="Arial" w:eastAsia="Arial" w:hAnsi="Arial"/>
          <w:sz w:val="18"/>
          <w:szCs w:val="18"/>
          <w:color w:val="auto"/>
        </w:rPr>
        <w:t>We pursue revenue-generating and expense-minimizing opportunities in our operations. Our revenue management team seeks to maximize revenue by responding to changing market conditions through our advanced technology system’s ability to provide real-time, interactive rental rate and discount management. Our size allows us greater ability than the majority of our competitors to implement more effective online marketing programs, which we believe will attract more customers to our stores at a lower net cost.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5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Acquire self-storage stores. </w:t>
      </w:r>
      <w:r>
        <w:rPr>
          <w:rFonts w:ascii="Arial" w:cs="Arial" w:eastAsia="Arial" w:hAnsi="Arial"/>
          <w:sz w:val="18"/>
          <w:szCs w:val="18"/>
          <w:color w:val="auto"/>
        </w:rPr>
        <w:t>Our acquisitions team continues to pursue the acquisition of multi-store portfolios and single stores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can provide stockholder value. We have established a reputation as a reliable, ethical buyer, which we believe enhances our ability to negotiate and close acquisitions. In addition, we believe our status as an UPREIT enables flexibility when structuring deals. We continue to see available acquisitions on which to bid and are seeing increasing prices. However, we remain a disciplined buyer and look for acquisitions that will strengthen our portfolio and increase stockholder value.</w:t>
      </w:r>
    </w:p>
    <w:p>
      <w:pPr>
        <w:spacing w:after="0" w:line="9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Expand our management business</w:t>
      </w:r>
      <w:r>
        <w:rPr>
          <w:rFonts w:ascii="Arial" w:cs="Arial" w:eastAsia="Arial" w:hAnsi="Arial"/>
          <w:sz w:val="18"/>
          <w:szCs w:val="18"/>
          <w:color w:val="auto"/>
        </w:rPr>
        <w:t>. Our management business enables us to generate increased revenues through management fees and to expand</w:t>
      </w:r>
      <w:r>
        <w:rPr>
          <w:rFonts w:ascii="Arial" w:cs="Arial" w:eastAsia="Arial" w:hAnsi="Arial"/>
          <w:sz w:val="18"/>
          <w:szCs w:val="18"/>
          <w:i w:val="1"/>
          <w:iCs w:val="1"/>
          <w:color w:val="auto"/>
        </w:rPr>
        <w:t xml:space="preserve"> </w:t>
      </w:r>
      <w:r>
        <w:rPr>
          <w:rFonts w:ascii="Arial" w:cs="Arial" w:eastAsia="Arial" w:hAnsi="Arial"/>
          <w:sz w:val="18"/>
          <w:szCs w:val="18"/>
          <w:color w:val="auto"/>
        </w:rPr>
        <w:t>our geographic footprint. We believe this expanded footprint enables us to reduce our operating costs through economies of scale. In addition, we see our management business as a future acquisition pipeline. We pursue strategic relationships with owners whose stores would enhance our portfolio in the event an opportunity arises to acquire such stores.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2015, we owned, had ownership interests in, or managed 1,106 stores in 35 states, Washington, D.C. and Puerto Rico. Of these 1,106 stores, we owned 565 stores, we held joint venture interests in 270 stores, and our taxable REIT subsidiary, Extra Space Management, Inc., operated an additional 271 stores that are owned by third parties. These operating stores contain approximately 81.8 million square feet of rentable space in approximately 740,000 units.</w:t>
      </w:r>
    </w:p>
    <w:p>
      <w:pPr>
        <w:spacing w:after="0" w:line="187"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Our stores are generally situated in convenient, highly visible locations clustered around large population centers such as Atlanta, Baltimore/Washington, D.C., Boston, Chicago, Dallas, Houston, Las Vegas, Los Angeles, Miami, New York City, Orlando, Philadelphia, Phoenix, St. Petersburg/Tampa and San Francisco/Oakland. These areas all enjoy above-average population growth and income levels. The clustering of assets around these population centers enables us to reduce our operating costs through economies of scale. Our acquisitions and management business have given us an increased scale in many core markets as well as a foothold in many markets where we had no previous presence.</w:t>
      </w:r>
    </w:p>
    <w:p>
      <w:pPr>
        <w:spacing w:after="0" w:line="17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consider a store to be in the lease-up stage after it has been issued a certificate of occupancy, but before it has achieved stabilization. We consider a store to be stabilized once it has achieved either an 80% average occupancy rate for a full year measured as of January 1, or has been open for three years.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2015, approximately 670,000 tenants were leasing storage units at the 1,106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March 31, 2015, the average length of stay was approximately 13.4 months for tenants that vacated during the preceding twelve month period.</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average annual rent per square foot for our existing customers at stabilized stores, net of discounts and bad debt, was $14.18 for the three months ended March 31, 2015, compared to $13.62 for the same period ended March 31, 2014. Average annual rent per square foot for new leases was $14.56 for the three months ended March 31, 2015, compared to $13.82 for the same period ended March 31, 2014. The average discounts, as a percentage of rental revenues, during these periods were 3.9% and 4.1%, respectively.</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store portfolio is made up of different types of construction and building configurations depending on the site and the municipality where it is located. Most often sites are what we consider “hybrid” stores, a mix of drive-up and multi-floor buildings. We have a number of multi-floor buildings with elevator access only, and a number of stores featuring ground-floor access only.</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presents additional information regarding the occupancy of our stabilized stores by state as of March 31, 2015 and 2014. The information as of March 31, 2014 is on a pro forma basis as though all the stores owned and/or managed at March 31, 2015 were under our control as of March 31, 2014.</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Store Data Based on Location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Company</w:t>
            </w: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Pro forma</w:t>
            </w: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Company</w:t>
            </w: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Pro forma</w:t>
            </w: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color w:val="auto"/>
                <w:w w:val="93"/>
              </w:rPr>
              <w:t>Company</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Pro forma</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Square Foot</w:t>
            </w:r>
          </w:p>
        </w:tc>
        <w:tc>
          <w:tcPr>
            <w:tcW w:w="480" w:type="dxa"/>
            <w:vAlign w:val="bottom"/>
          </w:tcPr>
          <w:p>
            <w:pPr>
              <w:spacing w:after="0"/>
              <w:rPr>
                <w:sz w:val="10"/>
                <w:szCs w:val="10"/>
                <w:color w:val="auto"/>
              </w:rPr>
            </w:pPr>
          </w:p>
        </w:tc>
        <w:tc>
          <w:tcPr>
            <w:tcW w:w="8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Square Foot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Number of Units</w:t>
            </w: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7"/>
              </w:rPr>
              <w:t>Number of</w:t>
            </w: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Net Rentable</w:t>
            </w: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Net Rentable</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Occupancy %</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Occupancy %</w:t>
            </w:r>
          </w:p>
        </w:tc>
        <w:tc>
          <w:tcPr>
            <w:tcW w:w="0" w:type="dxa"/>
            <w:vAlign w:val="bottom"/>
          </w:tcPr>
          <w:p>
            <w:pPr>
              <w:spacing w:after="0"/>
              <w:rPr>
                <w:sz w:val="1"/>
                <w:szCs w:val="1"/>
                <w:color w:val="auto"/>
              </w:rPr>
            </w:pPr>
          </w:p>
        </w:tc>
      </w:tr>
      <w:tr>
        <w:trPr>
          <w:trHeight w:val="149"/>
        </w:trPr>
        <w:tc>
          <w:tcPr>
            <w:tcW w:w="2480" w:type="dxa"/>
            <w:vAlign w:val="bottom"/>
            <w:gridSpan w:val="3"/>
            <w:vMerge w:val="restart"/>
          </w:tcPr>
          <w:p>
            <w:pPr>
              <w:spacing w:after="0"/>
              <w:rPr>
                <w:sz w:val="20"/>
                <w:szCs w:val="20"/>
                <w:color w:val="auto"/>
              </w:rPr>
            </w:pPr>
            <w:r>
              <w:rPr>
                <w:rFonts w:ascii="Arial" w:cs="Arial" w:eastAsia="Arial" w:hAnsi="Arial"/>
                <w:sz w:val="14"/>
                <w:szCs w:val="14"/>
                <w:color w:val="auto"/>
              </w:rPr>
              <w:t>Location</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7"/>
              </w:rPr>
              <w:t>Number of</w:t>
            </w: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as of</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Units as of</w:t>
            </w: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8"/>
              </w:rPr>
              <w:t>Square Feet as of</w:t>
            </w: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Square Feet as of</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March 31,</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2480" w:type="dxa"/>
            <w:vAlign w:val="bottom"/>
            <w:gridSpan w:val="3"/>
            <w:vMerge w:val="continue"/>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color w:val="auto"/>
                <w:w w:val="88"/>
              </w:rPr>
              <w:t>Stores</w:t>
            </w: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March 31, 2015 (1)</w:t>
            </w: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March 31, 2014</w:t>
            </w: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March 31, 2015 (2)</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March 31, 2014</w:t>
            </w: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4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1"/>
              </w:rPr>
              <w:t>Wholly</w:t>
            </w:r>
          </w:p>
        </w:tc>
        <w:tc>
          <w:tcPr>
            <w:tcW w:w="196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-Owned Stores</w:t>
            </w: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2,913</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2,893</w:t>
            </w:r>
          </w:p>
        </w:tc>
        <w:tc>
          <w:tcPr>
            <w:tcW w:w="3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343,516</w:t>
            </w:r>
          </w:p>
        </w:tc>
        <w:tc>
          <w:tcPr>
            <w:tcW w:w="1000" w:type="dxa"/>
            <w:vAlign w:val="bottom"/>
          </w:tcPr>
          <w:p>
            <w:pPr>
              <w:jc w:val="right"/>
              <w:spacing w:after="0"/>
              <w:rPr>
                <w:sz w:val="20"/>
                <w:szCs w:val="20"/>
                <w:color w:val="auto"/>
              </w:rPr>
            </w:pPr>
            <w:r>
              <w:rPr>
                <w:rFonts w:ascii="Arial" w:cs="Arial" w:eastAsia="Arial" w:hAnsi="Arial"/>
                <w:sz w:val="18"/>
                <w:szCs w:val="18"/>
                <w:color w:val="auto"/>
              </w:rPr>
              <w:t>343,905</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88.2%</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889,838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886,003</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92.8%</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122</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91,341</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90,581</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9,454,957</w:t>
            </w:r>
          </w:p>
        </w:tc>
        <w:tc>
          <w:tcPr>
            <w:tcW w:w="1000" w:type="dxa"/>
            <w:vAlign w:val="bottom"/>
          </w:tcPr>
          <w:p>
            <w:pPr>
              <w:jc w:val="right"/>
              <w:spacing w:after="0"/>
              <w:rPr>
                <w:sz w:val="20"/>
                <w:szCs w:val="20"/>
                <w:color w:val="auto"/>
              </w:rPr>
            </w:pPr>
            <w:r>
              <w:rPr>
                <w:rFonts w:ascii="Arial" w:cs="Arial" w:eastAsia="Arial" w:hAnsi="Arial"/>
                <w:sz w:val="18"/>
                <w:szCs w:val="18"/>
                <w:color w:val="auto"/>
              </w:rPr>
              <w:t>9,466,712</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93.8%</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739,109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736,780</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94.2%</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3,133</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3,126</w:t>
            </w:r>
          </w:p>
        </w:tc>
        <w:tc>
          <w:tcPr>
            <w:tcW w:w="3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299,429</w:t>
            </w:r>
          </w:p>
        </w:tc>
        <w:tc>
          <w:tcPr>
            <w:tcW w:w="1000" w:type="dxa"/>
            <w:vAlign w:val="bottom"/>
          </w:tcPr>
          <w:p>
            <w:pPr>
              <w:jc w:val="right"/>
              <w:spacing w:after="0"/>
              <w:rPr>
                <w:sz w:val="20"/>
                <w:szCs w:val="20"/>
                <w:color w:val="auto"/>
              </w:rPr>
            </w:pPr>
            <w:r>
              <w:rPr>
                <w:rFonts w:ascii="Arial" w:cs="Arial" w:eastAsia="Arial" w:hAnsi="Arial"/>
                <w:sz w:val="18"/>
                <w:szCs w:val="18"/>
                <w:color w:val="auto"/>
              </w:rPr>
              <w:t>300,310</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93.9%</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39,416</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39,258</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4,214,245</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4,242,311</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92.6%</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12,977</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12,968</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1,634,310</w:t>
            </w:r>
          </w:p>
        </w:tc>
        <w:tc>
          <w:tcPr>
            <w:tcW w:w="1000" w:type="dxa"/>
            <w:vAlign w:val="bottom"/>
          </w:tcPr>
          <w:p>
            <w:pPr>
              <w:jc w:val="right"/>
              <w:spacing w:after="0"/>
              <w:rPr>
                <w:sz w:val="20"/>
                <w:szCs w:val="20"/>
                <w:color w:val="auto"/>
              </w:rPr>
            </w:pPr>
            <w:r>
              <w:rPr>
                <w:rFonts w:ascii="Arial" w:cs="Arial" w:eastAsia="Arial" w:hAnsi="Arial"/>
                <w:sz w:val="18"/>
                <w:szCs w:val="18"/>
                <w:color w:val="auto"/>
              </w:rPr>
              <w:t>1,634,502</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90.9%</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Hawaii</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337,637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333,809</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93.5%</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11,935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11,593</w:t>
            </w:r>
          </w:p>
        </w:tc>
        <w:tc>
          <w:tcPr>
            <w:tcW w:w="3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1,233,925</w:t>
            </w:r>
          </w:p>
        </w:tc>
        <w:tc>
          <w:tcPr>
            <w:tcW w:w="1000" w:type="dxa"/>
            <w:vAlign w:val="bottom"/>
          </w:tcPr>
          <w:p>
            <w:pPr>
              <w:jc w:val="right"/>
              <w:spacing w:after="0"/>
              <w:rPr>
                <w:sz w:val="20"/>
                <w:szCs w:val="20"/>
                <w:color w:val="auto"/>
              </w:rPr>
            </w:pPr>
            <w:r>
              <w:rPr>
                <w:rFonts w:ascii="Arial" w:cs="Arial" w:eastAsia="Arial" w:hAnsi="Arial"/>
                <w:sz w:val="18"/>
                <w:szCs w:val="18"/>
                <w:color w:val="auto"/>
              </w:rPr>
              <w:t>1,219,671</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90.1%</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4,711</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555,310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553,558</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90.8%</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507</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503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50,361</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50,360</w:t>
            </w: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88.9%</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253,741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254,141</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91.1%</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1,408</w:t>
            </w:r>
          </w:p>
        </w:tc>
        <w:tc>
          <w:tcPr>
            <w:tcW w:w="36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1,411</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149,990</w:t>
            </w:r>
          </w:p>
        </w:tc>
        <w:tc>
          <w:tcPr>
            <w:tcW w:w="1000" w:type="dxa"/>
            <w:vAlign w:val="bottom"/>
          </w:tcPr>
          <w:p>
            <w:pPr>
              <w:jc w:val="right"/>
              <w:spacing w:after="0"/>
              <w:rPr>
                <w:sz w:val="20"/>
                <w:szCs w:val="20"/>
                <w:color w:val="auto"/>
              </w:rPr>
            </w:pPr>
            <w:r>
              <w:rPr>
                <w:rFonts w:ascii="Arial" w:cs="Arial" w:eastAsia="Arial" w:hAnsi="Arial"/>
                <w:sz w:val="18"/>
                <w:szCs w:val="18"/>
                <w:color w:val="auto"/>
              </w:rPr>
              <w:t>150,165</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91.9%</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17,373</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17,251</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1,817,835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1,818,053</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22,218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22,023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2,246,607</w:t>
            </w:r>
          </w:p>
        </w:tc>
        <w:tc>
          <w:tcPr>
            <w:tcW w:w="1000" w:type="dxa"/>
            <w:vAlign w:val="bottom"/>
          </w:tcPr>
          <w:p>
            <w:pPr>
              <w:jc w:val="right"/>
              <w:spacing w:after="0"/>
              <w:rPr>
                <w:sz w:val="20"/>
                <w:szCs w:val="20"/>
                <w:color w:val="auto"/>
              </w:rPr>
            </w:pPr>
            <w:r>
              <w:rPr>
                <w:rFonts w:ascii="Arial" w:cs="Arial" w:eastAsia="Arial" w:hAnsi="Arial"/>
                <w:sz w:val="18"/>
                <w:szCs w:val="18"/>
                <w:color w:val="auto"/>
              </w:rPr>
              <w:t>2,247,053</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93.3%</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255,697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251,432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91.3%</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120" w:type="dxa"/>
            <w:vAlign w:val="bottom"/>
          </w:tcPr>
          <w:p>
            <w:pPr>
              <w:jc w:val="right"/>
              <w:spacing w:after="0"/>
              <w:rPr>
                <w:sz w:val="20"/>
                <w:szCs w:val="20"/>
                <w:color w:val="auto"/>
              </w:rPr>
            </w:pPr>
            <w:r>
              <w:rPr>
                <w:rFonts w:ascii="Arial" w:cs="Arial" w:eastAsia="Arial" w:hAnsi="Arial"/>
                <w:sz w:val="18"/>
                <w:szCs w:val="18"/>
                <w:color w:val="auto"/>
              </w:rPr>
              <w:t>3,241</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3,214</w:t>
            </w:r>
          </w:p>
        </w:tc>
        <w:tc>
          <w:tcPr>
            <w:tcW w:w="3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387,551</w:t>
            </w:r>
          </w:p>
        </w:tc>
        <w:tc>
          <w:tcPr>
            <w:tcW w:w="1000" w:type="dxa"/>
            <w:vAlign w:val="bottom"/>
          </w:tcPr>
          <w:p>
            <w:pPr>
              <w:jc w:val="right"/>
              <w:spacing w:after="0"/>
              <w:rPr>
                <w:sz w:val="20"/>
                <w:szCs w:val="20"/>
                <w:color w:val="auto"/>
              </w:rPr>
            </w:pPr>
            <w:r>
              <w:rPr>
                <w:rFonts w:ascii="Arial" w:cs="Arial" w:eastAsia="Arial" w:hAnsi="Arial"/>
                <w:sz w:val="18"/>
                <w:szCs w:val="18"/>
                <w:color w:val="auto"/>
              </w:rPr>
              <w:t>385,176</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89.9%</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549,080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547,154</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New Hampshire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1,015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125,748</w:t>
            </w:r>
          </w:p>
        </w:tc>
        <w:tc>
          <w:tcPr>
            <w:tcW w:w="1000" w:type="dxa"/>
            <w:vAlign w:val="bottom"/>
          </w:tcPr>
          <w:p>
            <w:pPr>
              <w:jc w:val="right"/>
              <w:spacing w:after="0"/>
              <w:rPr>
                <w:sz w:val="20"/>
                <w:szCs w:val="20"/>
                <w:color w:val="auto"/>
              </w:rPr>
            </w:pPr>
            <w:r>
              <w:rPr>
                <w:rFonts w:ascii="Arial" w:cs="Arial" w:eastAsia="Arial" w:hAnsi="Arial"/>
                <w:sz w:val="18"/>
                <w:szCs w:val="18"/>
                <w:color w:val="auto"/>
              </w:rPr>
              <w:t>125,748</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96.0%</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Jersey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37,982</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37,777</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3,686,908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3,678,498</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1,584</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1,571</w:t>
            </w:r>
          </w:p>
        </w:tc>
        <w:tc>
          <w:tcPr>
            <w:tcW w:w="3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217,954</w:t>
            </w:r>
          </w:p>
        </w:tc>
        <w:tc>
          <w:tcPr>
            <w:tcW w:w="1000" w:type="dxa"/>
            <w:vAlign w:val="bottom"/>
          </w:tcPr>
          <w:p>
            <w:pPr>
              <w:jc w:val="right"/>
              <w:spacing w:after="0"/>
              <w:rPr>
                <w:sz w:val="20"/>
                <w:szCs w:val="20"/>
                <w:color w:val="auto"/>
              </w:rPr>
            </w:pPr>
            <w:r>
              <w:rPr>
                <w:rFonts w:ascii="Arial" w:cs="Arial" w:eastAsia="Arial" w:hAnsi="Arial"/>
                <w:sz w:val="18"/>
                <w:szCs w:val="18"/>
                <w:color w:val="auto"/>
              </w:rPr>
              <w:t>217,444</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89.1%</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17,633</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17,621</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1,460,818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1,457,940</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92.1%</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4,851</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4,783</w:t>
            </w:r>
          </w:p>
        </w:tc>
        <w:tc>
          <w:tcPr>
            <w:tcW w:w="3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510,771</w:t>
            </w:r>
          </w:p>
        </w:tc>
        <w:tc>
          <w:tcPr>
            <w:tcW w:w="1000" w:type="dxa"/>
            <w:vAlign w:val="bottom"/>
          </w:tcPr>
          <w:p>
            <w:pPr>
              <w:jc w:val="right"/>
              <w:spacing w:after="0"/>
              <w:rPr>
                <w:sz w:val="20"/>
                <w:szCs w:val="20"/>
                <w:color w:val="auto"/>
              </w:rPr>
            </w:pPr>
            <w:r>
              <w:rPr>
                <w:rFonts w:ascii="Arial" w:cs="Arial" w:eastAsia="Arial" w:hAnsi="Arial"/>
                <w:sz w:val="18"/>
                <w:szCs w:val="18"/>
                <w:color w:val="auto"/>
              </w:rPr>
              <w:t>504,170</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91.9%</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10,432</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10,273</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1,363,811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1,358,325</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91.6%</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Oregon</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2,155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2,148</w:t>
            </w:r>
          </w:p>
        </w:tc>
        <w:tc>
          <w:tcPr>
            <w:tcW w:w="3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250,450</w:t>
            </w:r>
          </w:p>
        </w:tc>
        <w:tc>
          <w:tcPr>
            <w:tcW w:w="1000" w:type="dxa"/>
            <w:vAlign w:val="bottom"/>
          </w:tcPr>
          <w:p>
            <w:pPr>
              <w:jc w:val="right"/>
              <w:spacing w:after="0"/>
              <w:rPr>
                <w:sz w:val="20"/>
                <w:szCs w:val="20"/>
                <w:color w:val="auto"/>
              </w:rPr>
            </w:pPr>
            <w:r>
              <w:rPr>
                <w:rFonts w:ascii="Arial" w:cs="Arial" w:eastAsia="Arial" w:hAnsi="Arial"/>
                <w:sz w:val="18"/>
                <w:szCs w:val="18"/>
                <w:color w:val="auto"/>
              </w:rPr>
              <w:t>250,530</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94.4%</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651,576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649,100</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91.7%</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Rhode Island</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1,212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1,183</w:t>
            </w:r>
          </w:p>
        </w:tc>
        <w:tc>
          <w:tcPr>
            <w:tcW w:w="3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131,141</w:t>
            </w:r>
          </w:p>
        </w:tc>
        <w:tc>
          <w:tcPr>
            <w:tcW w:w="1000" w:type="dxa"/>
            <w:vAlign w:val="bottom"/>
          </w:tcPr>
          <w:p>
            <w:pPr>
              <w:jc w:val="right"/>
              <w:spacing w:after="0"/>
              <w:rPr>
                <w:sz w:val="20"/>
                <w:szCs w:val="20"/>
                <w:color w:val="auto"/>
              </w:rPr>
            </w:pPr>
            <w:r>
              <w:rPr>
                <w:rFonts w:ascii="Arial" w:cs="Arial" w:eastAsia="Arial" w:hAnsi="Arial"/>
                <w:sz w:val="18"/>
                <w:szCs w:val="18"/>
                <w:color w:val="auto"/>
              </w:rPr>
              <w:t>131,346</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94.5%</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420,790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418,490</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88.9%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5,513</w:t>
            </w:r>
          </w:p>
        </w:tc>
        <w:tc>
          <w:tcPr>
            <w:tcW w:w="3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755,123</w:t>
            </w:r>
          </w:p>
        </w:tc>
        <w:tc>
          <w:tcPr>
            <w:tcW w:w="1000" w:type="dxa"/>
            <w:vAlign w:val="bottom"/>
          </w:tcPr>
          <w:p>
            <w:pPr>
              <w:jc w:val="right"/>
              <w:spacing w:after="0"/>
              <w:rPr>
                <w:sz w:val="20"/>
                <w:szCs w:val="20"/>
                <w:color w:val="auto"/>
              </w:rPr>
            </w:pPr>
            <w:r>
              <w:rPr>
                <w:rFonts w:ascii="Arial" w:cs="Arial" w:eastAsia="Arial" w:hAnsi="Arial"/>
                <w:sz w:val="18"/>
                <w:szCs w:val="18"/>
                <w:color w:val="auto"/>
              </w:rPr>
              <w:t>753,357</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93.9%</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21,597</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21,466</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2,535,810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2,514,857</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90.5%</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Utah</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120" w:type="dxa"/>
            <w:vAlign w:val="bottom"/>
          </w:tcPr>
          <w:p>
            <w:pPr>
              <w:jc w:val="right"/>
              <w:spacing w:after="0"/>
              <w:rPr>
                <w:sz w:val="20"/>
                <w:szCs w:val="20"/>
                <w:color w:val="auto"/>
              </w:rPr>
            </w:pPr>
            <w:r>
              <w:rPr>
                <w:rFonts w:ascii="Arial" w:cs="Arial" w:eastAsia="Arial" w:hAnsi="Arial"/>
                <w:sz w:val="18"/>
                <w:szCs w:val="18"/>
                <w:color w:val="auto"/>
              </w:rPr>
              <w:t>4,240</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4,053</w:t>
            </w:r>
          </w:p>
        </w:tc>
        <w:tc>
          <w:tcPr>
            <w:tcW w:w="3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523,056</w:t>
            </w:r>
          </w:p>
        </w:tc>
        <w:tc>
          <w:tcPr>
            <w:tcW w:w="1000" w:type="dxa"/>
            <w:vAlign w:val="bottom"/>
          </w:tcPr>
          <w:p>
            <w:pPr>
              <w:jc w:val="right"/>
              <w:spacing w:after="0"/>
              <w:rPr>
                <w:sz w:val="20"/>
                <w:szCs w:val="20"/>
                <w:color w:val="auto"/>
              </w:rPr>
            </w:pPr>
            <w:r>
              <w:rPr>
                <w:rFonts w:ascii="Arial" w:cs="Arial" w:eastAsia="Arial" w:hAnsi="Arial"/>
                <w:sz w:val="18"/>
                <w:szCs w:val="18"/>
                <w:color w:val="auto"/>
              </w:rPr>
              <w:t>503,791</w:t>
            </w:r>
          </w:p>
        </w:tc>
        <w:tc>
          <w:tcPr>
            <w:tcW w:w="36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92.5%</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22,421</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22,379</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2,402,203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2,383,793</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88.3%</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Washington</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120" w:type="dxa"/>
            <w:vAlign w:val="bottom"/>
          </w:tcPr>
          <w:p>
            <w:pPr>
              <w:jc w:val="right"/>
              <w:spacing w:after="0"/>
              <w:rPr>
                <w:sz w:val="20"/>
                <w:szCs w:val="20"/>
                <w:color w:val="auto"/>
              </w:rPr>
            </w:pPr>
            <w:r>
              <w:rPr>
                <w:rFonts w:ascii="Arial" w:cs="Arial" w:eastAsia="Arial" w:hAnsi="Arial"/>
                <w:sz w:val="18"/>
                <w:szCs w:val="18"/>
                <w:color w:val="auto"/>
              </w:rPr>
              <w:t>3,589</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3,545</w:t>
            </w:r>
          </w:p>
        </w:tc>
        <w:tc>
          <w:tcPr>
            <w:tcW w:w="36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428,603</w:t>
            </w:r>
          </w:p>
        </w:tc>
        <w:tc>
          <w:tcPr>
            <w:tcW w:w="1000" w:type="dxa"/>
            <w:vAlign w:val="bottom"/>
          </w:tcPr>
          <w:p>
            <w:pPr>
              <w:jc w:val="right"/>
              <w:spacing w:after="0"/>
              <w:rPr>
                <w:sz w:val="20"/>
                <w:szCs w:val="20"/>
                <w:color w:val="auto"/>
              </w:rPr>
            </w:pPr>
            <w:r>
              <w:rPr>
                <w:rFonts w:ascii="Arial" w:cs="Arial" w:eastAsia="Arial" w:hAnsi="Arial"/>
                <w:sz w:val="18"/>
                <w:szCs w:val="18"/>
                <w:color w:val="auto"/>
              </w:rPr>
              <w:t>427,773</w:t>
            </w:r>
          </w:p>
        </w:tc>
        <w:tc>
          <w:tcPr>
            <w:tcW w:w="360" w:type="dxa"/>
            <w:vAlign w:val="bottom"/>
          </w:tcPr>
          <w:p>
            <w:pPr>
              <w:spacing w:after="0"/>
              <w:rPr>
                <w:sz w:val="19"/>
                <w:szCs w:val="19"/>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90.2%</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Wholly-Owned</w:t>
            </w: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Stabilized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552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381,077</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377,989</w:t>
            </w:r>
          </w:p>
        </w:tc>
        <w:tc>
          <w:tcPr>
            <w:tcW w:w="3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40,877,900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40,796,257</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92.2%</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89.4%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Company</w:t>
            </w: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Pro forma</w:t>
            </w: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Company</w:t>
            </w: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Pro forma</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color w:val="auto"/>
                <w:w w:val="93"/>
              </w:rPr>
              <w:t>Company</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Pro forma</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Square Foot</w:t>
            </w:r>
          </w:p>
        </w:tc>
        <w:tc>
          <w:tcPr>
            <w:tcW w:w="480" w:type="dxa"/>
            <w:vAlign w:val="bottom"/>
          </w:tcPr>
          <w:p>
            <w:pPr>
              <w:spacing w:after="0"/>
              <w:rPr>
                <w:sz w:val="10"/>
                <w:szCs w:val="10"/>
                <w:color w:val="auto"/>
              </w:rPr>
            </w:pPr>
          </w:p>
        </w:tc>
        <w:tc>
          <w:tcPr>
            <w:tcW w:w="8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Square Foot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Number of Units</w:t>
            </w: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Number of</w:t>
            </w: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Net Rentable</w:t>
            </w: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Net Rentable</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4"/>
              </w:rPr>
              <w:t>Occupancy %</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Occupancy %</w:t>
            </w:r>
          </w:p>
        </w:tc>
        <w:tc>
          <w:tcPr>
            <w:tcW w:w="0" w:type="dxa"/>
            <w:vAlign w:val="bottom"/>
          </w:tcPr>
          <w:p>
            <w:pPr>
              <w:spacing w:after="0"/>
              <w:rPr>
                <w:sz w:val="1"/>
                <w:szCs w:val="1"/>
                <w:color w:val="auto"/>
              </w:rPr>
            </w:pPr>
          </w:p>
        </w:tc>
      </w:tr>
      <w:tr>
        <w:trPr>
          <w:trHeight w:val="149"/>
        </w:trPr>
        <w:tc>
          <w:tcPr>
            <w:tcW w:w="2460" w:type="dxa"/>
            <w:vAlign w:val="bottom"/>
            <w:gridSpan w:val="3"/>
            <w:vMerge w:val="restart"/>
          </w:tcPr>
          <w:p>
            <w:pPr>
              <w:spacing w:after="0"/>
              <w:rPr>
                <w:sz w:val="20"/>
                <w:szCs w:val="20"/>
                <w:color w:val="auto"/>
              </w:rPr>
            </w:pPr>
            <w:r>
              <w:rPr>
                <w:rFonts w:ascii="Arial" w:cs="Arial" w:eastAsia="Arial" w:hAnsi="Arial"/>
                <w:sz w:val="14"/>
                <w:szCs w:val="14"/>
                <w:color w:val="auto"/>
              </w:rPr>
              <w:t>Location</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4"/>
              </w:rPr>
              <w:t>Number of</w:t>
            </w: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as of</w:t>
            </w: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Units as of</w:t>
            </w: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9"/>
              </w:rPr>
              <w:t>Square Feet as of</w:t>
            </w: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Square Feet as of</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March 31,</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2460" w:type="dxa"/>
            <w:vAlign w:val="bottom"/>
            <w:gridSpan w:val="3"/>
            <w:vMerge w:val="continue"/>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color w:val="auto"/>
              </w:rPr>
              <w:t>Stores</w:t>
            </w: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March 31, 2015 (1)</w:t>
            </w: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March 31, 2014</w:t>
            </w: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March 31, 2015 (2)</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March 31, 2014</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4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Joint-</w:t>
            </w:r>
          </w:p>
        </w:tc>
        <w:tc>
          <w:tcPr>
            <w:tcW w:w="1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Venture Stores</w:t>
            </w: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1,156</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1,149</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145,146</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145,231</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90.2%</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4,263</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4,224</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492,603</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493,071</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92.3%</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50,593</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50,216</w:t>
            </w:r>
          </w:p>
        </w:tc>
        <w:tc>
          <w:tcPr>
            <w:tcW w:w="1120" w:type="dxa"/>
            <w:vAlign w:val="bottom"/>
          </w:tcPr>
          <w:p>
            <w:pPr>
              <w:jc w:val="right"/>
              <w:spacing w:after="0"/>
              <w:rPr>
                <w:sz w:val="20"/>
                <w:szCs w:val="20"/>
                <w:color w:val="auto"/>
              </w:rPr>
            </w:pPr>
            <w:r>
              <w:rPr>
                <w:rFonts w:ascii="Arial" w:cs="Arial" w:eastAsia="Arial" w:hAnsi="Arial"/>
                <w:sz w:val="18"/>
                <w:szCs w:val="18"/>
                <w:color w:val="auto"/>
              </w:rPr>
              <w:t>5,183,638</w:t>
            </w: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5,173,895</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94.4%</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1,322</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1,323</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159,454</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159,443</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5,316</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5,297</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611,840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611,790</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93.3%</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592</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71,705</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71,705</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93.1%</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15,278</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15,198</w:t>
            </w:r>
          </w:p>
        </w:tc>
        <w:tc>
          <w:tcPr>
            <w:tcW w:w="1120" w:type="dxa"/>
            <w:vAlign w:val="bottom"/>
          </w:tcPr>
          <w:p>
            <w:pPr>
              <w:jc w:val="right"/>
              <w:spacing w:after="0"/>
              <w:rPr>
                <w:sz w:val="20"/>
                <w:szCs w:val="20"/>
                <w:color w:val="auto"/>
              </w:rPr>
            </w:pPr>
            <w:r>
              <w:rPr>
                <w:rFonts w:ascii="Arial" w:cs="Arial" w:eastAsia="Arial" w:hAnsi="Arial"/>
                <w:sz w:val="18"/>
                <w:szCs w:val="18"/>
                <w:color w:val="auto"/>
              </w:rPr>
              <w:t>1,534,938</w:t>
            </w: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1,533,311</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92.0%</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1,069</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1,059</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152,554</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151,524</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89.4%</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3,477</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3,447</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365,165</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364,916</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91.5%</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2,214</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287,973</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285,386</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91.5%</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842</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840</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109,195</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109,695</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91.6%</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2,237</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257,439</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255,089</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89.2%</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9,816</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9,743</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954,965</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954,725</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90.7%</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6,947</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6,903</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783,629</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782,680</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4,830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4,787</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614,292</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610,718</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93.9%</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535</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532</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61,075</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61,225</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86.9%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3,030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3,047</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327,778</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326,863</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88.5%</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Hampshire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776</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84,631</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83,615</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92.7%</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13,004</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12,950</w:t>
            </w:r>
          </w:p>
        </w:tc>
        <w:tc>
          <w:tcPr>
            <w:tcW w:w="1120" w:type="dxa"/>
            <w:vAlign w:val="bottom"/>
          </w:tcPr>
          <w:p>
            <w:pPr>
              <w:jc w:val="right"/>
              <w:spacing w:after="0"/>
              <w:rPr>
                <w:sz w:val="20"/>
                <w:szCs w:val="20"/>
                <w:color w:val="auto"/>
              </w:rPr>
            </w:pPr>
            <w:r>
              <w:rPr>
                <w:rFonts w:ascii="Arial" w:cs="Arial" w:eastAsia="Arial" w:hAnsi="Arial"/>
                <w:sz w:val="18"/>
                <w:szCs w:val="18"/>
                <w:color w:val="auto"/>
              </w:rPr>
              <w:t>1,357,516</w:t>
            </w: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1,356,727</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90.4%</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3,604</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397,044</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398,245</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11,931</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11,939</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975,514</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977,856</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92.4%</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3,998</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3,963</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531,697</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531,412</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Oregon</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654</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653</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64,970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64,970</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92.6%</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7,981</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7,964</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805,223</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803,620</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91.0%</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9,458</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9,373</w:t>
            </w:r>
          </w:p>
        </w:tc>
        <w:tc>
          <w:tcPr>
            <w:tcW w:w="1120" w:type="dxa"/>
            <w:vAlign w:val="bottom"/>
          </w:tcPr>
          <w:p>
            <w:pPr>
              <w:jc w:val="right"/>
              <w:spacing w:after="0"/>
              <w:rPr>
                <w:sz w:val="20"/>
                <w:szCs w:val="20"/>
                <w:color w:val="auto"/>
              </w:rPr>
            </w:pPr>
            <w:r>
              <w:rPr>
                <w:rFonts w:ascii="Arial" w:cs="Arial" w:eastAsia="Arial" w:hAnsi="Arial"/>
                <w:sz w:val="18"/>
                <w:szCs w:val="18"/>
                <w:color w:val="auto"/>
              </w:rPr>
              <w:t>1,241,902</w:t>
            </w: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1,241,427</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92.0%</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10,627</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10,561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1,389,061</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1,387,664</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93.7%</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9,385</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9,361</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994,769</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994,449</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91.7%</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1,547</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102,492</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102,017</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5"/>
        </w:trPr>
        <w:tc>
          <w:tcPr>
            <w:tcW w:w="246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Total Joint-Venture</w:t>
            </w:r>
          </w:p>
        </w:tc>
        <w:tc>
          <w:tcPr>
            <w:tcW w:w="6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Stabilized</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269</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186,542</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185,436</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20,058,208</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20,033,269</w:t>
            </w:r>
          </w:p>
        </w:tc>
        <w:tc>
          <w:tcPr>
            <w:tcW w:w="1300" w:type="dxa"/>
            <w:vAlign w:val="bottom"/>
            <w:gridSpan w:val="2"/>
          </w:tcPr>
          <w:p>
            <w:pPr>
              <w:ind w:left="500"/>
              <w:spacing w:after="0"/>
              <w:rPr>
                <w:sz w:val="20"/>
                <w:szCs w:val="20"/>
                <w:color w:val="auto"/>
              </w:rPr>
            </w:pPr>
            <w:r>
              <w:rPr>
                <w:rFonts w:ascii="Arial" w:cs="Arial" w:eastAsia="Arial" w:hAnsi="Arial"/>
                <w:sz w:val="18"/>
                <w:szCs w:val="18"/>
                <w:b w:val="1"/>
                <w:bCs w:val="1"/>
                <w:color w:val="auto"/>
              </w:rPr>
              <w:t>92.4%</w:t>
            </w:r>
          </w:p>
        </w:tc>
        <w:tc>
          <w:tcPr>
            <w:tcW w:w="1040" w:type="dxa"/>
            <w:vAlign w:val="bottom"/>
            <w:gridSpan w:val="2"/>
          </w:tcPr>
          <w:p>
            <w:pPr>
              <w:ind w:left="500"/>
              <w:spacing w:after="0"/>
              <w:rPr>
                <w:sz w:val="20"/>
                <w:szCs w:val="20"/>
                <w:color w:val="auto"/>
              </w:rPr>
            </w:pPr>
            <w:r>
              <w:rPr>
                <w:rFonts w:ascii="Arial" w:cs="Arial" w:eastAsia="Arial" w:hAnsi="Arial"/>
                <w:sz w:val="18"/>
                <w:szCs w:val="18"/>
                <w:b w:val="1"/>
                <w:bCs w:val="1"/>
                <w:color w:val="auto"/>
              </w:rPr>
              <w:t>90.7%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Managed Stores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2,339</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2,339</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355,310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355,310</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87.3%</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1,223</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1,219</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229,967</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228,847</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92.4%</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40,929</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41,259</w:t>
            </w:r>
          </w:p>
        </w:tc>
        <w:tc>
          <w:tcPr>
            <w:tcW w:w="1120" w:type="dxa"/>
            <w:vAlign w:val="bottom"/>
          </w:tcPr>
          <w:p>
            <w:pPr>
              <w:jc w:val="right"/>
              <w:spacing w:after="0"/>
              <w:rPr>
                <w:sz w:val="20"/>
                <w:szCs w:val="20"/>
                <w:color w:val="auto"/>
              </w:rPr>
            </w:pPr>
            <w:r>
              <w:rPr>
                <w:rFonts w:ascii="Arial" w:cs="Arial" w:eastAsia="Arial" w:hAnsi="Arial"/>
                <w:sz w:val="18"/>
                <w:szCs w:val="18"/>
                <w:color w:val="auto"/>
              </w:rPr>
              <w:t>5,364,399</w:t>
            </w: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5,414,868</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89.6%</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8,365</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8,333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1,068,607</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1,063,669</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92.1%</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465</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473</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61,865</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61,600</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91.1%</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23,255</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23,249</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2,811,985</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2,850,187</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89.6%</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5,873</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5,865</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912,964</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911,788</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90.1%</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Hawaii</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5,016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5,038</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350,372</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344,898</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89.1%</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3,612</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3,593</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393,710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387,345</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87.9%</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5,047</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5,034</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618,777</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618,777</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90.6%</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552</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547</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67,268</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67,268</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98.2%</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999</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1,005</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133,490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134,835</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88.3%</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9,509</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9,495</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913,327</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914,272</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88.6%</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1,885</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1,893</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281,558</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281,823</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89.7%</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1,119</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1,209</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127,501</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152,141</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90.5%</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316,760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315,985</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83.0%</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1,638</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1,619</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181,588</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181,138</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91.7%</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1,125</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131,112</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131,312</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91.5%</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1,603</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1,571</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205,218</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205,981</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94.2%</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2,842</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2,833</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396,676</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396,504</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92.1%</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6,950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6,944</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859,682</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861,372</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91.1%</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1,171</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1,198</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153,723</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153,723</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83.3%</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1,978</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1,971</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278,446</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280,471</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89.6%</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13,111</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12,891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1,775,321</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1,737,067</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85.6%</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Utah</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2,021</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2,031</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314,040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313,715</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91.4%</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2,405</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2,404</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249,514</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249,514</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88.0%</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1,267</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1,263</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112,334</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112,409</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90.7%</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Puerto Rico</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2,694</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287,049</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287,417</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86.8%</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2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Managed Stabilized</w:t>
            </w:r>
          </w:p>
        </w:tc>
        <w:tc>
          <w:tcPr>
            <w:tcW w:w="6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36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151,981</w:t>
            </w:r>
          </w:p>
        </w:tc>
        <w:tc>
          <w:tcPr>
            <w:tcW w:w="38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152,140</w:t>
            </w:r>
          </w:p>
        </w:tc>
        <w:tc>
          <w:tcPr>
            <w:tcW w:w="38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18,952,563</w:t>
            </w:r>
          </w:p>
        </w:tc>
        <w:tc>
          <w:tcPr>
            <w:tcW w:w="36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19,014,236</w:t>
            </w:r>
          </w:p>
        </w:tc>
        <w:tc>
          <w:tcPr>
            <w:tcW w:w="360" w:type="dxa"/>
            <w:vAlign w:val="bottom"/>
            <w:vMerge w:val="continue"/>
          </w:tcPr>
          <w:p>
            <w:pPr>
              <w:spacing w:after="0"/>
              <w:rPr>
                <w:sz w:val="19"/>
                <w:szCs w:val="19"/>
                <w:color w:val="auto"/>
              </w:rPr>
            </w:pPr>
          </w:p>
        </w:tc>
        <w:tc>
          <w:tcPr>
            <w:tcW w:w="1300" w:type="dxa"/>
            <w:vAlign w:val="bottom"/>
            <w:gridSpan w:val="2"/>
          </w:tcPr>
          <w:p>
            <w:pPr>
              <w:ind w:left="500"/>
              <w:spacing w:after="0"/>
              <w:rPr>
                <w:sz w:val="20"/>
                <w:szCs w:val="20"/>
                <w:color w:val="auto"/>
              </w:rPr>
            </w:pPr>
            <w:r>
              <w:rPr>
                <w:rFonts w:ascii="Arial" w:cs="Arial" w:eastAsia="Arial" w:hAnsi="Arial"/>
                <w:sz w:val="18"/>
                <w:szCs w:val="18"/>
                <w:b w:val="1"/>
                <w:bCs w:val="1"/>
                <w:color w:val="auto"/>
              </w:rPr>
              <w:t>89.4%</w:t>
            </w:r>
          </w:p>
        </w:tc>
        <w:tc>
          <w:tcPr>
            <w:tcW w:w="1040" w:type="dxa"/>
            <w:vAlign w:val="bottom"/>
            <w:gridSpan w:val="2"/>
          </w:tcPr>
          <w:p>
            <w:pPr>
              <w:ind w:left="500"/>
              <w:spacing w:after="0"/>
              <w:rPr>
                <w:sz w:val="20"/>
                <w:szCs w:val="20"/>
                <w:color w:val="auto"/>
              </w:rPr>
            </w:pPr>
            <w:r>
              <w:rPr>
                <w:rFonts w:ascii="Arial" w:cs="Arial" w:eastAsia="Arial" w:hAnsi="Arial"/>
                <w:sz w:val="18"/>
                <w:szCs w:val="18"/>
                <w:b w:val="1"/>
                <w:bCs w:val="1"/>
                <w:color w:val="auto"/>
              </w:rPr>
              <w:t>84.5%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Stabilized Stores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1,076</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719,600</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715,565</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79,888,671</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79,843,762</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91.6%</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unit count as of March 31, 2015, which may differ from unit count as of March 31, 2014 due to unit conversions or expansions.</w:t>
      </w:r>
    </w:p>
    <w:p>
      <w:pPr>
        <w:spacing w:after="0" w:line="34" w:lineRule="exact"/>
        <w:rPr>
          <w:rFonts w:ascii="Arial" w:cs="Arial" w:eastAsia="Arial" w:hAnsi="Arial"/>
          <w:sz w:val="17"/>
          <w:szCs w:val="17"/>
          <w:color w:val="auto"/>
        </w:rPr>
      </w:pPr>
    </w:p>
    <w:p>
      <w:pPr>
        <w:ind w:left="580" w:right="80" w:hanging="572"/>
        <w:spacing w:after="0" w:line="261"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net rentable square feet as of March 31, 2015, which may differ from rentable square feet as of March 31, 2014 due to unit conversions or expansions.</w:t>
      </w:r>
    </w:p>
    <w:p>
      <w:pPr>
        <w:sectPr>
          <w:pgSz w:w="11900" w:h="16838" w:orient="portrait"/>
          <w:cols w:equalWidth="0" w:num="1">
            <w:col w:w="11420"/>
          </w:cols>
          <w:pgMar w:left="240" w:top="459" w:right="239" w:bottom="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019"/>
          </w:cols>
          <w:pgMar w:left="1440" w:top="125"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following table presents additional information regarding the occupancy of our lease-up stores by state as of March 31, 2015 and 2014. The information as of March 31, 2014 is on a pro forma basis as though all the stores owned and/or managed at March 31, 2015 were under our control as of March 31,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Store Data Based on Location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Company</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Pro forma</w:t>
            </w: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Company</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Pro forma</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color w:val="auto"/>
                <w:w w:val="93"/>
              </w:rPr>
              <w:t>Company</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Pro forma</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Square Foot</w:t>
            </w:r>
          </w:p>
        </w:tc>
        <w:tc>
          <w:tcPr>
            <w:tcW w:w="500" w:type="dxa"/>
            <w:vAlign w:val="bottom"/>
          </w:tcPr>
          <w:p>
            <w:pPr>
              <w:spacing w:after="0"/>
              <w:rPr>
                <w:sz w:val="10"/>
                <w:szCs w:val="10"/>
                <w:color w:val="auto"/>
              </w:rPr>
            </w:pPr>
          </w:p>
        </w:tc>
        <w:tc>
          <w:tcPr>
            <w:tcW w:w="8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Square Foot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Number of Units</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Number of</w:t>
            </w: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Net Rentable</w:t>
            </w: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Net Rentable</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Occupancy %</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Occupancy %</w:t>
            </w:r>
          </w:p>
        </w:tc>
        <w:tc>
          <w:tcPr>
            <w:tcW w:w="0" w:type="dxa"/>
            <w:vAlign w:val="bottom"/>
          </w:tcPr>
          <w:p>
            <w:pPr>
              <w:spacing w:after="0"/>
              <w:rPr>
                <w:sz w:val="1"/>
                <w:szCs w:val="1"/>
                <w:color w:val="auto"/>
              </w:rPr>
            </w:pPr>
          </w:p>
        </w:tc>
      </w:tr>
      <w:tr>
        <w:trPr>
          <w:trHeight w:val="149"/>
        </w:trPr>
        <w:tc>
          <w:tcPr>
            <w:tcW w:w="2320" w:type="dxa"/>
            <w:vAlign w:val="bottom"/>
            <w:gridSpan w:val="4"/>
            <w:vMerge w:val="restart"/>
          </w:tcPr>
          <w:p>
            <w:pPr>
              <w:spacing w:after="0"/>
              <w:rPr>
                <w:sz w:val="20"/>
                <w:szCs w:val="20"/>
                <w:color w:val="auto"/>
              </w:rPr>
            </w:pPr>
            <w:r>
              <w:rPr>
                <w:rFonts w:ascii="Arial" w:cs="Arial" w:eastAsia="Arial" w:hAnsi="Arial"/>
                <w:sz w:val="14"/>
                <w:szCs w:val="14"/>
                <w:color w:val="auto"/>
              </w:rPr>
              <w:t>Location</w:t>
            </w: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Number of</w:t>
            </w: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as of</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Units as of</w:t>
            </w: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Square Feet as of</w:t>
            </w: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9"/>
              </w:rPr>
              <w:t>Square Feet as of</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March 31,</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2320" w:type="dxa"/>
            <w:vAlign w:val="bottom"/>
            <w:gridSpan w:val="4"/>
            <w:vMerge w:val="continue"/>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Stores</w:t>
            </w: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March 31, 2015 (1)</w:t>
            </w: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March 31, 2014</w:t>
            </w: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March 31, 2015 (2)</w:t>
            </w: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March 31, 2014</w:t>
            </w: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5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1"/>
              </w:rPr>
              <w:t>Wholly</w:t>
            </w:r>
          </w:p>
        </w:tc>
        <w:tc>
          <w:tcPr>
            <w:tcW w:w="1800" w:type="dxa"/>
            <w:vAlign w:val="bottom"/>
            <w:tcBorders>
              <w:top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-Owned Stores</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California (3)</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569</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57,898</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Connecticut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1,105</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1,095</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89,460</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90,210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Florida</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544</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558</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81,941</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88,172</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86.4%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595</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52,365</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51,590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92.1%</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658</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585</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52,757</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47,228</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61.2%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Maryland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988</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988</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103,171</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102,777</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South Carolina</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1,251</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348</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131,887</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46,210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57.2%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2,755</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2,760</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302,331</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93,715</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Virginia</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455</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455</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56,805</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56,805</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69.3%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Wholly-Owned in</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Lease-up</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8,354</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7,953</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870,717</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577,800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65.8%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42.7%</w:t>
            </w:r>
          </w:p>
        </w:tc>
        <w:tc>
          <w:tcPr>
            <w:tcW w:w="0" w:type="dxa"/>
            <w:vAlign w:val="bottom"/>
          </w:tcPr>
          <w:p>
            <w:pPr>
              <w:spacing w:after="0"/>
              <w:rPr>
                <w:sz w:val="1"/>
                <w:szCs w:val="1"/>
                <w:color w:val="auto"/>
              </w:rPr>
            </w:pPr>
          </w:p>
        </w:tc>
      </w:tr>
      <w:tr>
        <w:trPr>
          <w:trHeight w:val="331"/>
        </w:trPr>
        <w:tc>
          <w:tcPr>
            <w:tcW w:w="2320" w:type="dxa"/>
            <w:vAlign w:val="bottom"/>
            <w:gridSpan w:val="4"/>
          </w:tcPr>
          <w:p>
            <w:pPr>
              <w:spacing w:after="0"/>
              <w:rPr>
                <w:sz w:val="20"/>
                <w:szCs w:val="20"/>
                <w:color w:val="auto"/>
              </w:rPr>
            </w:pPr>
            <w:r>
              <w:rPr>
                <w:rFonts w:ascii="Arial" w:cs="Arial" w:eastAsia="Arial" w:hAnsi="Arial"/>
                <w:sz w:val="18"/>
                <w:szCs w:val="18"/>
                <w:b w:val="1"/>
                <w:bCs w:val="1"/>
                <w:color w:val="auto"/>
              </w:rPr>
              <w:t>Managed Stores</w:t>
            </w: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746</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75,595</w:t>
            </w:r>
          </w:p>
        </w:tc>
        <w:tc>
          <w:tcPr>
            <w:tcW w:w="14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Georgia</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578</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70,330</w:t>
            </w: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12.1%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673</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675</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46,417</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46,599</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Maryland</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918</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433</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83,359</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44,790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49.9%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Massachusetts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902</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70,076</w:t>
            </w:r>
          </w:p>
        </w:tc>
        <w:tc>
          <w:tcPr>
            <w:tcW w:w="14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New York</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2,580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2,234</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162,600</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128,875</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77.8%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770</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68,736</w:t>
            </w:r>
          </w:p>
        </w:tc>
        <w:tc>
          <w:tcPr>
            <w:tcW w:w="14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South Carolina</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1,002</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97,620</w:t>
            </w: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38.5%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609</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614</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70,251</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70,223</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Utah</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516</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532</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67,037</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65,981</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86.8%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Virginia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1,058</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106,126</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54,520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Washington</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729</w:t>
            </w: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80,880</w:t>
            </w:r>
          </w:p>
        </w:tc>
        <w:tc>
          <w:tcPr>
            <w:tcW w:w="14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Managed in Lease-</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up</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11,081</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5,088</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999,027</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410,988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44.8%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54.8%</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320" w:type="dxa"/>
            <w:vAlign w:val="bottom"/>
            <w:gridSpan w:val="4"/>
          </w:tcPr>
          <w:p>
            <w:pPr>
              <w:spacing w:after="0"/>
              <w:rPr>
                <w:sz w:val="20"/>
                <w:szCs w:val="20"/>
                <w:color w:val="auto"/>
              </w:rPr>
            </w:pPr>
            <w:r>
              <w:rPr>
                <w:rFonts w:ascii="Arial" w:cs="Arial" w:eastAsia="Arial" w:hAnsi="Arial"/>
                <w:sz w:val="18"/>
                <w:szCs w:val="18"/>
                <w:b w:val="1"/>
                <w:bCs w:val="1"/>
                <w:color w:val="auto"/>
              </w:rPr>
              <w:t>Total Lease-up Stores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38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20,125</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13,041</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1,929,233</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988,788</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53.3%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unit count as of March 31, 2015, which may differ from unit count as of March 31, 2014 due to unit conversions or expansions.</w:t>
      </w:r>
    </w:p>
    <w:p>
      <w:pPr>
        <w:spacing w:after="0" w:line="34" w:lineRule="exact"/>
        <w:rPr>
          <w:rFonts w:ascii="Arial" w:cs="Arial" w:eastAsia="Arial" w:hAnsi="Arial"/>
          <w:sz w:val="17"/>
          <w:szCs w:val="17"/>
          <w:color w:val="auto"/>
        </w:rPr>
      </w:pPr>
    </w:p>
    <w:p>
      <w:pPr>
        <w:ind w:left="580" w:right="80" w:hanging="572"/>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net rentable square feet as of March 31, 2015, which may differ from rentable square feet as of March 31, 2014 due to unit conversions or expansions.</w:t>
      </w: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October 2014, a store located in Venice, California was damaged by fire. During the reconstruction period all units are unavailable.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Results for the three months ended March 31, 2015 included the operations of 835 stores (565 wholly-owned, 20 consolidated joint ventures, and 250 in joint ventures accounted for using the equity method) compared to the results for the three months ended March 31, 2014, which included the operations of 800 stores (527 wholly-owned, 19 consolidated joint ventures, and 254 in joint ventures accounted for using the equity method).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revenues earned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0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Property rental</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$148,894</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$132,001</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$16,893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16,510</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13,463</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3,047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Management fees and other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7,750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7,123</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627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173,154</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152,587</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20,567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Property Rental—</w:t>
      </w:r>
      <w:r>
        <w:rPr>
          <w:rFonts w:ascii="Arial" w:cs="Arial" w:eastAsia="Arial" w:hAnsi="Arial"/>
          <w:sz w:val="16"/>
          <w:szCs w:val="16"/>
          <w:color w:val="auto"/>
        </w:rPr>
        <w:t>The increase in property rental revenues for the three months ended March 31, 2015 was the result of an increase of $7,487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acquisitions completed in 2015 and 2014, and an increase of $9,839 as a result of increases in occupancy and rental rates to new and existing customers at our stabilized stores. We acquired eight operating stores during the three months ended March 31, 2015 and 51 operating stores during 2014. Occupancy at our wholly-owned stabilized stores increased to 92.2% at March 31, 2015, as compared to 89.4% at March 31, 2014. Rental rates to new tenants for the three months ended March 31, 2015 increased an average of approximately 5.0% over the same period in the prior year.</w:t>
      </w:r>
    </w:p>
    <w:p>
      <w:pPr>
        <w:spacing w:after="0" w:line="15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our tenant reinsurance revenues was partially due to the increase in overall customer participation to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70.8% at March 31, 2015 compared to 68.7% at March 31, 2014. In addition, we operated 1,106 stores at March 31, 2015 compared to 1,052 stores at March 31, 2014.</w:t>
      </w:r>
    </w:p>
    <w:p>
      <w:pPr>
        <w:spacing w:after="0" w:line="17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Management Fees and Other Income—</w:t>
      </w:r>
      <w:r>
        <w:rPr>
          <w:rFonts w:ascii="Arial" w:cs="Arial" w:eastAsia="Arial" w:hAnsi="Arial"/>
          <w:sz w:val="16"/>
          <w:szCs w:val="16"/>
          <w:color w:val="auto"/>
        </w:rPr>
        <w:t>Our taxable REIT subsidiary (“TRS”), Extra Space Management, Inc., manages stores owned by our joint ventures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third parties. Management fees represent approximately 6% of cash collected from these stores. We also earn an asset management fee from one of our joint ventures, equal to 0.5% of the total asset value, provided certain conditions are met. The increase in management fee revenues was primarily due to an increase in revenues at the managed stores as a result of increases in occupancy and rental rates, and to an increase in the number of properties managed.</w:t>
      </w:r>
    </w:p>
    <w:p>
      <w:pPr>
        <w:spacing w:after="0" w:line="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expenses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Ended March 31,</w:t>
            </w:r>
          </w:p>
        </w:tc>
        <w:tc>
          <w:tcPr>
            <w:tcW w:w="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19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Property operations</w:t>
            </w:r>
          </w:p>
        </w:tc>
        <w:tc>
          <w:tcPr>
            <w:tcW w:w="2760" w:type="dxa"/>
            <w:vAlign w:val="bottom"/>
            <w:gridSpan w:val="3"/>
          </w:tcPr>
          <w:p>
            <w:pPr>
              <w:jc w:val="right"/>
              <w:ind w:right="220"/>
              <w:spacing w:after="0"/>
              <w:rPr>
                <w:sz w:val="20"/>
                <w:szCs w:val="20"/>
                <w:color w:val="auto"/>
              </w:rPr>
            </w:pPr>
            <w:r>
              <w:rPr>
                <w:rFonts w:ascii="Arial" w:cs="Arial" w:eastAsia="Arial" w:hAnsi="Arial"/>
                <w:sz w:val="18"/>
                <w:szCs w:val="18"/>
                <w:color w:val="auto"/>
              </w:rPr>
              <w:t>$47,244</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$43,482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3,762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Acquisition related costs</w:t>
            </w:r>
          </w:p>
        </w:tc>
        <w:tc>
          <w:tcPr>
            <w:tcW w:w="2760" w:type="dxa"/>
            <w:vAlign w:val="bottom"/>
            <w:gridSpan w:val="3"/>
          </w:tcPr>
          <w:p>
            <w:pPr>
              <w:jc w:val="right"/>
              <w:ind w:right="220"/>
              <w:spacing w:after="0"/>
              <w:rPr>
                <w:sz w:val="20"/>
                <w:szCs w:val="20"/>
                <w:color w:val="auto"/>
              </w:rPr>
            </w:pPr>
            <w:r>
              <w:rPr>
                <w:rFonts w:ascii="Arial" w:cs="Arial" w:eastAsia="Arial" w:hAnsi="Arial"/>
                <w:sz w:val="18"/>
                <w:szCs w:val="18"/>
                <w:color w:val="auto"/>
              </w:rPr>
              <w:t>869</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2,056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(1,187)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16,249</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28,375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2,053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97,718</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92,189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5,529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Property Operations—</w:t>
      </w:r>
      <w:r>
        <w:rPr>
          <w:rFonts w:ascii="Arial" w:cs="Arial" w:eastAsia="Arial" w:hAnsi="Arial"/>
          <w:sz w:val="18"/>
          <w:szCs w:val="18"/>
          <w:color w:val="auto"/>
        </w:rPr>
        <w:t>The increase in property operations expense during the three months ended March 31, 2015 consisted primarily of increases in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associated with acquisitions completed in 2015 and 2014. We acquired eight operating stores during the three months ended March 31, 2015, and 51 operating stores during the year ended December 31, 2014.</w:t>
      </w:r>
    </w:p>
    <w:p>
      <w:pPr>
        <w:spacing w:after="0" w:line="176"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Tenant Reinsurance—</w:t>
      </w:r>
      <w:r>
        <w:rPr>
          <w:rFonts w:ascii="Arial" w:cs="Arial" w:eastAsia="Arial" w:hAnsi="Arial"/>
          <w:sz w:val="16"/>
          <w:szCs w:val="16"/>
          <w:color w:val="auto"/>
        </w:rPr>
        <w:t>Tenant reinsurance expense represents the costs that are incurred to provide tenant reinsurance. The increase was primarily due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the number of stores we owned and/or managed. At March 31, 2015, we owned and/or managed 1,106 stores compared to 1,052 stores at March 31, 2014. In addition, there was an increase of overall customer participation to 70.8% at March 31, 2015 compared to 68.7% at March 31, 2014.</w:t>
      </w:r>
    </w:p>
    <w:p>
      <w:pPr>
        <w:spacing w:after="0" w:line="142" w:lineRule="exact"/>
        <w:rPr>
          <w:sz w:val="20"/>
          <w:szCs w:val="20"/>
          <w:color w:val="auto"/>
        </w:rPr>
      </w:pPr>
    </w:p>
    <w:p>
      <w:pPr>
        <w:jc w:val="both"/>
        <w:ind w:right="340"/>
        <w:spacing w:after="0" w:line="314" w:lineRule="auto"/>
        <w:rPr>
          <w:sz w:val="20"/>
          <w:szCs w:val="20"/>
          <w:color w:val="auto"/>
        </w:rPr>
      </w:pPr>
      <w:r>
        <w:rPr>
          <w:rFonts w:ascii="Arial" w:cs="Arial" w:eastAsia="Arial" w:hAnsi="Arial"/>
          <w:sz w:val="16"/>
          <w:szCs w:val="16"/>
          <w:b w:val="1"/>
          <w:bCs w:val="1"/>
          <w:color w:val="auto"/>
        </w:rPr>
        <w:t>Acquisition Related Costs—</w:t>
      </w:r>
      <w:r>
        <w:rPr>
          <w:rFonts w:ascii="Arial" w:cs="Arial" w:eastAsia="Arial" w:hAnsi="Arial"/>
          <w:sz w:val="16"/>
          <w:szCs w:val="16"/>
          <w:color w:val="auto"/>
        </w:rPr>
        <w:t>These costs relate to acquisition activities during the periods indicated. The decrease in these expenses for the three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ended March 31, 2015 compared to the prior year was due to a decrease in the number of acquisitions completed during these periods. We completed the acquisition of eight stores during the three months ended March 31, 2015 compared to 21 stores during the same period in the prior year.</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include all expenses not directly related to our stores, including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travel and professional fees. These expenses are recognized as incurred. General and administrative expenses for the three months ended March 31, 2015 increased when compared to the same period in the prior year primarily due to the overall cost associated with the management of additional stores. At March 31, 2015, we owned and/or managed 1,106 stores compared to 1,052 stores at March 31, 2014. We did not observe any material trends in specific payroll, travel or other expenses that contributed significantly to the increase in general and administrative expenses apart from the increase due to the management of additional stores.</w:t>
      </w:r>
    </w:p>
    <w:p>
      <w:pPr>
        <w:spacing w:after="0" w:line="18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18"/>
          <w:szCs w:val="18"/>
          <w:color w:val="auto"/>
        </w:rPr>
        <w:t>Depreciation and amortization expense increased as a result of the acquisition of new stores. We acquired eight stores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three months ended March 31, 2015 and 51 stores during 2014.</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other revenues and expenses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22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Ended March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income and expenses:</w:t>
            </w: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$(21,431)</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$(19,598)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(1,833)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Non-cash interest expense related to amortization of discount on equity</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component of exchangeable senior notes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(697)</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856</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587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Interest income on note receivable from Preferred Operating Partnership</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unit holder</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1,213</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Equity in earnings of unconsolidated real estate ventures</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2,650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231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Equity in earnings of unconsolidated real estate ventures—gain on sale of</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real estate assets and purchase of joint venture partners’ interests</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2,857</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2,857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(2,248)</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582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(16,800)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(19,189)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Interest Expense—</w:t>
      </w:r>
      <w:r>
        <w:rPr>
          <w:rFonts w:ascii="Arial" w:cs="Arial" w:eastAsia="Arial" w:hAnsi="Arial"/>
          <w:sz w:val="16"/>
          <w:szCs w:val="16"/>
          <w:color w:val="auto"/>
        </w:rPr>
        <w:t>The increase in interest expense during the three months ended March 31, 2015 was the result of an increase in debt over the same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prior year. The total face value of our debt, including our lines of credit, was $2,441,547 at March 31, 2015 compared to $2,121,462 at March 31, 2014.</w:t>
      </w:r>
    </w:p>
    <w:p>
      <w:pPr>
        <w:spacing w:after="0" w:line="11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Non-cash Interest Expense Related to Amortization of Discount on Equity Component of Exchangeable Senior Notes—</w:t>
      </w:r>
      <w:r>
        <w:rPr>
          <w:rFonts w:ascii="Arial" w:cs="Arial" w:eastAsia="Arial" w:hAnsi="Arial"/>
          <w:sz w:val="18"/>
          <w:szCs w:val="18"/>
          <w:color w:val="auto"/>
        </w:rPr>
        <w:t>Represents the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discount related to the equity component of the exchangeable senior notes issued by our Operating Partnership, which reflects the effective interest rate of 4.0% relative to the carrying amount of the liability.</w:t>
      </w:r>
    </w:p>
    <w:p>
      <w:pPr>
        <w:spacing w:after="0" w:line="176"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Interest income represents amounts earned on cash and cash equivalents deposited with financial institutions and interest earned on notes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The increase for the three months ended March 31, 2015 related primarily to an increase in the average balance of notes receivable compared to the same period in the prior year.</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Interest Income on Note Receivable from Preferred Operating Partnership Unit Holders—</w:t>
      </w:r>
      <w:r>
        <w:rPr>
          <w:rFonts w:ascii="Arial" w:cs="Arial" w:eastAsia="Arial" w:hAnsi="Arial"/>
          <w:sz w:val="18"/>
          <w:szCs w:val="18"/>
          <w:color w:val="auto"/>
        </w:rPr>
        <w:t>Represents interest on a $100,000 loan to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 Participating Redeemable Preferred Units of our Operating Partnership (“Series A Units”).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Equity in Earnings of Unconsolidated Real Estate Ventures—</w:t>
      </w:r>
      <w:r>
        <w:rPr>
          <w:rFonts w:ascii="Arial" w:cs="Arial" w:eastAsia="Arial" w:hAnsi="Arial"/>
          <w:sz w:val="18"/>
          <w:szCs w:val="18"/>
          <w:color w:val="auto"/>
        </w:rPr>
        <w:t>Equity in earnings of unconsolidated real estate ventures represents the income earned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our ownership interests in unconsolidated joint ventures. The increase for the three months ended March 31, 2015 compared to the same period in the prior year was primarily the result of increases in revenue at the stores owned by the joint ventures. Occupancy at our joint venture stores increased to 92.4% as of March 31, 2015, compared to 90.7% as of March 31, 2014.</w:t>
      </w:r>
    </w:p>
    <w:p>
      <w:pPr>
        <w:spacing w:after="0" w:line="180"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Equity in Earnings of Unconsolidated Real Estate Ventures—Gain on Sale of Real Estate Assets and Purchase of Joint Venture Partners’ Interests— </w:t>
      </w:r>
      <w:r>
        <w:rPr>
          <w:rFonts w:ascii="Arial" w:cs="Arial" w:eastAsia="Arial" w:hAnsi="Arial"/>
          <w:sz w:val="17"/>
          <w:szCs w:val="17"/>
          <w:color w:val="auto"/>
        </w:rPr>
        <w:t>During March 2015, one of our joint ventures sold a store located in New York to a third party and recognized a gain of $60,496. We recognized our 2.0% share of this gain, or $1,228. Additionally, in March 2015 we acquired a joint venture partner’s 82.4% equity interest in an existing joint venture. We previously held the remaining 17.6% equity interest in this joint venture. Prior to the acquisition, we accounted for our equity interest in this joint venture as an equity-method investment. We recognized a non-cash gain of $1,629 during the three months ended March 31, 2015 as a result of re-measuring the fair value of our equity interest in this joint venture held before the acquisition.</w:t>
      </w:r>
    </w:p>
    <w:p>
      <w:pPr>
        <w:spacing w:after="0" w:line="17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color w:val="auto"/>
        </w:rPr>
        <w:t>For the three months ended March 31, 2015, the decrease in income tax expense was related to a royalty charged to our TRS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Partnership for access to and use of customer lists and intellectual property. The effect of this change lowered the taxable income of the TRS, which resulted in lower income tax expense.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Allocated to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net income allocated to noncontrolling interests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Ended March 31,</w:t>
            </w:r>
          </w:p>
        </w:tc>
        <w:tc>
          <w:tcPr>
            <w:tcW w:w="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allocated to noncontrolling interests:</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00" w:type="dxa"/>
            <w:vAlign w:val="bottom"/>
          </w:tcPr>
          <w:p>
            <w:pPr>
              <w:ind w:left="360"/>
              <w:spacing w:after="0" w:line="201" w:lineRule="exact"/>
              <w:rPr>
                <w:sz w:val="20"/>
                <w:szCs w:val="20"/>
                <w:color w:val="auto"/>
              </w:rPr>
            </w:pPr>
            <w:r>
              <w:rPr>
                <w:rFonts w:ascii="Arial" w:cs="Arial" w:eastAsia="Arial" w:hAnsi="Arial"/>
                <w:sz w:val="18"/>
                <w:szCs w:val="18"/>
                <w:color w:val="auto"/>
              </w:rPr>
              <w:t>Net income allocated to Preferred Operating Partnership noncontrolling</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540"/>
              <w:spacing w:after="0"/>
              <w:rPr>
                <w:sz w:val="20"/>
                <w:szCs w:val="20"/>
                <w:color w:val="auto"/>
              </w:rPr>
            </w:pPr>
            <w:r>
              <w:rPr>
                <w:rFonts w:ascii="Arial" w:cs="Arial" w:eastAsia="Arial" w:hAnsi="Arial"/>
                <w:sz w:val="18"/>
                <w:szCs w:val="18"/>
                <w:color w:val="auto"/>
              </w:rPr>
              <w:t>interests</w:t>
            </w:r>
          </w:p>
        </w:tc>
        <w:tc>
          <w:tcPr>
            <w:tcW w:w="1040" w:type="dxa"/>
            <w:vAlign w:val="bottom"/>
            <w:gridSpan w:val="4"/>
          </w:tcPr>
          <w:p>
            <w:pPr>
              <w:jc w:val="right"/>
              <w:ind w:right="400"/>
              <w:spacing w:after="0"/>
              <w:rPr>
                <w:sz w:val="20"/>
                <w:szCs w:val="20"/>
                <w:color w:val="auto"/>
              </w:rPr>
            </w:pPr>
            <w:r>
              <w:rPr>
                <w:rFonts w:ascii="Arial" w:cs="Arial" w:eastAsia="Arial" w:hAnsi="Arial"/>
                <w:sz w:val="18"/>
                <w:szCs w:val="18"/>
                <w:color w:val="auto"/>
                <w:w w:val="92"/>
              </w:rPr>
              <w:t>$(2,926)</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$(2,492)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(434)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income allocated to Operating Partnership and other noncontrolling</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interests</w:t>
            </w:r>
          </w:p>
        </w:tc>
        <w:tc>
          <w:tcPr>
            <w:tcW w:w="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(1,968)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720"/>
              <w:spacing w:after="0"/>
              <w:rPr>
                <w:sz w:val="20"/>
                <w:szCs w:val="20"/>
                <w:color w:val="auto"/>
              </w:rPr>
            </w:pPr>
            <w:r>
              <w:rPr>
                <w:rFonts w:ascii="Arial" w:cs="Arial" w:eastAsia="Arial" w:hAnsi="Arial"/>
                <w:sz w:val="18"/>
                <w:szCs w:val="18"/>
                <w:color w:val="auto"/>
              </w:rPr>
              <w:t>Total income allocated to noncontrolling interests:</w:t>
            </w:r>
          </w:p>
        </w:tc>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gridSpan w:val="2"/>
            <w:vMerge w:val="restart"/>
          </w:tcPr>
          <w:p>
            <w:pPr>
              <w:jc w:val="right"/>
              <w:ind w:right="400"/>
              <w:spacing w:after="0"/>
              <w:rPr>
                <w:sz w:val="20"/>
                <w:szCs w:val="20"/>
                <w:color w:val="auto"/>
              </w:rPr>
            </w:pPr>
            <w:r>
              <w:rPr>
                <w:rFonts w:ascii="Arial" w:cs="Arial" w:eastAsia="Arial" w:hAnsi="Arial"/>
                <w:sz w:val="16"/>
                <w:szCs w:val="16"/>
                <w:color w:val="auto"/>
                <w:w w:val="74"/>
              </w:rPr>
              <w:t>)</w:t>
            </w: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0"/>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(4,894</w:t>
            </w:r>
          </w:p>
        </w:tc>
        <w:tc>
          <w:tcPr>
            <w:tcW w:w="46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(3,869</w:t>
            </w:r>
          </w:p>
        </w:tc>
        <w:tc>
          <w:tcPr>
            <w:tcW w:w="2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(1,025</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Net Income Allocated to Preferred Operating Partnership Noncontrolling Interests—</w:t>
      </w:r>
      <w:r>
        <w:rPr>
          <w:rFonts w:ascii="Arial" w:cs="Arial" w:eastAsia="Arial" w:hAnsi="Arial"/>
          <w:sz w:val="18"/>
          <w:szCs w:val="18"/>
          <w:color w:val="auto"/>
        </w:rPr>
        <w:t>In December 2014, as part of the acquisition of a single store,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Partnership issued 548,390 Series D Units. The Series D Units have a liquidation value of $25.00 per unit, and receive distributions at an annual rate of 5.0%.</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Between December 2013 and May 2014, as part of the Grupe acquisition, our Operating Partnership issued 704,016 Series C Units. The Series C Units have a liquidation value of $42.10 per unit. From issuance until the fifth anniversary of issuance, the Series C Units receive distributions at an annual rate of $0.18 plus the then-payable quarterly distribution per OP Unit.</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April 2014, as part of a single store acquisition, our Operating Partnership issued 333,360 Series B Units. In August and September 2013, as part of a portfolio acquisition, our Operating Partnership issued an additional 1,342,727 Series B Units. The Series B Units have a liquidation value of $25.00 per unit and receive distributions at an annual rate of 6%.</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Income allocated to the Preferred Operating Partnership noncontrolling interests for the three months ended March 31, 2015 represents the fixed distributions paid to holders of the Series A Units, Series B Units, Series C Units and Series D Units, plus approximately 0.7% of the remaining net income allocated to holders of the Series A Units.</w:t>
      </w:r>
    </w:p>
    <w:p>
      <w:pPr>
        <w:spacing w:after="0" w:line="17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Net Income Allocated to Operating Partnership and Other Noncontrolling Interests—</w:t>
      </w:r>
      <w:r>
        <w:rPr>
          <w:rFonts w:ascii="Arial" w:cs="Arial" w:eastAsia="Arial" w:hAnsi="Arial"/>
          <w:sz w:val="18"/>
          <w:szCs w:val="18"/>
          <w:color w:val="auto"/>
        </w:rPr>
        <w:t>Income allocated to the Operating Partnership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3.5% of net income after the allocation of the fixed distribution paid to the Preferred Operating Partnership unit holders for the three months ended March 31, 2015 and 2014.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liquidity, or an indicator of our ability to make cash distributions.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244"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For the Three</w:t>
      </w:r>
    </w:p>
    <w:p>
      <w:pPr>
        <w:jc w:val="center"/>
        <w:ind w:left="9700"/>
        <w:spacing w:after="0" w:line="226" w:lineRule="auto"/>
        <w:rPr>
          <w:sz w:val="20"/>
          <w:szCs w:val="20"/>
          <w:color w:val="auto"/>
        </w:rPr>
      </w:pPr>
      <w:r>
        <w:rPr>
          <w:rFonts w:ascii="Arial" w:cs="Arial" w:eastAsia="Arial" w:hAnsi="Arial"/>
          <w:sz w:val="14"/>
          <w:szCs w:val="14"/>
          <w:b w:val="1"/>
          <w:bCs w:val="1"/>
          <w:color w:val="auto"/>
        </w:rPr>
        <w:t>Months Ended</w:t>
      </w:r>
    </w:p>
    <w:p>
      <w:pPr>
        <w:jc w:val="center"/>
        <w:ind w:left="970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$53,742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$37,340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80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 depreciation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26,118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2,797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Unconsolidated joint venture real estate depreciation and amortization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Unconsolidated joint venture gain on sale of real estate and purchase of partners’ interests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(2,857)</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paid on Series A Preferred Operating Partnership units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4,893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7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84,476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RESULTS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consider our same-store stabilized portfolio to consist of only those stores that were wholly-owned at the beginning and at the end of the applicable periods presented that have achieved stabilization as of the first day of such period. The following table presents operating data for our same-store portfolio. We consider the following same-store presentation to be meaningful in regards to the stores shown below because these results provide information relating to store-level operating changes without the effects of acquisitions or completed developments.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Ended March 31,</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9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Same-store rental and tenant reinsurance revenues</w:t>
            </w:r>
          </w:p>
        </w:tc>
        <w:tc>
          <w:tcPr>
            <w:tcW w:w="6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$139,652</w:t>
            </w:r>
          </w:p>
        </w:tc>
        <w:tc>
          <w:tcPr>
            <w:tcW w:w="3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$128,930</w:t>
            </w:r>
          </w:p>
        </w:tc>
        <w:tc>
          <w:tcPr>
            <w:tcW w:w="3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Same-store operating and tenant reinsurance expenses</w:t>
            </w: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42,278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41,559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Same-store net operating income</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Non same-store rental and tenant reinsurance revenues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25,752</w:t>
            </w:r>
          </w:p>
        </w:tc>
        <w:tc>
          <w:tcPr>
            <w:tcW w:w="3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16,534</w:t>
            </w:r>
          </w:p>
        </w:tc>
        <w:tc>
          <w:tcPr>
            <w:tcW w:w="340" w:type="dxa"/>
            <w:vAlign w:val="bottom"/>
          </w:tcPr>
          <w:p>
            <w:pPr>
              <w:spacing w:after="0"/>
              <w:rPr>
                <w:sz w:val="24"/>
                <w:szCs w:val="2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 same-store operating and tenant reinsurance expenses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7,894</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Total rental and tenant reinsurance revenues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165,404</w:t>
            </w:r>
          </w:p>
        </w:tc>
        <w:tc>
          <w:tcPr>
            <w:tcW w:w="3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145,464</w:t>
            </w:r>
          </w:p>
        </w:tc>
        <w:tc>
          <w:tcPr>
            <w:tcW w:w="340" w:type="dxa"/>
            <w:vAlign w:val="bottom"/>
          </w:tcPr>
          <w:p>
            <w:pPr>
              <w:spacing w:after="0"/>
              <w:rPr>
                <w:sz w:val="24"/>
                <w:szCs w:val="2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and tenant reinsurance expenses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50,172</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46,049</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auto"/>
              </w:rPr>
              <w:t>Same-store square foot occupancy as of quarter end</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92.5%</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increase in same-store rental revenues for the three months ended March 31, 2015, as compared to the three months ended March 31, 2014, was due primarily to an increase in occupancy of 270 basis points and higher rental rates for both new and existing customers. Rental rates to new tenants for the three months ended March 31, 2015 increased an average of approximately 5.0% compared to the same period in the prior year. Same-store expenses were higher for the three months ended March 31, 2015 due to increases in property tax expense and repairs and maintenance. These increases in expenses were partially offset by decreases in property insurance and property operating expenses during the three months ended March 31, 2015.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Cash flows provided by operating activities were $87,439 and $64,572, respectively, for the three months ended March 31, 2015 and 2014. The increase compared to the same period of the prior year primarily related to an increase in net income of $17,427. The remaining portion of the change related to an increase in accounts payable and accrued expenses of $13,747, an increase in other assets of $4,085 and a decrease in other liabilities of $4,213.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used in investing activities was $91,511 and $256,608, respectively, for the three months ended March 31, 2015 and 2014. The decrease was primarily due to a decrease in acquisition activity. Cash used in the acquisition of real estate assets decrease $176,857 during the three months ended March 31, 2015 compared to the same period in the prior year. We acquired eight stores during the three months ended March 31, 2015 compared to 21 stores acquired during the same period of the prior year.</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provided by financing activities was $1,713 and $112,238, respectively, for the three months ended March 31, 2015 and 2014. The change related primarily to an increase of $100,997 in the cash paid for principal payments on notes payable and lines of credit. There was also an increase of $8,385 in the cash paid for dividends on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of March 31, 2015, we had $45,304 available in cash and cash equivalents. We intend to use this cash to pay for future acquisitions, to repay debt and for general corporate purposes. We are required to distribute at least 90% of our net taxable income, excluding net capital gains, to our stockholders on an annual basis to maintain our qualification as a REIT.</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cash and cash equivalents are held in accounts managed by third-party financial institutions and consist of invested cash and cash in our operating accounts. During 2014 and the first three months of 2015, we experienced no loss or lack of access to our cash or cash equivalents; however, there can be no assurance that access to our cash and cash equivalents will not be impacted by adverse conditions in the financial markets.</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presents information on our lines of credit for the periods indicated. All of our lines of credit are guaranteed by us and secured by mortgages on certain real estate assets.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ind w:left="340"/>
              <w:spacing w:after="0"/>
              <w:rPr>
                <w:sz w:val="20"/>
                <w:szCs w:val="20"/>
                <w:color w:val="auto"/>
              </w:rPr>
            </w:pPr>
            <w:r>
              <w:rPr>
                <w:rFonts w:ascii="Arial" w:cs="Arial" w:eastAsia="Arial" w:hAnsi="Arial"/>
                <w:sz w:val="14"/>
                <w:szCs w:val="14"/>
                <w:b w:val="1"/>
                <w:bCs w:val="1"/>
                <w:color w:val="auto"/>
              </w:rPr>
              <w:t>As of March 31, 2015</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Origination</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5"/>
              </w:rPr>
              <w:t>Line of Credit</w:t>
            </w:r>
          </w:p>
        </w:tc>
        <w:tc>
          <w:tcPr>
            <w:tcW w:w="4020" w:type="dxa"/>
            <w:vAlign w:val="bottom"/>
            <w:vMerge w:val="restart"/>
          </w:tcPr>
          <w:p>
            <w:pPr>
              <w:spacing w:after="0"/>
              <w:rPr>
                <w:sz w:val="10"/>
                <w:szCs w:val="10"/>
                <w:color w:val="auto"/>
              </w:rPr>
            </w:pPr>
          </w:p>
        </w:tc>
        <w:tc>
          <w:tcPr>
            <w:tcW w:w="800" w:type="dxa"/>
            <w:vAlign w:val="bottom"/>
            <w:tcBorders>
              <w:top w:val="single" w:sz="8" w:color="auto"/>
            </w:tcBorders>
            <w:gridSpan w:val="3"/>
          </w:tcPr>
          <w:p>
            <w:pPr>
              <w:ind w:left="40"/>
              <w:spacing w:after="0" w:line="115" w:lineRule="exact"/>
              <w:rPr>
                <w:sz w:val="20"/>
                <w:szCs w:val="20"/>
                <w:color w:val="auto"/>
              </w:rPr>
            </w:pPr>
            <w:r>
              <w:rPr>
                <w:rFonts w:ascii="Arial" w:cs="Arial" w:eastAsia="Arial" w:hAnsi="Arial"/>
                <w:sz w:val="13"/>
                <w:szCs w:val="13"/>
                <w:b w:val="1"/>
                <w:bCs w:val="1"/>
                <w:color w:val="auto"/>
              </w:rPr>
              <w:t>Amount</w:t>
            </w:r>
          </w:p>
        </w:tc>
        <w:tc>
          <w:tcPr>
            <w:tcW w:w="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Capacity</w:t>
            </w:r>
          </w:p>
        </w:tc>
        <w:tc>
          <w:tcPr>
            <w:tcW w:w="200" w:type="dxa"/>
            <w:vAlign w:val="bottom"/>
            <w:tcBorders>
              <w:top w:val="single" w:sz="8" w:color="auto"/>
            </w:tcBorders>
            <w:vMerge w:val="restart"/>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Interest</w:t>
            </w:r>
          </w:p>
        </w:tc>
        <w:tc>
          <w:tcPr>
            <w:tcW w:w="3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Basis Rate (2)</w:t>
            </w:r>
          </w:p>
        </w:tc>
        <w:tc>
          <w:tcPr>
            <w:tcW w:w="100" w:type="dxa"/>
            <w:vAlign w:val="bottom"/>
            <w:vMerge w:val="restart"/>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176"/>
        </w:trPr>
        <w:tc>
          <w:tcPr>
            <w:tcW w:w="880" w:type="dxa"/>
            <w:vAlign w:val="bottom"/>
            <w:tcBorders>
              <w:bottom w:val="single" w:sz="8" w:color="auto"/>
            </w:tcBorders>
            <w:vMerge w:val="continue"/>
          </w:tcPr>
          <w:p>
            <w:pPr>
              <w:spacing w:after="0"/>
              <w:rPr>
                <w:sz w:val="15"/>
                <w:szCs w:val="15"/>
                <w:color w:val="auto"/>
              </w:rPr>
            </w:pPr>
          </w:p>
        </w:tc>
        <w:tc>
          <w:tcPr>
            <w:tcW w:w="402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Drawn</w:t>
            </w: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98"/>
              </w:rPr>
              <w:t>Credit Line</w:t>
            </w:r>
          </w:p>
        </w:tc>
        <w:tc>
          <w:tcPr>
            <w:tcW w:w="4020" w:type="dxa"/>
            <w:vAlign w:val="bottom"/>
            <w:shd w:val="clear" w:color="auto" w:fill="CCEEFF"/>
          </w:tcPr>
          <w:p>
            <w:pPr>
              <w:jc w:val="right"/>
              <w:ind w:right="3865"/>
              <w:spacing w:after="0"/>
              <w:rPr>
                <w:sz w:val="20"/>
                <w:szCs w:val="20"/>
                <w:color w:val="auto"/>
              </w:rPr>
            </w:pPr>
            <w:r>
              <w:rPr>
                <w:rFonts w:ascii="Arial" w:cs="Arial" w:eastAsia="Arial" w:hAnsi="Arial"/>
                <w:sz w:val="15"/>
                <w:szCs w:val="15"/>
                <w:color w:val="auto"/>
                <w:w w:val="71"/>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6/4/2010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6/3/2016</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Credit Line 2</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11/16/2010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2/13/2017</w:t>
            </w: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LIBOR plus 1.8%</w:t>
            </w: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Line 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4/29/2011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11/18/2016</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LIBOR plus 1.7%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Credit Line 4</w:t>
            </w: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40,000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9/29/2014</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9/29/2017</w:t>
            </w: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LIBOR plus 1.7%</w:t>
            </w: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99,000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265,000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in thousands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30-day USD LIBOR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two-year extension available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one-year extensions available</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2015, we had $2,441,547 face value of debt, resulting in a debt to total enterprise value ratio of 23.7%. As of March 31, 2015, the ratio of total fixed-rate debt and other instruments to total debt was 69.2% (including $921,635 on which we have interest rate swaps that have been included as fixed-rate debt). The weighted average interest rate of the total of fixed- and variable-rate debt at March 31, 2015 was 3.4%. Certain of our real estate assets are pledged as collateral for our debt. We are subject to certain restrictive covenants relating to our outstanding debt. We were in compliance with all financial covenants at March 31, 2015.</w:t>
      </w:r>
    </w:p>
    <w:p>
      <w:pPr>
        <w:spacing w:after="0" w:line="18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lines of credit. In addition, we are pursuing additional term loans secured by unencumbered stores.</w:t>
      </w:r>
    </w:p>
    <w:p>
      <w:pPr>
        <w:spacing w:after="0" w:line="16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liquidity needs consist primarily of cash distributions to stockholders, store acquisitions, principal payments under our borrowings and non-recurring capital expenditures. We may from time to time seek to repurchase our outstanding debt, shares of common stock or other securities in open market purchases, privately negotiated transactions or otherwise. Such repurchases, if any, will depend 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prevailing market conditions, our liquidity requirements, contractual restrictions and other factors. In addition, we evaluate, on an ongoing basis, the merits of strategic acquisitions and other relationships, which may require us to raise additional funds. We do not expect that our operating cash flow or cash balances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 privileges senior to holders of our common stock. We may also use Operating Partnership units as currency to fund acquisitions from self-storage owners who desire tax-deferral in their exiting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future payments due by period as of March 31,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Payments due by Period: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jc w:val="right"/>
              <w:ind w:right="200"/>
              <w:spacing w:after="0" w:line="123" w:lineRule="exact"/>
              <w:rPr>
                <w:sz w:val="20"/>
                <w:szCs w:val="20"/>
                <w:color w:val="auto"/>
              </w:rPr>
            </w:pPr>
            <w:r>
              <w:rPr>
                <w:rFonts w:ascii="Arial" w:cs="Arial" w:eastAsia="Arial" w:hAnsi="Arial"/>
                <w:sz w:val="14"/>
                <w:szCs w:val="14"/>
                <w:color w:val="auto"/>
                <w:w w:val="94"/>
              </w:rPr>
              <w:t>Less Than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96"/>
              <w:spacing w:after="0" w:line="123" w:lineRule="exact"/>
              <w:rPr>
                <w:sz w:val="20"/>
                <w:szCs w:val="20"/>
                <w:color w:val="auto"/>
              </w:rPr>
            </w:pPr>
            <w:r>
              <w:rPr>
                <w:rFonts w:ascii="Arial" w:cs="Arial" w:eastAsia="Arial" w:hAnsi="Arial"/>
                <w:sz w:val="14"/>
                <w:szCs w:val="14"/>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1 Year</w:t>
            </w:r>
          </w:p>
        </w:tc>
        <w:tc>
          <w:tcPr>
            <w:tcW w:w="16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color w:val="auto"/>
                <w:w w:val="98"/>
              </w:rPr>
              <w:t>1-3 Years</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w w:val="98"/>
              </w:rPr>
              <w:t>3-5 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Notes payable, notes payable to trusts and lines of credit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359,891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110,230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Principal</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2,441,547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263,825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741,759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820,741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615,222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2,867,700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344,385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860,530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890,691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772,094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operating leases above include minimum future lease payments on leases for 17 of our operating stores as well as leases of our corporate offices. Two ground leases include additional contingent rental payments based on the level of revenue achieved at the store.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2015, the weighted average interest rate for all fixed-rate loans was 4.0%, and the weighted-average interest rate for all variable-rate loans was 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that limits the total amount of indebtedness that we may incur, we will consider a number of factors in evaluating our level of indebtedness from time to time, as well as the amount of such indebtedness that will be either fixed- or variable-rate. In making financing decisions, we will consider factors including but not limited to:</w:t>
      </w:r>
    </w:p>
    <w:p>
      <w:pPr>
        <w:spacing w:after="0" w:line="9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stores;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price of stores acquired with debt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of particular stores, and our company as a whole, to generate cash flow sufficient to cover expected debt service payments;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ratio of fixed- and variable-rate debt.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stores to which the indebtedness relates. In addition, we may invest in stores subject to existing loans collateralized by mortgages or similar liens on our stores, or we may refinance stores acquired on a leveraged basis. We may use the proceeds from any borrowings to refinance existing indebtedness, to refinance investments, including the redevelopment of existing stores, for general working capital or to purchase additional interests in partnerships or joint ventures or for other purposes when we believe it is advisable.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326" w:lineRule="exact"/>
        <w:rPr>
          <w:sz w:val="20"/>
          <w:szCs w:val="20"/>
          <w:color w:val="auto"/>
        </w:rPr>
      </w:pPr>
    </w:p>
    <w:p>
      <w:pPr>
        <w:ind w:right="3840"/>
        <w:spacing w:after="0" w:line="377" w:lineRule="auto"/>
        <w:rPr>
          <w:sz w:val="20"/>
          <w:szCs w:val="20"/>
          <w:color w:val="auto"/>
        </w:rPr>
      </w:pPr>
      <w:r>
        <w:rPr>
          <w:rFonts w:ascii="Arial" w:cs="Arial" w:eastAsia="Arial" w:hAnsi="Arial"/>
          <w:sz w:val="18"/>
          <w:szCs w:val="18"/>
          <w:b w:val="1"/>
          <w:bCs w:val="1"/>
          <w:color w:val="auto"/>
        </w:rPr>
        <w:t>ITEM 3. QUANTITATIVE AND QUALITATIVE DISCLOSURES ABOUT MARKET RISK Amounts in thousands, except store and share data, unless otherwise stated Market Risk</w:t>
      </w:r>
    </w:p>
    <w:p>
      <w:pPr>
        <w:spacing w:after="0" w:line="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of March 31, 2015, we had $2,441,547 in total face value of debt, of which $753,148 was subject to variable interest rates (excluding debt with interest rate swaps). If LIBOR were to increase or decrease by 100 basis points, the increase or decrease in interest expense on the variable-rate debt (excluding variable-rate debt with interest rate floors) would increase or decrease future earnings and cash flows by $7,156 annually.</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fixed-rate assets and liabilities were as follows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 2014</w:t>
            </w:r>
          </w:p>
        </w:tc>
      </w:tr>
      <w:tr>
        <w:trPr>
          <w:trHeight w:val="123"/>
        </w:trPr>
        <w:tc>
          <w:tcPr>
            <w:tcW w:w="5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00"/>
              <w:spacing w:after="0" w:line="123" w:lineRule="exact"/>
              <w:rPr>
                <w:sz w:val="20"/>
                <w:szCs w:val="20"/>
                <w:color w:val="auto"/>
              </w:rPr>
            </w:pPr>
            <w:r>
              <w:rPr>
                <w:rFonts w:ascii="Arial" w:cs="Arial" w:eastAsia="Arial" w:hAnsi="Arial"/>
                <w:sz w:val="14"/>
                <w:szCs w:val="14"/>
                <w:color w:val="auto"/>
                <w:w w:val="91"/>
              </w:rPr>
              <w:t>Fair</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57"/>
              <w:spacing w:after="0" w:line="123" w:lineRule="exact"/>
              <w:rPr>
                <w:sz w:val="20"/>
                <w:szCs w:val="20"/>
                <w:color w:val="auto"/>
              </w:rPr>
            </w:pPr>
            <w:r>
              <w:rPr>
                <w:rFonts w:ascii="Arial" w:cs="Arial" w:eastAsia="Arial" w:hAnsi="Arial"/>
                <w:sz w:val="14"/>
                <w:szCs w:val="14"/>
                <w:color w:val="auto"/>
              </w:rPr>
              <w:t>Carrying</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23" w:lineRule="exact"/>
              <w:rPr>
                <w:sz w:val="20"/>
                <w:szCs w:val="20"/>
                <w:color w:val="auto"/>
              </w:rPr>
            </w:pPr>
            <w:r>
              <w:rPr>
                <w:rFonts w:ascii="Arial" w:cs="Arial" w:eastAsia="Arial" w:hAnsi="Arial"/>
                <w:sz w:val="14"/>
                <w:szCs w:val="14"/>
                <w:color w:val="auto"/>
                <w:w w:val="99"/>
              </w:rPr>
              <w:t>Fair</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57"/>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r>
      <w:tr>
        <w:trPr>
          <w:trHeight w:val="167"/>
        </w:trPr>
        <w:tc>
          <w:tcPr>
            <w:tcW w:w="5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Value</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Notes receivable from Preferred Operating Partnership unit holders</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129,102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Fixed rate notes payable and notes payable to trusts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1,487,014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1,438,400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1,320,370</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1,283,893</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310,625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276,095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365"/>
        </w:trPr>
        <w:tc>
          <w:tcPr>
            <w:tcW w:w="5000" w:type="dxa"/>
            <w:vAlign w:val="bottom"/>
          </w:tcPr>
          <w:p>
            <w:pPr>
              <w:spacing w:after="0"/>
              <w:rPr>
                <w:sz w:val="24"/>
                <w:szCs w:val="24"/>
                <w:color w:val="auto"/>
              </w:rPr>
            </w:pPr>
          </w:p>
        </w:tc>
        <w:tc>
          <w:tcPr>
            <w:tcW w:w="900" w:type="dxa"/>
            <w:vAlign w:val="bottom"/>
          </w:tcPr>
          <w:p>
            <w:pPr>
              <w:jc w:val="right"/>
              <w:ind w:right="4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fair values of our notes receivable from Preferred Operating Partnership unit holders were based on the discounted estimated future cash flows of the notes (categorized within Level 3 of the fair value hierarchy); the discount rate used approximated the current market rate for loans with similar maturities and credit quality. The fair values of our fixed-rate notes payable and notes payable to trusts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our exchangeable senior notes was estimated using an average market price for similar securities obtained from a third party.</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Disclosure Controls and Procedures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or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We have a disclosure committee that is responsible for considering the materiality of information and determining our disclosure obligations a timely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committee meets quarterly and reports directly to our Chief Executive Officer and Chief Financial Officer.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Changes in internal control over financial reporting</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are involved in various litigation and legal proceedings in the ordinary course of business. We are not a party to any material litigation or legal proceedings, or to the best of our knowledge, any threatened litigation or legal proceedings which, in the opinion of management, are expected to have a material adverse effect on our financial condition or results of operations either individually or in the aggregate.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disclosed in our 2014 Annual Report on Form 10-K.</w:t>
      </w:r>
    </w:p>
    <w:p>
      <w:pPr>
        <w:spacing w:after="0" w:line="370" w:lineRule="exact"/>
        <w:rPr>
          <w:sz w:val="20"/>
          <w:szCs w:val="20"/>
          <w:color w:val="auto"/>
        </w:rPr>
      </w:pPr>
    </w:p>
    <w:p>
      <w:pPr>
        <w:ind w:right="3960"/>
        <w:spacing w:after="0" w:line="401"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117" w:lineRule="exact"/>
        <w:rPr>
          <w:sz w:val="20"/>
          <w:szCs w:val="20"/>
          <w:color w:val="auto"/>
        </w:rPr>
      </w:pPr>
    </w:p>
    <w:p>
      <w:pPr>
        <w:ind w:left="820" w:hanging="719"/>
        <w:spacing w:after="0" w:line="277"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of the Chief Executive Officer and Chief Financial Officer pursuant to 18 U.S.C. Section 1350, as adopted pursuant to Section 906 of the Sarbanes-Oxley Act of 2002.</w:t>
      </w:r>
    </w:p>
    <w:p>
      <w:pPr>
        <w:spacing w:after="0" w:line="62" w:lineRule="exact"/>
        <w:rPr>
          <w:sz w:val="20"/>
          <w:szCs w:val="20"/>
          <w:color w:val="auto"/>
        </w:rPr>
      </w:pPr>
    </w:p>
    <w:p>
      <w:pPr>
        <w:ind w:left="820" w:right="40" w:hanging="812"/>
        <w:spacing w:after="0" w:line="302"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materials from Extra Space Storage Inc.’s Quarterly Report on Form 10-Q for the quarter ended March 31, 2015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459" w:right="3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EXTRA SPACE STORAGE INC.</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Registrant</w:t>
            </w:r>
          </w:p>
        </w:tc>
      </w:tr>
      <w:tr>
        <w:trPr>
          <w:trHeight w:val="446"/>
        </w:trPr>
        <w:tc>
          <w:tcPr>
            <w:tcW w:w="3500" w:type="dxa"/>
            <w:vAlign w:val="bottom"/>
          </w:tcPr>
          <w:p>
            <w:pPr>
              <w:spacing w:after="0"/>
              <w:rPr>
                <w:sz w:val="20"/>
                <w:szCs w:val="20"/>
                <w:color w:val="auto"/>
              </w:rPr>
            </w:pPr>
            <w:r>
              <w:rPr>
                <w:rFonts w:ascii="Arial" w:cs="Arial" w:eastAsia="Arial" w:hAnsi="Arial"/>
                <w:sz w:val="18"/>
                <w:szCs w:val="18"/>
                <w:color w:val="auto"/>
              </w:rPr>
              <w:t>Date: May 8, 2015</w:t>
            </w:r>
          </w:p>
        </w:tc>
        <w:tc>
          <w:tcPr>
            <w:tcW w:w="24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Spencer F. Kirk</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Arial" w:cs="Arial" w:eastAsia="Arial" w:hAnsi="Arial"/>
                <w:sz w:val="18"/>
                <w:szCs w:val="18"/>
                <w:color w:val="auto"/>
              </w:rPr>
              <w:t>Spencer F. Kirk</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446"/>
        </w:trPr>
        <w:tc>
          <w:tcPr>
            <w:tcW w:w="3500" w:type="dxa"/>
            <w:vAlign w:val="bottom"/>
          </w:tcPr>
          <w:p>
            <w:pPr>
              <w:spacing w:after="0"/>
              <w:rPr>
                <w:sz w:val="20"/>
                <w:szCs w:val="20"/>
                <w:color w:val="auto"/>
              </w:rPr>
            </w:pPr>
            <w:r>
              <w:rPr>
                <w:rFonts w:ascii="Arial" w:cs="Arial" w:eastAsia="Arial" w:hAnsi="Arial"/>
                <w:sz w:val="18"/>
                <w:szCs w:val="18"/>
                <w:color w:val="auto"/>
              </w:rPr>
              <w:t>Date: May 8, 2015</w:t>
            </w:r>
          </w:p>
        </w:tc>
        <w:tc>
          <w:tcPr>
            <w:tcW w:w="24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 Scott Stubbs</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Arial" w:cs="Arial" w:eastAsia="Arial" w:hAnsi="Arial"/>
                <w:sz w:val="18"/>
                <w:szCs w:val="18"/>
                <w:color w:val="auto"/>
              </w:rPr>
              <w:t>P. Scott Stubbs</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Officer)</w:t>
            </w:r>
          </w:p>
        </w:tc>
      </w:tr>
      <w:tr>
        <w:trPr>
          <w:trHeight w:val="378"/>
        </w:trPr>
        <w:tc>
          <w:tcPr>
            <w:tcW w:w="3500" w:type="dxa"/>
            <w:vAlign w:val="bottom"/>
          </w:tcPr>
          <w:p>
            <w:pPr>
              <w:spacing w:after="0"/>
              <w:rPr>
                <w:sz w:val="24"/>
                <w:szCs w:val="24"/>
                <w:color w:val="auto"/>
              </w:rPr>
            </w:pPr>
          </w:p>
        </w:tc>
        <w:tc>
          <w:tcPr>
            <w:tcW w:w="246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Spencer F. Kirk, certify that:</w:t>
      </w:r>
    </w:p>
    <w:p>
      <w:pPr>
        <w:spacing w:after="0" w:line="13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8, 2015</w:t>
            </w:r>
          </w:p>
        </w:tc>
        <w:tc>
          <w:tcPr>
            <w:tcW w:w="2720" w:type="dxa"/>
            <w:vAlign w:val="bottom"/>
          </w:tcPr>
          <w:p>
            <w:pPr>
              <w:ind w:left="22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Spencer F. Kirk</w:t>
            </w:r>
          </w:p>
        </w:tc>
      </w:tr>
      <w:tr>
        <w:trPr>
          <w:trHeight w:val="195"/>
        </w:trPr>
        <w:tc>
          <w:tcPr>
            <w:tcW w:w="3580" w:type="dxa"/>
            <w:vAlign w:val="bottom"/>
          </w:tcPr>
          <w:p>
            <w:pPr>
              <w:spacing w:after="0"/>
              <w:rPr>
                <w:sz w:val="16"/>
                <w:szCs w:val="16"/>
                <w:color w:val="auto"/>
              </w:rPr>
            </w:pPr>
          </w:p>
        </w:tc>
        <w:tc>
          <w:tcPr>
            <w:tcW w:w="2720" w:type="dxa"/>
            <w:vAlign w:val="bottom"/>
          </w:tcPr>
          <w:p>
            <w:pPr>
              <w:ind w:left="224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Spencer F. Kirk</w:t>
            </w:r>
          </w:p>
        </w:tc>
      </w:tr>
      <w:tr>
        <w:trPr>
          <w:trHeight w:val="230"/>
        </w:trPr>
        <w:tc>
          <w:tcPr>
            <w:tcW w:w="3580" w:type="dxa"/>
            <w:vAlign w:val="bottom"/>
          </w:tcPr>
          <w:p>
            <w:pPr>
              <w:spacing w:after="0"/>
              <w:rPr>
                <w:sz w:val="20"/>
                <w:szCs w:val="20"/>
                <w:color w:val="auto"/>
              </w:rPr>
            </w:pPr>
          </w:p>
        </w:tc>
        <w:tc>
          <w:tcPr>
            <w:tcW w:w="2720" w:type="dxa"/>
            <w:vAlign w:val="bottom"/>
          </w:tcPr>
          <w:p>
            <w:pPr>
              <w:ind w:left="224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13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8, 2015</w:t>
            </w:r>
          </w:p>
        </w:tc>
        <w:tc>
          <w:tcPr>
            <w:tcW w:w="2720" w:type="dxa"/>
            <w:vAlign w:val="bottom"/>
          </w:tcPr>
          <w:p>
            <w:pPr>
              <w:ind w:left="22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 Scott Stubbs</w:t>
            </w:r>
          </w:p>
        </w:tc>
      </w:tr>
      <w:tr>
        <w:trPr>
          <w:trHeight w:val="195"/>
        </w:trPr>
        <w:tc>
          <w:tcPr>
            <w:tcW w:w="3580" w:type="dxa"/>
            <w:vAlign w:val="bottom"/>
          </w:tcPr>
          <w:p>
            <w:pPr>
              <w:spacing w:after="0"/>
              <w:rPr>
                <w:sz w:val="16"/>
                <w:szCs w:val="16"/>
                <w:color w:val="auto"/>
              </w:rPr>
            </w:pPr>
          </w:p>
        </w:tc>
        <w:tc>
          <w:tcPr>
            <w:tcW w:w="2720" w:type="dxa"/>
            <w:vAlign w:val="bottom"/>
          </w:tcPr>
          <w:p>
            <w:pPr>
              <w:ind w:left="224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P. Scott Stubbs</w:t>
            </w:r>
          </w:p>
        </w:tc>
      </w:tr>
      <w:tr>
        <w:trPr>
          <w:trHeight w:val="216"/>
        </w:trPr>
        <w:tc>
          <w:tcPr>
            <w:tcW w:w="3580" w:type="dxa"/>
            <w:vAlign w:val="bottom"/>
          </w:tcPr>
          <w:p>
            <w:pPr>
              <w:spacing w:after="0"/>
              <w:rPr>
                <w:sz w:val="18"/>
                <w:szCs w:val="18"/>
                <w:color w:val="auto"/>
              </w:rPr>
            </w:pPr>
          </w:p>
        </w:tc>
        <w:tc>
          <w:tcPr>
            <w:tcW w:w="2720" w:type="dxa"/>
            <w:vAlign w:val="bottom"/>
          </w:tcPr>
          <w:p>
            <w:pPr>
              <w:ind w:left="224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35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March 31, 2015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33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Spencer F. Kirk</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Spencer F. Kirk</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May 8, 2015</w:t>
            </w: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March 31, 2015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33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 Scott Stubbs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P. Scott Stubbs</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w w:val="95"/>
              </w:rPr>
              <w:t>Executive Vice President and Chief Financial Officer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May 8, 2015</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0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2019-12-29T16:37:26Z</dcterms:created>
  <dcterms:modified xsi:type="dcterms:W3CDTF">2019-12-29T16:37:26Z</dcterms:modified>
</cp:coreProperties>
</file>