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480"/>
          </w:cols>
          <w:pgMar w:left="460" w:top="219" w:right="479" w:bottom="10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Margolis Joseph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2795 EAST COTTONWOOD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Extra Space Storage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03/11/2024</w:t>
      </w:r>
    </w:p>
    <w:p>
      <w:pPr>
        <w:spacing w:after="0" w:line="20" w:lineRule="exact"/>
        <w:rPr>
          <w:sz w:val="24"/>
          <w:szCs w:val="24"/>
          <w:color w:val="auto"/>
        </w:rPr>
      </w:pPr>
      <w:r>
        <w:rPr>
          <w:sz w:val="24"/>
          <w:szCs w:val="24"/>
          <w:color w:val="auto"/>
        </w:rPr>
        <w:br w:type="column"/>
      </w: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225"/>
          </w:cols>
          <w:pgMar w:left="460" w:top="219" w:right="479" w:bottom="1011"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84121</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jc w:val="center"/>
              <w:ind w:left="5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500"/>
              <w:spacing w:after="0"/>
              <w:rPr>
                <w:sz w:val="20"/>
                <w:szCs w:val="20"/>
                <w:color w:val="auto"/>
              </w:rPr>
            </w:pPr>
            <w:r>
              <w:rPr>
                <w:rFonts w:ascii="Times New Roman" w:cs="Times New Roman" w:eastAsia="Times New Roman" w:hAnsi="Times New Roman"/>
                <w:sz w:val="17"/>
                <w:szCs w:val="17"/>
                <w:color w:val="0000FF"/>
              </w:rPr>
              <w:t>03/11/2024</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30,291</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54,094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500"/>
              <w:spacing w:after="0"/>
              <w:rPr>
                <w:sz w:val="20"/>
                <w:szCs w:val="20"/>
                <w:color w:val="auto"/>
              </w:rPr>
            </w:pPr>
            <w:r>
              <w:rPr>
                <w:rFonts w:ascii="Times New Roman" w:cs="Times New Roman" w:eastAsia="Times New Roman" w:hAnsi="Times New Roman"/>
                <w:sz w:val="17"/>
                <w:szCs w:val="17"/>
                <w:color w:val="0000FF"/>
              </w:rPr>
              <w:t>03/11/2024</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30,291</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42,359</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&amp; K</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88"/>
        </w:trPr>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TTEE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69"/>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520"/>
              <w:spacing w:after="0"/>
              <w:rPr>
                <w:sz w:val="20"/>
                <w:szCs w:val="20"/>
                <w:color w:val="auto"/>
              </w:rPr>
            </w:pPr>
            <w:r>
              <w:rPr>
                <w:rFonts w:ascii="Times New Roman" w:cs="Times New Roman" w:eastAsia="Times New Roman" w:hAnsi="Times New Roman"/>
                <w:sz w:val="17"/>
                <w:szCs w:val="17"/>
                <w:color w:val="0000FF"/>
              </w:rPr>
              <w:t>03/13/2025</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17,184</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36,910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center"/>
              <w:ind w:left="520"/>
              <w:spacing w:after="0"/>
              <w:rPr>
                <w:sz w:val="20"/>
                <w:szCs w:val="20"/>
                <w:color w:val="auto"/>
              </w:rPr>
            </w:pPr>
            <w:r>
              <w:rPr>
                <w:rFonts w:ascii="Times New Roman" w:cs="Times New Roman" w:eastAsia="Times New Roman" w:hAnsi="Times New Roman"/>
                <w:sz w:val="17"/>
                <w:szCs w:val="17"/>
                <w:color w:val="0000FF"/>
              </w:rPr>
              <w:t>03/13/2025</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17,184</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59,543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&amp; K</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88"/>
        </w:trPr>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TTEE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20"/>
              <w:spacing w:after="0"/>
              <w:rPr>
                <w:sz w:val="20"/>
                <w:szCs w:val="20"/>
                <w:color w:val="auto"/>
              </w:rPr>
            </w:pPr>
            <w:r>
              <w:rPr>
                <w:rFonts w:ascii="Times New Roman" w:cs="Times New Roman" w:eastAsia="Times New Roman" w:hAnsi="Times New Roman"/>
                <w:sz w:val="17"/>
                <w:szCs w:val="17"/>
                <w:color w:val="0000FF"/>
              </w:rPr>
              <w:t>03/01/2026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6,898</w:t>
            </w:r>
            <w:r>
              <w:rPr>
                <w:rFonts w:ascii="Times New Roman" w:cs="Times New Roman" w:eastAsia="Times New Roman" w:hAnsi="Times New Roman"/>
                <w:sz w:val="22"/>
                <w:szCs w:val="22"/>
                <w:color w:val="008000"/>
                <w:w w:val="93"/>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151.03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43,808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20"/>
              <w:spacing w:after="0"/>
              <w:rPr>
                <w:sz w:val="20"/>
                <w:szCs w:val="20"/>
                <w:color w:val="auto"/>
              </w:rPr>
            </w:pPr>
            <w:r>
              <w:rPr>
                <w:rFonts w:ascii="Times New Roman" w:cs="Times New Roman" w:eastAsia="Times New Roman" w:hAnsi="Times New Roman"/>
                <w:sz w:val="17"/>
                <w:szCs w:val="17"/>
                <w:color w:val="0000FF"/>
              </w:rPr>
              <w:t>03/01/2026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17,381</w:t>
            </w:r>
            <w:r>
              <w:rPr>
                <w:rFonts w:ascii="Times New Roman" w:cs="Times New Roman" w:eastAsia="Times New Roman" w:hAnsi="Times New Roman"/>
                <w:sz w:val="22"/>
                <w:szCs w:val="22"/>
                <w:color w:val="008000"/>
                <w:w w:val="93"/>
                <w:vertAlign w:val="superscript"/>
              </w:rPr>
              <w:t>(3)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151.03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61,189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20"/>
              <w:spacing w:after="0"/>
              <w:rPr>
                <w:sz w:val="20"/>
                <w:szCs w:val="20"/>
                <w:color w:val="auto"/>
              </w:rPr>
            </w:pPr>
            <w:r>
              <w:rPr>
                <w:rFonts w:ascii="Times New Roman" w:cs="Times New Roman" w:eastAsia="Times New Roman" w:hAnsi="Times New Roman"/>
                <w:sz w:val="17"/>
                <w:szCs w:val="17"/>
                <w:color w:val="0000FF"/>
              </w:rPr>
              <w:t>03/01/2026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1,065</w:t>
            </w:r>
            <w:r>
              <w:rPr>
                <w:rFonts w:ascii="Times New Roman" w:cs="Times New Roman" w:eastAsia="Times New Roman" w:hAnsi="Times New Roman"/>
                <w:sz w:val="22"/>
                <w:szCs w:val="22"/>
                <w:color w:val="008000"/>
                <w:w w:val="93"/>
                <w:vertAlign w:val="superscript"/>
              </w:rPr>
              <w:t>(4)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151.03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60,124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20"/>
              <w:spacing w:after="0"/>
              <w:rPr>
                <w:sz w:val="20"/>
                <w:szCs w:val="20"/>
                <w:color w:val="auto"/>
              </w:rPr>
            </w:pPr>
            <w:r>
              <w:rPr>
                <w:rFonts w:ascii="Times New Roman" w:cs="Times New Roman" w:eastAsia="Times New Roman" w:hAnsi="Times New Roman"/>
                <w:sz w:val="17"/>
                <w:szCs w:val="17"/>
                <w:color w:val="0000FF"/>
              </w:rPr>
              <w:t>03/01/2026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1,264</w:t>
            </w:r>
            <w:r>
              <w:rPr>
                <w:rFonts w:ascii="Times New Roman" w:cs="Times New Roman" w:eastAsia="Times New Roman" w:hAnsi="Times New Roman"/>
                <w:sz w:val="22"/>
                <w:szCs w:val="22"/>
                <w:color w:val="008000"/>
                <w:w w:val="93"/>
                <w:vertAlign w:val="superscript"/>
              </w:rPr>
              <w:t>(4)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151.03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58,860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20"/>
              <w:spacing w:after="0"/>
              <w:rPr>
                <w:sz w:val="20"/>
                <w:szCs w:val="20"/>
                <w:color w:val="auto"/>
              </w:rPr>
            </w:pPr>
            <w:r>
              <w:rPr>
                <w:rFonts w:ascii="Times New Roman" w:cs="Times New Roman" w:eastAsia="Times New Roman" w:hAnsi="Times New Roman"/>
                <w:sz w:val="17"/>
                <w:szCs w:val="17"/>
                <w:color w:val="0000FF"/>
              </w:rPr>
              <w:t>03/01/2026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1,682</w:t>
            </w:r>
            <w:r>
              <w:rPr>
                <w:rFonts w:ascii="Times New Roman" w:cs="Times New Roman" w:eastAsia="Times New Roman" w:hAnsi="Times New Roman"/>
                <w:sz w:val="22"/>
                <w:szCs w:val="22"/>
                <w:color w:val="008000"/>
                <w:w w:val="93"/>
                <w:vertAlign w:val="superscript"/>
              </w:rPr>
              <w:t>(4)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151.03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57,178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20"/>
              <w:spacing w:after="0"/>
              <w:rPr>
                <w:sz w:val="20"/>
                <w:szCs w:val="20"/>
                <w:color w:val="auto"/>
              </w:rPr>
            </w:pPr>
            <w:r>
              <w:rPr>
                <w:rFonts w:ascii="Times New Roman" w:cs="Times New Roman" w:eastAsia="Times New Roman" w:hAnsi="Times New Roman"/>
                <w:sz w:val="17"/>
                <w:szCs w:val="17"/>
                <w:color w:val="0000FF"/>
              </w:rPr>
              <w:t>03/01/2026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1,886</w:t>
            </w:r>
            <w:r>
              <w:rPr>
                <w:rFonts w:ascii="Times New Roman" w:cs="Times New Roman" w:eastAsia="Times New Roman" w:hAnsi="Times New Roman"/>
                <w:sz w:val="22"/>
                <w:szCs w:val="22"/>
                <w:color w:val="008000"/>
                <w:w w:val="93"/>
                <w:vertAlign w:val="superscript"/>
              </w:rPr>
              <w:t>(4)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151.03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55,292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97,260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Lane I,</w:t>
            </w:r>
          </w:p>
        </w:tc>
        <w:tc>
          <w:tcPr>
            <w:tcW w:w="0" w:type="dxa"/>
            <w:vAlign w:val="bottom"/>
          </w:tcPr>
          <w:p>
            <w:pPr>
              <w:spacing w:after="0"/>
              <w:rPr>
                <w:sz w:val="1"/>
                <w:szCs w:val="1"/>
                <w:color w:val="auto"/>
              </w:rPr>
            </w:pPr>
          </w:p>
        </w:tc>
      </w:tr>
      <w:tr>
        <w:trPr>
          <w:trHeight w:val="93"/>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9,190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Lane II,</w:t>
            </w:r>
          </w:p>
        </w:tc>
        <w:tc>
          <w:tcPr>
            <w:tcW w:w="0" w:type="dxa"/>
            <w:vAlign w:val="bottom"/>
          </w:tcPr>
          <w:p>
            <w:pPr>
              <w:spacing w:after="0"/>
              <w:rPr>
                <w:sz w:val="1"/>
                <w:szCs w:val="1"/>
                <w:color w:val="auto"/>
              </w:rPr>
            </w:pPr>
          </w:p>
        </w:tc>
      </w:tr>
      <w:tr>
        <w:trPr>
          <w:trHeight w:val="107"/>
        </w:trPr>
        <w:tc>
          <w:tcPr>
            <w:tcW w:w="24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p>
      <w:pPr>
        <w:spacing w:after="0" w:line="10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0960"/>
          </w:cols>
          <w:pgMar w:left="460" w:top="219" w:right="479" w:bottom="1011"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459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4598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J Margolis &amp; K Margolis TTEE Joseph Daniel Margolis Revocab U/A DTD 05/24/2013.</w:t>
      </w:r>
    </w:p>
    <w:p>
      <w:pPr>
        <w:spacing w:after="0" w:line="50"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performance stock units (PSUs), net of shares withheld by the Issuer in payment of the tax liability arising in connection with the settlement of vested PSUs. Each PSU represented a contingent right to receive shares of the Issuers common stock. The PSUs were originally granted on March 1, 2023 and were eligible to vest based on the Issuer achievement of certain performance objectives during the three-year performance period ending December 31, 2025. On February 10, 2026, the Compensation Committee of the Board of Directors of the Issuer certified the Issuer achievement relative to the applicable performance objectives and approved the vesting of the PSUs with respect to these shares effective March 1, 2026.</w:t>
      </w:r>
    </w:p>
    <w:p>
      <w:pPr>
        <w:spacing w:after="0" w:line="24"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awards vest 25% annually over four years, beginning on the first anniversary of the grant date.</w:t>
      </w:r>
    </w:p>
    <w:p>
      <w:pPr>
        <w:spacing w:after="0" w:line="50"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in payment of the tax liability arising in connection with the settlement of vested restricted stock awards. Restricted stock awards vest 25% annually over four years, beginning on the first anniversary of the grant date.</w:t>
      </w:r>
    </w:p>
    <w:p>
      <w:pPr>
        <w:spacing w:after="0" w:line="7"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controls the investment decisions with respect to shares of common stock held by Cove Hollow Lane I, LLC. The reporting person disclaims beneficial ownership in the common stock held by Cove Hollow Lane I, LLC,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in the common stock held by Cove Hollow Lane II, LLC, except to the extent of his pecuniary interest therein.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Grace Kunde, Attorney-in-  </w:t>
      </w:r>
      <w:r>
        <w:rPr>
          <w:rFonts w:ascii="Times New Roman" w:cs="Times New Roman" w:eastAsia="Times New Roman" w:hAnsi="Times New Roman"/>
          <w:sz w:val="34"/>
          <w:szCs w:val="34"/>
          <w:color w:val="0000FF"/>
          <w:vertAlign w:val="subscript"/>
        </w:rPr>
        <w:t>03/03/2026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0121" TargetMode="External"/><Relationship Id="rId14" Type="http://schemas.openxmlformats.org/officeDocument/2006/relationships/hyperlink" Target="http://www.sec.gov/cgi-bin/browse-edgar?action=getcompany&amp;CIK=000128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2026-03-03T20:03:23Z</dcterms:created>
  <dcterms:modified xsi:type="dcterms:W3CDTF">2026-03-03T20:03:23Z</dcterms:modified>
</cp:coreProperties>
</file>